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46A1238B" w:rsidR="009B423D" w:rsidRPr="00CB0482" w:rsidRDefault="00EB553E" w:rsidP="005E09F2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CB0482">
        <w:rPr>
          <w:sz w:val="28"/>
        </w:rPr>
        <w:t>W</w:t>
      </w:r>
      <w:r w:rsidR="00CB0482" w:rsidRPr="00CB0482">
        <w:rPr>
          <w:sz w:val="28"/>
        </w:rPr>
        <w:t>estern Australia Battery and Critical Minerals</w:t>
      </w:r>
      <w:r w:rsidR="00CB0482" w:rsidRPr="00C03076">
        <w:rPr>
          <w:sz w:val="28"/>
        </w:rPr>
        <w:t xml:space="preserve"> Profile</w:t>
      </w:r>
      <w:r w:rsidR="009B423D" w:rsidRPr="00CB0482">
        <w:rPr>
          <w:sz w:val="28"/>
        </w:rPr>
        <w:t xml:space="preserve"> </w:t>
      </w:r>
      <w:r w:rsidR="006056AC" w:rsidRPr="00CB0482">
        <w:rPr>
          <w:sz w:val="28"/>
        </w:rPr>
        <w:t>–</w:t>
      </w:r>
      <w:r w:rsidR="009B423D" w:rsidRPr="00CB0482">
        <w:rPr>
          <w:sz w:val="28"/>
        </w:rPr>
        <w:t xml:space="preserve"> </w:t>
      </w:r>
      <w:r w:rsidR="00291A4A" w:rsidRPr="00A0524E">
        <w:rPr>
          <w:sz w:val="28"/>
        </w:rPr>
        <w:t>September</w:t>
      </w:r>
      <w:r w:rsidR="007C1F4D" w:rsidRPr="00A0524E">
        <w:rPr>
          <w:sz w:val="28"/>
        </w:rPr>
        <w:t> </w:t>
      </w:r>
      <w:r w:rsidR="009E3F5B" w:rsidRPr="00A0524E">
        <w:rPr>
          <w:sz w:val="28"/>
        </w:rPr>
        <w:t>202</w:t>
      </w:r>
      <w:r w:rsidR="009D138D" w:rsidRPr="00A0524E">
        <w:rPr>
          <w:sz w:val="28"/>
        </w:rPr>
        <w:t>5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37CA5AD9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 These</w:t>
      </w:r>
      <w:r w:rsidR="001A733B" w:rsidRPr="004A368F">
        <w:rPr>
          <w:sz w:val="16"/>
        </w:rPr>
        <w:t xml:space="preserve"> </w:t>
      </w:r>
      <w:r w:rsidR="00423115" w:rsidRPr="004A368F">
        <w:rPr>
          <w:sz w:val="16"/>
        </w:rPr>
        <w:t xml:space="preserve">minerals </w:t>
      </w:r>
      <w:r w:rsidR="00E8016E" w:rsidRPr="004A368F">
        <w:rPr>
          <w:sz w:val="16"/>
        </w:rPr>
        <w:t>are produced</w:t>
      </w:r>
      <w:r w:rsidR="0003241B" w:rsidRPr="004A368F">
        <w:rPr>
          <w:sz w:val="16"/>
        </w:rPr>
        <w:t xml:space="preserve"> in significantly large quantities</w:t>
      </w:r>
      <w:r w:rsidR="00E8016E" w:rsidRPr="004A368F">
        <w:rPr>
          <w:sz w:val="16"/>
        </w:rPr>
        <w:t xml:space="preserve"> in Western Australia and</w:t>
      </w:r>
      <w:r w:rsidR="0003241B" w:rsidRPr="004A368F">
        <w:rPr>
          <w:sz w:val="16"/>
        </w:rPr>
        <w:t xml:space="preserve"> are </w:t>
      </w:r>
      <w:r w:rsidR="00DC1824" w:rsidRPr="004A368F">
        <w:rPr>
          <w:sz w:val="16"/>
        </w:rPr>
        <w:t xml:space="preserve">the </w:t>
      </w:r>
      <w:r w:rsidR="002778EB" w:rsidRPr="004A368F">
        <w:rPr>
          <w:sz w:val="16"/>
        </w:rPr>
        <w:t xml:space="preserve">main </w:t>
      </w:r>
      <w:r w:rsidR="00DC1824" w:rsidRPr="004A368F">
        <w:rPr>
          <w:sz w:val="16"/>
        </w:rPr>
        <w:t xml:space="preserve">minerals </w:t>
      </w:r>
      <w:r w:rsidR="0038481F" w:rsidRPr="004A368F">
        <w:rPr>
          <w:sz w:val="16"/>
        </w:rPr>
        <w:t xml:space="preserve">used </w:t>
      </w:r>
      <w:r w:rsidR="008B37D0">
        <w:rPr>
          <w:sz w:val="16"/>
        </w:rPr>
        <w:t xml:space="preserve">in manufacturing </w:t>
      </w:r>
      <w:r w:rsidR="0038481F" w:rsidRPr="004A368F">
        <w:rPr>
          <w:sz w:val="16"/>
        </w:rPr>
        <w:t>rechargeable batteries</w:t>
      </w:r>
      <w:r w:rsidR="007F1E1B" w:rsidRPr="004A368F">
        <w:rPr>
          <w:sz w:val="16"/>
        </w:rPr>
        <w:t xml:space="preserve">, </w:t>
      </w:r>
      <w:r w:rsidR="00472434" w:rsidRPr="004A368F">
        <w:rPr>
          <w:sz w:val="16"/>
        </w:rPr>
        <w:t>electric vehicle and wind turbine</w:t>
      </w:r>
      <w:r w:rsidR="00D723E2">
        <w:rPr>
          <w:sz w:val="16"/>
        </w:rPr>
        <w:t xml:space="preserve"> motors</w:t>
      </w:r>
      <w:r w:rsidR="00472434" w:rsidRPr="004A368F">
        <w:rPr>
          <w:sz w:val="16"/>
        </w:rPr>
        <w:t>, and other high</w:t>
      </w:r>
      <w:r w:rsidR="0001414C">
        <w:rPr>
          <w:sz w:val="16"/>
        </w:rPr>
        <w:noBreakHyphen/>
      </w:r>
      <w:r w:rsidR="00472434" w:rsidRPr="004A368F">
        <w:rPr>
          <w:sz w:val="16"/>
        </w:rPr>
        <w:t>technology devices</w:t>
      </w:r>
      <w:r w:rsidR="00423115" w:rsidRPr="00A72383">
        <w:rPr>
          <w:sz w:val="16"/>
        </w:rPr>
        <w:t>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13CB6A16" w14:textId="1AEC9E4C" w:rsidR="00392F36" w:rsidRPr="003C1A0B" w:rsidRDefault="009B1699" w:rsidP="00392F36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</w:t>
      </w:r>
      <w:r w:rsidR="00392F36" w:rsidRPr="003C1A0B">
        <w:rPr>
          <w:b/>
          <w:bCs/>
          <w:color w:val="00997A"/>
          <w:sz w:val="20"/>
          <w:szCs w:val="20"/>
        </w:rPr>
        <w:t>emand</w:t>
      </w:r>
      <w:r w:rsidR="00E94C50" w:rsidRPr="003C1A0B">
        <w:rPr>
          <w:b/>
          <w:bCs/>
          <w:color w:val="00997A"/>
          <w:sz w:val="20"/>
          <w:szCs w:val="20"/>
        </w:rPr>
        <w:t xml:space="preserve"> and</w:t>
      </w:r>
      <w:r w:rsidRPr="003C1A0B">
        <w:rPr>
          <w:b/>
          <w:bCs/>
          <w:color w:val="00997A"/>
          <w:sz w:val="20"/>
          <w:szCs w:val="20"/>
        </w:rPr>
        <w:t xml:space="preserve"> outlook</w:t>
      </w:r>
      <w:r w:rsidR="00392F36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7DB19A44" w14:textId="77C003B3" w:rsidR="00392F36" w:rsidRDefault="007247A4" w:rsidP="00392F36">
      <w:pPr>
        <w:spacing w:after="0"/>
        <w:jc w:val="both"/>
      </w:pPr>
      <w:r>
        <w:rPr>
          <w:noProof/>
        </w:rPr>
        <w:drawing>
          <wp:inline distT="0" distB="0" distL="0" distR="0" wp14:anchorId="07D43D6D" wp14:editId="77C5D171">
            <wp:extent cx="3420000" cy="2107010"/>
            <wp:effectExtent l="0" t="0" r="9525" b="7620"/>
            <wp:docPr id="367780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1F76" w14:textId="44054B21" w:rsidR="00392F36" w:rsidRPr="00F55BC9" w:rsidRDefault="009C031B" w:rsidP="00595DE6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Pr="00F55BC9">
        <w:rPr>
          <w:sz w:val="10"/>
        </w:rPr>
        <w:t xml:space="preserve">2024. </w:t>
      </w:r>
      <w:r w:rsidR="00392F36" w:rsidRPr="00F55BC9">
        <w:rPr>
          <w:sz w:val="10"/>
        </w:rPr>
        <w:t>Kt = Thousand tonnes</w:t>
      </w:r>
      <w:r w:rsidR="004A4E36" w:rsidRPr="00F55BC9">
        <w:rPr>
          <w:sz w:val="10"/>
        </w:rPr>
        <w:t xml:space="preserve"> of lithium carbonate equivalent</w:t>
      </w:r>
      <w:r w:rsidR="00392F36" w:rsidRPr="00F55BC9">
        <w:rPr>
          <w:sz w:val="10"/>
        </w:rPr>
        <w:t xml:space="preserve">. </w:t>
      </w:r>
      <w:r w:rsidR="00392F36" w:rsidRPr="00F55BC9">
        <w:rPr>
          <w:sz w:val="10"/>
          <w:vertAlign w:val="superscript"/>
        </w:rPr>
        <w:t>1</w:t>
      </w:r>
      <w:r w:rsidR="00392F36" w:rsidRPr="00F55BC9">
        <w:rPr>
          <w:sz w:val="10"/>
        </w:rPr>
        <w:t xml:space="preserve"> Consumption of nickel and demand of lithium. Demand is ahead of consumption by around 12</w:t>
      </w:r>
      <w:r w:rsidR="008817B5" w:rsidRPr="00F55BC9">
        <w:rPr>
          <w:sz w:val="10"/>
        </w:rPr>
        <w:t> </w:t>
      </w:r>
      <w:r w:rsidR="00392F36" w:rsidRPr="00F55BC9">
        <w:rPr>
          <w:sz w:val="10"/>
        </w:rPr>
        <w:t>months due to the time taken to manufacture batteries.</w:t>
      </w:r>
    </w:p>
    <w:p w14:paraId="185BB5FB" w14:textId="308FBB25" w:rsidR="00392F36" w:rsidRPr="00F55BC9" w:rsidRDefault="00392F36" w:rsidP="00595DE6">
      <w:p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>Source: Office of the Chief Economist, Resources and Energy Quarterly</w:t>
      </w:r>
      <w:r w:rsidR="00A03AEA" w:rsidRPr="00F55BC9">
        <w:rPr>
          <w:rFonts w:cs="Arial"/>
          <w:sz w:val="10"/>
          <w:szCs w:val="20"/>
        </w:rPr>
        <w:t xml:space="preserve"> (</w:t>
      </w:r>
      <w:r w:rsidR="00040E86">
        <w:rPr>
          <w:rFonts w:cs="Arial"/>
          <w:sz w:val="10"/>
          <w:szCs w:val="20"/>
        </w:rPr>
        <w:t>June</w:t>
      </w:r>
      <w:r w:rsidR="00A03AEA" w:rsidRPr="00F55BC9">
        <w:rPr>
          <w:rFonts w:cs="Arial"/>
          <w:sz w:val="10"/>
          <w:szCs w:val="20"/>
        </w:rPr>
        <w:t xml:space="preserve"> quarter 202</w:t>
      </w:r>
      <w:r w:rsidR="009E4CF0" w:rsidRPr="00F55BC9">
        <w:rPr>
          <w:rFonts w:cs="Arial"/>
          <w:sz w:val="10"/>
          <w:szCs w:val="20"/>
        </w:rPr>
        <w:t>5</w:t>
      </w:r>
      <w:r w:rsidR="00A03AEA" w:rsidRPr="00F55BC9">
        <w:rPr>
          <w:rFonts w:cs="Arial"/>
          <w:sz w:val="10"/>
          <w:szCs w:val="20"/>
        </w:rPr>
        <w:t>)</w:t>
      </w:r>
      <w:r w:rsidRPr="00F55BC9">
        <w:rPr>
          <w:rFonts w:cs="Arial"/>
          <w:sz w:val="10"/>
          <w:szCs w:val="20"/>
        </w:rPr>
        <w:t>.</w:t>
      </w:r>
    </w:p>
    <w:p w14:paraId="116115EF" w14:textId="77777777" w:rsidR="00392F36" w:rsidRDefault="00392F36" w:rsidP="00392F36">
      <w:pPr>
        <w:spacing w:after="0"/>
        <w:jc w:val="both"/>
        <w:rPr>
          <w:sz w:val="16"/>
        </w:rPr>
      </w:pPr>
      <w:r>
        <w:br w:type="column"/>
      </w:r>
    </w:p>
    <w:p w14:paraId="54932AB2" w14:textId="77777777" w:rsidR="00392F36" w:rsidRDefault="00392F36" w:rsidP="00392F36">
      <w:pPr>
        <w:spacing w:after="0"/>
        <w:jc w:val="both"/>
        <w:rPr>
          <w:sz w:val="16"/>
        </w:rPr>
      </w:pPr>
    </w:p>
    <w:p w14:paraId="2831FC36" w14:textId="0C81B2A4" w:rsidR="005A18ED" w:rsidRPr="00E440D2" w:rsidRDefault="006C2ACA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>
        <w:rPr>
          <w:sz w:val="16"/>
        </w:rPr>
        <w:t xml:space="preserve">The global push to </w:t>
      </w:r>
      <w:r w:rsidR="00E440D2" w:rsidRPr="00E440D2">
        <w:rPr>
          <w:sz w:val="16"/>
        </w:rPr>
        <w:t xml:space="preserve">meet net-zero emissions targets </w:t>
      </w:r>
      <w:r>
        <w:rPr>
          <w:sz w:val="16"/>
        </w:rPr>
        <w:t>is creating more demand for battery and critical minerals</w:t>
      </w:r>
      <w:r w:rsidR="00E440D2" w:rsidRPr="00E440D2">
        <w:rPr>
          <w:sz w:val="16"/>
        </w:rPr>
        <w:t>.</w:t>
      </w:r>
    </w:p>
    <w:p w14:paraId="2CD9C356" w14:textId="766EC4AE" w:rsidR="00392F36" w:rsidRPr="00291A4A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291A4A">
        <w:rPr>
          <w:sz w:val="16"/>
        </w:rPr>
        <w:t xml:space="preserve">World lithium demand rose </w:t>
      </w:r>
      <w:r w:rsidR="00F67F0E" w:rsidRPr="00291A4A">
        <w:rPr>
          <w:sz w:val="16"/>
        </w:rPr>
        <w:t>18</w:t>
      </w:r>
      <w:r w:rsidR="00C575AE" w:rsidRPr="00291A4A">
        <w:rPr>
          <w:sz w:val="16"/>
        </w:rPr>
        <w:t>%</w:t>
      </w:r>
      <w:r w:rsidRPr="00291A4A">
        <w:rPr>
          <w:sz w:val="16"/>
        </w:rPr>
        <w:t xml:space="preserve"> to </w:t>
      </w:r>
      <w:r w:rsidR="00F67F0E" w:rsidRPr="00291A4A">
        <w:rPr>
          <w:sz w:val="16"/>
        </w:rPr>
        <w:t>1.1</w:t>
      </w:r>
      <w:r w:rsidR="00040E86" w:rsidRPr="00291A4A">
        <w:rPr>
          <w:sz w:val="16"/>
        </w:rPr>
        <w:t>9</w:t>
      </w:r>
      <w:r w:rsidR="00D93E46" w:rsidRPr="00291A4A">
        <w:rPr>
          <w:sz w:val="16"/>
        </w:rPr>
        <w:t> </w:t>
      </w:r>
      <w:r w:rsidRPr="00291A4A">
        <w:rPr>
          <w:sz w:val="16"/>
        </w:rPr>
        <w:t>million tonnes in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. The Office of the Chief Economist forecasts world lithium demand will rise </w:t>
      </w:r>
      <w:r w:rsidR="00FF5934" w:rsidRPr="00291A4A">
        <w:rPr>
          <w:sz w:val="16"/>
        </w:rPr>
        <w:t>51</w:t>
      </w:r>
      <w:r w:rsidRPr="00291A4A">
        <w:rPr>
          <w:sz w:val="16"/>
        </w:rPr>
        <w:t xml:space="preserve">% to </w:t>
      </w:r>
      <w:r w:rsidR="00FF5934" w:rsidRPr="00291A4A">
        <w:rPr>
          <w:sz w:val="16"/>
        </w:rPr>
        <w:t>1.</w:t>
      </w:r>
      <w:r w:rsidR="00211D02" w:rsidRPr="00291A4A">
        <w:rPr>
          <w:sz w:val="16"/>
        </w:rPr>
        <w:t>79</w:t>
      </w:r>
      <w:r w:rsidRPr="00291A4A">
        <w:rPr>
          <w:sz w:val="16"/>
        </w:rPr>
        <w:t> million tonnes between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 and 20</w:t>
      </w:r>
      <w:r w:rsidR="00FF5934" w:rsidRPr="00291A4A">
        <w:rPr>
          <w:sz w:val="16"/>
        </w:rPr>
        <w:t>27</w:t>
      </w:r>
      <w:r w:rsidRPr="00291A4A">
        <w:rPr>
          <w:sz w:val="16"/>
        </w:rPr>
        <w:t>.</w:t>
      </w:r>
    </w:p>
    <w:p w14:paraId="39277776" w14:textId="33EC17C9" w:rsidR="00392F36" w:rsidRPr="00291A4A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291A4A">
        <w:rPr>
          <w:sz w:val="16"/>
        </w:rPr>
        <w:t xml:space="preserve">World nickel consumption rose </w:t>
      </w:r>
      <w:r w:rsidR="00A24538" w:rsidRPr="00291A4A">
        <w:rPr>
          <w:sz w:val="16"/>
        </w:rPr>
        <w:t>8</w:t>
      </w:r>
      <w:r w:rsidRPr="00291A4A">
        <w:rPr>
          <w:sz w:val="16"/>
        </w:rPr>
        <w:t>% to 3.</w:t>
      </w:r>
      <w:r w:rsidR="00F67F0E" w:rsidRPr="00291A4A">
        <w:rPr>
          <w:sz w:val="16"/>
        </w:rPr>
        <w:t>35</w:t>
      </w:r>
      <w:r w:rsidRPr="00291A4A">
        <w:rPr>
          <w:sz w:val="16"/>
        </w:rPr>
        <w:t> million tonnes in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. The Office of the Chief Economist forecasts world nickel consumption will rise </w:t>
      </w:r>
      <w:r w:rsidR="00211D02" w:rsidRPr="00291A4A">
        <w:rPr>
          <w:sz w:val="16"/>
        </w:rPr>
        <w:t>1</w:t>
      </w:r>
      <w:r w:rsidR="00F67F0E" w:rsidRPr="00291A4A">
        <w:rPr>
          <w:sz w:val="16"/>
        </w:rPr>
        <w:t>7</w:t>
      </w:r>
      <w:r w:rsidRPr="00291A4A">
        <w:rPr>
          <w:sz w:val="16"/>
        </w:rPr>
        <w:t xml:space="preserve">% to </w:t>
      </w:r>
      <w:r w:rsidR="00211D02" w:rsidRPr="00291A4A">
        <w:rPr>
          <w:sz w:val="16"/>
        </w:rPr>
        <w:t>3.93</w:t>
      </w:r>
      <w:r w:rsidRPr="00291A4A">
        <w:rPr>
          <w:sz w:val="16"/>
        </w:rPr>
        <w:t> million tonnes between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 and </w:t>
      </w:r>
      <w:r w:rsidR="0021525B" w:rsidRPr="00291A4A">
        <w:rPr>
          <w:sz w:val="16"/>
        </w:rPr>
        <w:t>20</w:t>
      </w:r>
      <w:r w:rsidR="00211D02" w:rsidRPr="00291A4A">
        <w:rPr>
          <w:sz w:val="16"/>
        </w:rPr>
        <w:t>27</w:t>
      </w:r>
      <w:r w:rsidR="0021525B" w:rsidRPr="00291A4A">
        <w:rPr>
          <w:sz w:val="16"/>
        </w:rPr>
        <w:t>.</w:t>
      </w:r>
    </w:p>
    <w:p w14:paraId="3A1EACB4" w14:textId="47CE1B3B" w:rsidR="00392F36" w:rsidRPr="00F55BC9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F55BC9">
        <w:rPr>
          <w:sz w:val="16"/>
        </w:rPr>
        <w:t xml:space="preserve">World cobalt </w:t>
      </w:r>
      <w:r w:rsidR="00F8033B" w:rsidRPr="00F55BC9">
        <w:rPr>
          <w:sz w:val="16"/>
        </w:rPr>
        <w:t xml:space="preserve">demand </w:t>
      </w:r>
      <w:r w:rsidRPr="00F55BC9">
        <w:rPr>
          <w:sz w:val="16"/>
        </w:rPr>
        <w:t xml:space="preserve">rose </w:t>
      </w:r>
      <w:r w:rsidR="00F8033B" w:rsidRPr="00F55BC9">
        <w:rPr>
          <w:sz w:val="16"/>
        </w:rPr>
        <w:t>6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191</w:t>
      </w:r>
      <w:r w:rsidRPr="00F55BC9">
        <w:rPr>
          <w:sz w:val="16"/>
        </w:rPr>
        <w:t>,000 tonnes in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>. S&amp;P</w:t>
      </w:r>
      <w:r w:rsidR="00A815B4" w:rsidRPr="00F55BC9">
        <w:rPr>
          <w:sz w:val="16"/>
        </w:rPr>
        <w:t> </w:t>
      </w:r>
      <w:r w:rsidRPr="00F55BC9">
        <w:rPr>
          <w:sz w:val="16"/>
        </w:rPr>
        <w:t xml:space="preserve">Global Market Intelligence forecasts world cobalt </w:t>
      </w:r>
      <w:r w:rsidR="00F8033B" w:rsidRPr="00F55BC9">
        <w:rPr>
          <w:sz w:val="16"/>
        </w:rPr>
        <w:t>demand</w:t>
      </w:r>
      <w:r w:rsidRPr="00F55BC9">
        <w:rPr>
          <w:sz w:val="16"/>
        </w:rPr>
        <w:t xml:space="preserve"> will rise </w:t>
      </w:r>
      <w:r w:rsidR="00F8033B" w:rsidRPr="00F55BC9">
        <w:rPr>
          <w:sz w:val="16"/>
        </w:rPr>
        <w:t>33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254</w:t>
      </w:r>
      <w:r w:rsidRPr="00F55BC9">
        <w:rPr>
          <w:sz w:val="16"/>
        </w:rPr>
        <w:t>,000 tonnes between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 xml:space="preserve"> and 2028.</w:t>
      </w:r>
    </w:p>
    <w:p w14:paraId="0EB993B6" w14:textId="077E17CD" w:rsidR="003A76C2" w:rsidRPr="00BA6916" w:rsidRDefault="008C1E3B" w:rsidP="008C1E3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Electric vehicles are a major driver of battery minerals demand. In 2024, global electric car sales rose 28% to 17.5 million. Under the International Energy Agency’s Stated Policy Scenario, global electric car sales will more than double to 40.0 million by 2030</w:t>
      </w:r>
      <w:r w:rsidR="00392F36" w:rsidRPr="00BA6916">
        <w:rPr>
          <w:color w:val="000000" w:themeColor="text1"/>
          <w:sz w:val="16"/>
        </w:rPr>
        <w:t>.</w:t>
      </w:r>
    </w:p>
    <w:p w14:paraId="6DBF6F93" w14:textId="77777777" w:rsidR="00BB14A3" w:rsidRDefault="00BB14A3" w:rsidP="003A76C2">
      <w:pPr>
        <w:pStyle w:val="BodyText"/>
        <w:spacing w:after="0"/>
        <w:jc w:val="both"/>
        <w:rPr>
          <w:sz w:val="16"/>
        </w:rPr>
        <w:sectPr w:rsidR="00BB14A3" w:rsidSect="00BB14A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250904F0" w14:textId="318C7759" w:rsidR="00EB0CB8" w:rsidRPr="00291A4A" w:rsidRDefault="00EB0CB8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="00064488" w:rsidRPr="008E0C15">
        <w:rPr>
          <w:color w:val="000000" w:themeColor="text1"/>
          <w:sz w:val="16"/>
        </w:rPr>
        <w:t>over</w:t>
      </w:r>
      <w:r w:rsidRPr="008E0C15">
        <w:rPr>
          <w:color w:val="000000" w:themeColor="text1"/>
          <w:sz w:val="16"/>
        </w:rPr>
        <w:t xml:space="preserve"> 40 per cent of the world’s lithium and being among the top five producers of nickel, cobalt, and rare earths. Projects developed in recent years have </w:t>
      </w:r>
      <w:r>
        <w:rPr>
          <w:sz w:val="16"/>
        </w:rPr>
        <w:t>moved Western</w:t>
      </w:r>
      <w:r w:rsidR="00736DFD">
        <w:rPr>
          <w:sz w:val="16"/>
        </w:rPr>
        <w:t> </w:t>
      </w:r>
      <w:r>
        <w:rPr>
          <w:sz w:val="16"/>
        </w:rPr>
        <w:t xml:space="preserve">Australia further up the battery and critical minerals value chain, with lithium hydroxide being produced from processing plants in Kwinana and </w:t>
      </w:r>
      <w:proofErr w:type="spellStart"/>
      <w:r>
        <w:rPr>
          <w:sz w:val="16"/>
        </w:rPr>
        <w:t>Kemerton</w:t>
      </w:r>
      <w:proofErr w:type="spellEnd"/>
      <w:r w:rsidR="00E14239">
        <w:rPr>
          <w:sz w:val="16"/>
        </w:rPr>
        <w:t>.</w:t>
      </w:r>
      <w:r w:rsidRPr="0088299B">
        <w:rPr>
          <w:color w:val="FF0000"/>
          <w:sz w:val="16"/>
        </w:rPr>
        <w:t xml:space="preserve"> </w:t>
      </w:r>
      <w:r w:rsidR="00736DFD" w:rsidRPr="00291A4A">
        <w:rPr>
          <w:sz w:val="16"/>
        </w:rPr>
        <w:t>Covalent Lithium announced</w:t>
      </w:r>
      <w:r w:rsidR="005C78E6" w:rsidRPr="00291A4A">
        <w:rPr>
          <w:sz w:val="16"/>
        </w:rPr>
        <w:t xml:space="preserve"> in </w:t>
      </w:r>
      <w:r w:rsidR="00736DFD" w:rsidRPr="00291A4A">
        <w:rPr>
          <w:sz w:val="16"/>
        </w:rPr>
        <w:t>August </w:t>
      </w:r>
      <w:r w:rsidR="005C78E6" w:rsidRPr="00291A4A">
        <w:rPr>
          <w:sz w:val="16"/>
        </w:rPr>
        <w:t>2025</w:t>
      </w:r>
      <w:r w:rsidR="00736DFD" w:rsidRPr="00291A4A">
        <w:rPr>
          <w:sz w:val="16"/>
        </w:rPr>
        <w:t xml:space="preserve"> that it had</w:t>
      </w:r>
      <w:r w:rsidR="005C78E6" w:rsidRPr="00291A4A">
        <w:rPr>
          <w:sz w:val="16"/>
        </w:rPr>
        <w:t xml:space="preserve"> </w:t>
      </w:r>
      <w:r w:rsidR="00736DFD" w:rsidRPr="00291A4A">
        <w:rPr>
          <w:sz w:val="16"/>
        </w:rPr>
        <w:t>produced</w:t>
      </w:r>
      <w:r w:rsidR="005C78E6" w:rsidRPr="00291A4A">
        <w:rPr>
          <w:sz w:val="16"/>
        </w:rPr>
        <w:t xml:space="preserve"> its first battery-grade lithium hydroxide </w:t>
      </w:r>
      <w:r w:rsidR="00736DFD" w:rsidRPr="00291A4A">
        <w:rPr>
          <w:sz w:val="16"/>
        </w:rPr>
        <w:t>from</w:t>
      </w:r>
      <w:r w:rsidR="005C78E6" w:rsidRPr="00291A4A">
        <w:rPr>
          <w:sz w:val="16"/>
        </w:rPr>
        <w:t xml:space="preserve"> its refinery in Kwinana</w:t>
      </w:r>
      <w:r w:rsidRPr="00291A4A">
        <w:rPr>
          <w:sz w:val="16"/>
        </w:rPr>
        <w:t>.</w:t>
      </w:r>
    </w:p>
    <w:p w14:paraId="1866E7BF" w14:textId="3497E095" w:rsidR="00474B59" w:rsidRPr="005E09F2" w:rsidRDefault="00E14239" w:rsidP="00A0104D">
      <w:pPr>
        <w:pStyle w:val="BodyText"/>
        <w:spacing w:beforeLines="40" w:before="96" w:afterLines="40" w:after="96"/>
        <w:jc w:val="both"/>
        <w:rPr>
          <w:strike/>
          <w:sz w:val="16"/>
        </w:rPr>
      </w:pPr>
      <w:r>
        <w:rPr>
          <w:sz w:val="16"/>
        </w:rPr>
        <w:t xml:space="preserve">The </w:t>
      </w:r>
      <w:r w:rsidR="009D138D">
        <w:rPr>
          <w:sz w:val="16"/>
        </w:rPr>
        <w:t xml:space="preserve">fall in prices </w:t>
      </w:r>
      <w:r>
        <w:rPr>
          <w:sz w:val="16"/>
        </w:rPr>
        <w:t xml:space="preserve">in 2023 and 2024 </w:t>
      </w:r>
      <w:r w:rsidR="009D138D">
        <w:rPr>
          <w:sz w:val="16"/>
        </w:rPr>
        <w:t xml:space="preserve">has made market conditions </w:t>
      </w:r>
      <w:r w:rsidR="00A0104D">
        <w:rPr>
          <w:sz w:val="16"/>
        </w:rPr>
        <w:t xml:space="preserve">challenging </w:t>
      </w:r>
      <w:r w:rsidR="009D138D">
        <w:rPr>
          <w:sz w:val="16"/>
        </w:rPr>
        <w:t xml:space="preserve">for some </w:t>
      </w:r>
      <w:r>
        <w:rPr>
          <w:sz w:val="16"/>
        </w:rPr>
        <w:t xml:space="preserve">battery and critical minerals </w:t>
      </w:r>
      <w:r w:rsidR="009D138D">
        <w:rPr>
          <w:sz w:val="16"/>
        </w:rPr>
        <w:t>projects.</w:t>
      </w:r>
      <w:r w:rsidR="00A0104D">
        <w:rPr>
          <w:sz w:val="16"/>
        </w:rPr>
        <w:t xml:space="preserve"> I</w:t>
      </w:r>
      <w:r w:rsidR="009D138D">
        <w:rPr>
          <w:sz w:val="16"/>
        </w:rPr>
        <w:t xml:space="preserve">n July 2024 Albemarle announced it would be placing one of its two operating trains at </w:t>
      </w:r>
      <w:proofErr w:type="spellStart"/>
      <w:r w:rsidR="009D138D">
        <w:rPr>
          <w:sz w:val="16"/>
        </w:rPr>
        <w:t>Kemerton</w:t>
      </w:r>
      <w:proofErr w:type="spellEnd"/>
      <w:r w:rsidR="009D138D">
        <w:rPr>
          <w:sz w:val="16"/>
        </w:rPr>
        <w:t xml:space="preserve"> into care and maintenance</w:t>
      </w:r>
      <w:r w:rsidR="00A0104D">
        <w:rPr>
          <w:sz w:val="16"/>
        </w:rPr>
        <w:t xml:space="preserve"> </w:t>
      </w:r>
      <w:r w:rsidR="00A0104D" w:rsidRPr="004A5DCE">
        <w:rPr>
          <w:sz w:val="16"/>
        </w:rPr>
        <w:t>and</w:t>
      </w:r>
      <w:r w:rsidR="009D138D" w:rsidRPr="004A5DCE">
        <w:rPr>
          <w:sz w:val="16"/>
        </w:rPr>
        <w:t xml:space="preserve"> </w:t>
      </w:r>
      <w:r w:rsidR="00A0104D" w:rsidRPr="004A5DCE">
        <w:rPr>
          <w:sz w:val="16"/>
        </w:rPr>
        <w:t>i</w:t>
      </w:r>
      <w:r w:rsidR="005C3239" w:rsidRPr="004A5DCE">
        <w:rPr>
          <w:sz w:val="16"/>
        </w:rPr>
        <w:t>n January </w:t>
      </w:r>
      <w:r w:rsidR="009D138D" w:rsidRPr="004A5DCE">
        <w:rPr>
          <w:sz w:val="16"/>
        </w:rPr>
        <w:t xml:space="preserve">2025 Tianqi Lithium announced </w:t>
      </w:r>
      <w:r w:rsidR="005C3239" w:rsidRPr="004A5DCE">
        <w:rPr>
          <w:sz w:val="16"/>
        </w:rPr>
        <w:t xml:space="preserve">it was </w:t>
      </w:r>
      <w:r w:rsidR="009D138D" w:rsidRPr="004A5DCE">
        <w:rPr>
          <w:sz w:val="16"/>
        </w:rPr>
        <w:t>terminating construction on Phase</w:t>
      </w:r>
      <w:r w:rsidR="005C3239" w:rsidRPr="004A5DCE">
        <w:rPr>
          <w:sz w:val="16"/>
        </w:rPr>
        <w:t> </w:t>
      </w:r>
      <w:r w:rsidR="009D138D" w:rsidRPr="004A5DCE">
        <w:rPr>
          <w:sz w:val="16"/>
        </w:rPr>
        <w:t xml:space="preserve">2 </w:t>
      </w:r>
      <w:r w:rsidR="00A0104D" w:rsidRPr="004A5DCE">
        <w:rPr>
          <w:sz w:val="16"/>
        </w:rPr>
        <w:t>of its lithium hydroxide project at Kwinana</w:t>
      </w:r>
      <w:r w:rsidR="009D138D" w:rsidRPr="004A5DCE">
        <w:rPr>
          <w:sz w:val="16"/>
        </w:rPr>
        <w:t>.</w:t>
      </w:r>
      <w:r w:rsidR="00A0104D" w:rsidRPr="004A5DCE">
        <w:rPr>
          <w:sz w:val="16"/>
        </w:rPr>
        <w:t xml:space="preserve"> </w:t>
      </w:r>
      <w:r w:rsidR="0068599A" w:rsidRPr="00987580">
        <w:rPr>
          <w:sz w:val="16"/>
        </w:rPr>
        <w:t xml:space="preserve">BHP announced the suspension of its </w:t>
      </w:r>
      <w:r w:rsidR="00B76A14" w:rsidRPr="00987580">
        <w:rPr>
          <w:sz w:val="16"/>
        </w:rPr>
        <w:t>Nickel West</w:t>
      </w:r>
      <w:r w:rsidR="0068599A" w:rsidRPr="00987580">
        <w:rPr>
          <w:sz w:val="16"/>
        </w:rPr>
        <w:t xml:space="preserve"> operations</w:t>
      </w:r>
      <w:r w:rsidR="0091268C" w:rsidRPr="00987580">
        <w:rPr>
          <w:sz w:val="16"/>
        </w:rPr>
        <w:t xml:space="preserve">, </w:t>
      </w:r>
      <w:r w:rsidR="00B76A14" w:rsidRPr="00987580">
        <w:rPr>
          <w:sz w:val="16"/>
        </w:rPr>
        <w:t>Western Australia’s largest nickel operation</w:t>
      </w:r>
      <w:r w:rsidR="0091268C" w:rsidRPr="00987580">
        <w:rPr>
          <w:sz w:val="16"/>
        </w:rPr>
        <w:t>, from October 2024</w:t>
      </w:r>
      <w:r w:rsidR="00A0104D">
        <w:rPr>
          <w:sz w:val="16"/>
        </w:rPr>
        <w:t xml:space="preserve"> after</w:t>
      </w:r>
      <w:r w:rsidR="0068599A" w:rsidRPr="00987580">
        <w:rPr>
          <w:sz w:val="16"/>
        </w:rPr>
        <w:t xml:space="preserve"> </w:t>
      </w:r>
      <w:r w:rsidR="00A0104D">
        <w:rPr>
          <w:sz w:val="16"/>
        </w:rPr>
        <w:t>a surge in</w:t>
      </w:r>
      <w:r w:rsidR="0068599A" w:rsidRPr="00987580">
        <w:rPr>
          <w:sz w:val="16"/>
        </w:rPr>
        <w:t xml:space="preserve"> low</w:t>
      </w:r>
      <w:r w:rsidR="0091268C" w:rsidRPr="00987580">
        <w:rPr>
          <w:sz w:val="16"/>
        </w:rPr>
        <w:noBreakHyphen/>
      </w:r>
      <w:r w:rsidR="0068599A" w:rsidRPr="00987580">
        <w:rPr>
          <w:sz w:val="16"/>
        </w:rPr>
        <w:t>cost nickel supply</w:t>
      </w:r>
      <w:r w:rsidR="0091268C" w:rsidRPr="00987580">
        <w:rPr>
          <w:sz w:val="16"/>
        </w:rPr>
        <w:t xml:space="preserve"> globally led to a fall in the nickel price.</w:t>
      </w:r>
    </w:p>
    <w:p w14:paraId="2041072F" w14:textId="19C7B55A" w:rsidR="005E09F2" w:rsidRPr="00987580" w:rsidRDefault="005E09F2" w:rsidP="00A0104D">
      <w:pPr>
        <w:pStyle w:val="BodyText"/>
        <w:spacing w:beforeLines="40" w:before="96" w:afterLines="40" w:after="96"/>
        <w:jc w:val="both"/>
        <w:rPr>
          <w:strike/>
          <w:sz w:val="16"/>
        </w:rPr>
      </w:pPr>
      <w:r>
        <w:rPr>
          <w:sz w:val="16"/>
        </w:rPr>
        <w:t xml:space="preserve">In response to challenging market conditions, the Western Australian Government </w:t>
      </w:r>
      <w:r w:rsidR="00C032E5">
        <w:rPr>
          <w:sz w:val="16"/>
        </w:rPr>
        <w:t xml:space="preserve">has announced support programs, including the </w:t>
      </w:r>
      <w:hyperlink r:id="rId16" w:history="1">
        <w:r w:rsidR="00C032E5" w:rsidRPr="00C032E5">
          <w:rPr>
            <w:rStyle w:val="Hyperlink"/>
            <w:sz w:val="16"/>
          </w:rPr>
          <w:t>Nickel Financial Assistance Program</w:t>
        </w:r>
      </w:hyperlink>
      <w:r w:rsidR="00C032E5">
        <w:rPr>
          <w:sz w:val="16"/>
        </w:rPr>
        <w:t xml:space="preserve"> and the </w:t>
      </w:r>
      <w:hyperlink r:id="rId17" w:history="1">
        <w:r w:rsidR="00C032E5" w:rsidRPr="00C032E5">
          <w:rPr>
            <w:rStyle w:val="Hyperlink"/>
            <w:sz w:val="16"/>
          </w:rPr>
          <w:t>Lithium Industry Support Program</w:t>
        </w:r>
      </w:hyperlink>
      <w:r w:rsidR="00C032E5">
        <w:rPr>
          <w:sz w:val="16"/>
        </w:rPr>
        <w:t>.</w:t>
      </w:r>
    </w:p>
    <w:p w14:paraId="4FC4C9E3" w14:textId="77777777" w:rsidR="007E5D90" w:rsidRDefault="007E5D90" w:rsidP="00595DE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7E5D9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7476EDD2" w14:textId="3DF39454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 and resources: 2024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736DFD" w:rsidRPr="00CD6BAF" w14:paraId="522C956E" w14:textId="77777777" w:rsidTr="00C32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E88CE" w14:textId="238CC7EB" w:rsidR="00736DFD" w:rsidRPr="00CD6BAF" w:rsidRDefault="00736DFD" w:rsidP="00736DFD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auto"/>
                <w:sz w:val="16"/>
                <w:szCs w:val="16"/>
              </w:rPr>
              <w:t>Mineral</w:t>
            </w:r>
          </w:p>
        </w:tc>
        <w:tc>
          <w:tcPr>
            <w:tcW w:w="4551" w:type="dxa"/>
            <w:gridSpan w:val="2"/>
            <w:shd w:val="clear" w:color="auto" w:fill="004C3D"/>
          </w:tcPr>
          <w:p w14:paraId="2422EF86" w14:textId="77777777" w:rsidR="00736DFD" w:rsidRPr="00CD6BAF" w:rsidRDefault="00736DFD" w:rsidP="00E21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4550" w:type="dxa"/>
            <w:gridSpan w:val="2"/>
            <w:shd w:val="clear" w:color="auto" w:fill="00725B"/>
          </w:tcPr>
          <w:p w14:paraId="6B4BB35B" w14:textId="77777777" w:rsidR="00736DFD" w:rsidRPr="00CD6BAF" w:rsidRDefault="00736DFD" w:rsidP="00E218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736DFD" w:rsidRPr="00CD6BAF" w14:paraId="63791AA5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D820B" w14:textId="7500AD8B" w:rsidR="00736DFD" w:rsidRPr="0006784D" w:rsidRDefault="00736DFD" w:rsidP="00E218A4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294BE" w14:textId="24228C59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1386F" w14:textId="77777777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EB418" w14:textId="50DE2246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FD848" w14:textId="77777777" w:rsidR="00736DFD" w:rsidRPr="00CD6BAF" w:rsidRDefault="00736DFD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</w:tcPr>
          <w:p w14:paraId="380019A3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E4590E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395BEF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889E65" w14:textId="4753ACF5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312F82" w14:textId="3FF1C972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  <w:r w:rsidR="00EF1373"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0B4B8CCB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881AD9D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1EE4A49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DA49BE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EFCB38C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F80CD29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C64F4A0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</w:tcPr>
          <w:p w14:paraId="780996C2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</w:tcPr>
          <w:p w14:paraId="22E97B67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</w:tcPr>
          <w:p w14:paraId="722FD9AF" w14:textId="098FF552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361" w:type="dxa"/>
            <w:shd w:val="clear" w:color="auto" w:fill="FFFFFF" w:themeFill="background1"/>
          </w:tcPr>
          <w:p w14:paraId="30BF026A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FDC91E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BD61FD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08F40C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2B43648" w14:textId="3BC9DD96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  <w:r w:rsidR="00DF56D7"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933FE6" w14:textId="15B19C02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462B5E7A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FBA0C2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</w:tcPr>
          <w:p w14:paraId="4F70F7E7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</w:tcPr>
          <w:p w14:paraId="3BE33A8D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</w:tcPr>
          <w:p w14:paraId="174A00B4" w14:textId="0FCFB16B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7</w:t>
            </w:r>
            <w:r w:rsidR="00DF56D7"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</w:tcPr>
          <w:p w14:paraId="0D09A5D4" w14:textId="79324D2E" w:rsidR="00460F9F" w:rsidRPr="00F55BC9" w:rsidRDefault="00EF1373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460F9F" w:rsidRPr="00CD6BAF" w14:paraId="55525ED8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8D44B76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35F98E0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578AD4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19B7552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3F0BB68" w14:textId="28B025A9" w:rsidR="00460F9F" w:rsidRPr="00F55BC9" w:rsidRDefault="00EF1373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460F9F" w:rsidRPr="00CD6BAF" w14:paraId="3B98B63D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540D6B0B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</w:tcPr>
          <w:p w14:paraId="21D07863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</w:tcPr>
          <w:p w14:paraId="55A73D50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</w:tcPr>
          <w:p w14:paraId="0BE80D9E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2361" w:type="dxa"/>
            <w:shd w:val="clear" w:color="auto" w:fill="FFFFFF" w:themeFill="background1"/>
          </w:tcPr>
          <w:p w14:paraId="605F1AEC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0C2D821D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C940837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60C1FD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2D55E4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844D1CF" w14:textId="4CBFB24B" w:rsidR="00460F9F" w:rsidRPr="00F55BC9" w:rsidRDefault="00DF56D7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331E510" w14:textId="37C51D90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00C321F9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48E54A35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</w:tcPr>
          <w:p w14:paraId="1F5CAB86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0" w:type="dxa"/>
            <w:shd w:val="clear" w:color="auto" w:fill="FFFFFF" w:themeFill="background1"/>
          </w:tcPr>
          <w:p w14:paraId="412CE61B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0.5</w:t>
            </w:r>
          </w:p>
        </w:tc>
        <w:tc>
          <w:tcPr>
            <w:tcW w:w="2189" w:type="dxa"/>
            <w:shd w:val="clear" w:color="auto" w:fill="FFFFFF" w:themeFill="background1"/>
          </w:tcPr>
          <w:p w14:paraId="72847D03" w14:textId="1D8056A8" w:rsidR="00460F9F" w:rsidRPr="00F55BC9" w:rsidRDefault="00DF56D7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</w:tcPr>
          <w:p w14:paraId="5FBCC8CF" w14:textId="77777777" w:rsidR="00460F9F" w:rsidRPr="00F55BC9" w:rsidRDefault="00460F9F" w:rsidP="00E218A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00C321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335370F" w14:textId="77777777" w:rsidR="00460F9F" w:rsidRPr="00CD6BAF" w:rsidRDefault="00460F9F" w:rsidP="00E218A4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B8E163C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44F7E93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2189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75B9DE21" w14:textId="77777777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68B9650" w14:textId="01FF13EB" w:rsidR="00460F9F" w:rsidRPr="00F55BC9" w:rsidRDefault="00460F9F" w:rsidP="00E218A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7</w:t>
            </w:r>
          </w:p>
        </w:tc>
      </w:tr>
    </w:tbl>
    <w:p w14:paraId="357FA0E6" w14:textId="77777777" w:rsidR="00460F9F" w:rsidRPr="00460F9F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  <w:r w:rsidRPr="00460F9F">
        <w:rPr>
          <w:sz w:val="10"/>
          <w:vertAlign w:val="superscript"/>
        </w:rPr>
        <w:t>1</w:t>
      </w:r>
      <w:r w:rsidRPr="00460F9F">
        <w:rPr>
          <w:sz w:val="10"/>
        </w:rPr>
        <w:t xml:space="preserve"> Includes a selection of minerals for which Western Australia has a significant share of global production or resources.</w:t>
      </w:r>
    </w:p>
    <w:p w14:paraId="511C25D8" w14:textId="7B00D582" w:rsidR="00B961D2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>, Resource Data Files; Geoscience Australia, Australia’s Identified Mineral Resources</w:t>
      </w:r>
      <w:r w:rsidR="00DF56D7" w:rsidRPr="00F55BC9">
        <w:rPr>
          <w:sz w:val="10"/>
        </w:rPr>
        <w:t xml:space="preserve"> 2024</w:t>
      </w:r>
      <w:r w:rsidRPr="00F55BC9">
        <w:rPr>
          <w:sz w:val="10"/>
        </w:rPr>
        <w:t xml:space="preserve">; and US </w:t>
      </w:r>
      <w:r w:rsidRPr="00F73C7E">
        <w:rPr>
          <w:sz w:val="10"/>
        </w:rPr>
        <w:t>Geological Survey, Mineral Commodity Summaries</w:t>
      </w:r>
      <w:r w:rsidR="007E5D90" w:rsidRPr="00F73C7E">
        <w:rPr>
          <w:sz w:val="10"/>
        </w:rPr>
        <w:t>.</w:t>
      </w:r>
    </w:p>
    <w:p w14:paraId="5C2DF32B" w14:textId="4C28DFB3" w:rsidR="00B961D2" w:rsidRDefault="00B961D2" w:rsidP="00460F9F">
      <w:pPr>
        <w:pStyle w:val="BodyText"/>
        <w:spacing w:after="0"/>
        <w:jc w:val="both"/>
        <w:rPr>
          <w:sz w:val="16"/>
        </w:rPr>
        <w:sectPr w:rsidR="00B961D2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B961D2" w:rsidRDefault="008213CD" w:rsidP="00736DFD">
      <w:pPr>
        <w:pStyle w:val="BodyText"/>
        <w:spacing w:before="60" w:after="60"/>
        <w:jc w:val="both"/>
        <w:rPr>
          <w:sz w:val="14"/>
          <w:szCs w:val="14"/>
        </w:rPr>
      </w:pPr>
      <w:r w:rsidRPr="00B961D2">
        <w:rPr>
          <w:sz w:val="14"/>
          <w:szCs w:val="14"/>
          <w:u w:val="single"/>
        </w:rPr>
        <w:t>Note on lithium volumes</w:t>
      </w:r>
      <w:r w:rsidR="00D93E46" w:rsidRPr="00B961D2">
        <w:rPr>
          <w:sz w:val="14"/>
          <w:szCs w:val="14"/>
        </w:rPr>
        <w:t xml:space="preserve">: </w:t>
      </w:r>
      <w:r w:rsidR="00C032E5" w:rsidRPr="00B961D2">
        <w:rPr>
          <w:sz w:val="14"/>
          <w:szCs w:val="14"/>
        </w:rPr>
        <w:t>L</w:t>
      </w:r>
      <w:r w:rsidR="00B65F68" w:rsidRPr="00B961D2">
        <w:rPr>
          <w:sz w:val="14"/>
          <w:szCs w:val="14"/>
        </w:rPr>
        <w:t xml:space="preserve">ithium is </w:t>
      </w:r>
      <w:r w:rsidR="00C16E2C" w:rsidRPr="00B961D2">
        <w:rPr>
          <w:sz w:val="14"/>
          <w:szCs w:val="14"/>
        </w:rPr>
        <w:t>produced</w:t>
      </w:r>
      <w:r w:rsidR="00B65F68" w:rsidRPr="00B961D2">
        <w:rPr>
          <w:sz w:val="14"/>
          <w:szCs w:val="14"/>
        </w:rPr>
        <w:t xml:space="preserve"> </w:t>
      </w:r>
      <w:r w:rsidR="00C16E2C" w:rsidRPr="00B961D2">
        <w:rPr>
          <w:sz w:val="14"/>
          <w:szCs w:val="14"/>
        </w:rPr>
        <w:t>as</w:t>
      </w:r>
      <w:r w:rsidR="00B65F68" w:rsidRPr="00B961D2">
        <w:rPr>
          <w:sz w:val="14"/>
          <w:szCs w:val="14"/>
        </w:rPr>
        <w:t xml:space="preserve"> different compounds, </w:t>
      </w:r>
      <w:r w:rsidR="00C032E5" w:rsidRPr="00B961D2">
        <w:rPr>
          <w:sz w:val="14"/>
          <w:szCs w:val="14"/>
        </w:rPr>
        <w:t xml:space="preserve">so </w:t>
      </w:r>
      <w:r w:rsidR="00B65F68" w:rsidRPr="00B961D2">
        <w:rPr>
          <w:sz w:val="14"/>
          <w:szCs w:val="14"/>
        </w:rPr>
        <w:t xml:space="preserve">lithium volumes </w:t>
      </w:r>
      <w:r w:rsidR="00C032E5" w:rsidRPr="00B961D2">
        <w:rPr>
          <w:sz w:val="14"/>
          <w:szCs w:val="14"/>
        </w:rPr>
        <w:t>are</w:t>
      </w:r>
      <w:r w:rsidR="00B65F68" w:rsidRPr="00B961D2">
        <w:rPr>
          <w:sz w:val="14"/>
          <w:szCs w:val="14"/>
        </w:rPr>
        <w:t xml:space="preserve"> reported in different units. This profile </w:t>
      </w:r>
      <w:r w:rsidR="00C032E5" w:rsidRPr="00B961D2">
        <w:rPr>
          <w:sz w:val="14"/>
          <w:szCs w:val="14"/>
        </w:rPr>
        <w:t xml:space="preserve">uses the volumes </w:t>
      </w:r>
      <w:r w:rsidR="00B65F68" w:rsidRPr="00B961D2">
        <w:rPr>
          <w:sz w:val="14"/>
          <w:szCs w:val="14"/>
        </w:rPr>
        <w:t>as originally reported</w:t>
      </w:r>
      <w:r w:rsidR="00C032E5" w:rsidRPr="00B961D2">
        <w:rPr>
          <w:sz w:val="14"/>
          <w:szCs w:val="14"/>
        </w:rPr>
        <w:t xml:space="preserve"> in the source documents</w:t>
      </w:r>
      <w:r w:rsidR="00F55BC9" w:rsidRPr="00B961D2">
        <w:rPr>
          <w:sz w:val="14"/>
          <w:szCs w:val="14"/>
        </w:rPr>
        <w:t>.</w:t>
      </w:r>
      <w:r w:rsidR="00B65F68" w:rsidRPr="00B961D2">
        <w:rPr>
          <w:sz w:val="14"/>
          <w:szCs w:val="14"/>
        </w:rPr>
        <w:t xml:space="preserve"> As a guide, the lithium content of lithium carbonate is around 19</w:t>
      </w:r>
      <w:r w:rsidR="00C032E5" w:rsidRPr="00B961D2">
        <w:rPr>
          <w:sz w:val="14"/>
          <w:szCs w:val="14"/>
        </w:rPr>
        <w:t>%</w:t>
      </w:r>
      <w:r w:rsidR="00B65F68" w:rsidRPr="00B961D2">
        <w:rPr>
          <w:sz w:val="14"/>
          <w:szCs w:val="14"/>
        </w:rPr>
        <w:t xml:space="preserve">, so volumes reported in lithium carbonate equivalent </w:t>
      </w:r>
      <w:r w:rsidR="00C032E5" w:rsidRPr="00B961D2">
        <w:rPr>
          <w:sz w:val="14"/>
          <w:szCs w:val="14"/>
        </w:rPr>
        <w:t xml:space="preserve">(or LCE) </w:t>
      </w:r>
      <w:r w:rsidR="00B65F68" w:rsidRPr="00B961D2">
        <w:rPr>
          <w:sz w:val="14"/>
          <w:szCs w:val="14"/>
        </w:rPr>
        <w:t>are around 5.</w:t>
      </w:r>
      <w:r w:rsidR="00111082" w:rsidRPr="00B961D2">
        <w:rPr>
          <w:sz w:val="14"/>
          <w:szCs w:val="14"/>
        </w:rPr>
        <w:t>3</w:t>
      </w:r>
      <w:r w:rsidR="00C032E5" w:rsidRPr="00B961D2">
        <w:rPr>
          <w:sz w:val="14"/>
          <w:szCs w:val="14"/>
        </w:rPr>
        <w:t> </w:t>
      </w:r>
      <w:r w:rsidR="00B65F68" w:rsidRPr="00B961D2">
        <w:rPr>
          <w:sz w:val="14"/>
          <w:szCs w:val="14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Lithium"/>
      <w:bookmarkEnd w:id="0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6CDF425F" w:rsidR="00C35826" w:rsidRPr="000B6128" w:rsidRDefault="007247A4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183814F" wp14:editId="07737046">
            <wp:extent cx="3420000" cy="2097890"/>
            <wp:effectExtent l="0" t="0" r="0" b="0"/>
            <wp:docPr id="8705592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(spodumene) accounted for 48% of the value of Western Australia’s battery and critical minerals sales in 2024, with nickel accounting for 31% and copper 9%.</w:t>
      </w:r>
    </w:p>
    <w:p w14:paraId="79F4F6DE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Significant falls in the price for some minerals led to the value of Western Australia’s battery and critical minerals sales falling 55% to $10.5 billion in 2024. The fall in 2024 came after a 14% decrease in the value of battery and critical minerals sales in 2023.</w:t>
      </w:r>
    </w:p>
    <w:p w14:paraId="45AF97D6" w14:textId="77777777" w:rsidR="00460F9F" w:rsidRPr="00BA6916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the sales value of:</w:t>
      </w:r>
    </w:p>
    <w:p w14:paraId="7C60C9E0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(spodumene) fell 69% to $5 billion</w:t>
      </w:r>
    </w:p>
    <w:p w14:paraId="282D8E1D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fell 31% to $3.2 billion</w:t>
      </w:r>
    </w:p>
    <w:p w14:paraId="76B1AC33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copper fell 27% to $940 million</w:t>
      </w:r>
    </w:p>
    <w:p w14:paraId="19280D2D" w14:textId="77777777" w:rsidR="00460F9F" w:rsidRPr="00BA6916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fell 30% to $180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4F8A2FCC" w:rsidR="001300F3" w:rsidRPr="000B6128" w:rsidRDefault="007247A4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E157C0C" wp14:editId="535FA49C">
            <wp:extent cx="3420000" cy="2096739"/>
            <wp:effectExtent l="0" t="0" r="0" b="0"/>
            <wp:docPr id="20421390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43C925A4" w:rsidR="001300F3" w:rsidRPr="00E95A06" w:rsidRDefault="00B36E26" w:rsidP="00E95A06">
      <w:pPr>
        <w:spacing w:after="0"/>
        <w:jc w:val="both"/>
        <w:rPr>
          <w:sz w:val="10"/>
        </w:rPr>
      </w:pPr>
      <w:r w:rsidRPr="00B36E26">
        <w:rPr>
          <w:sz w:val="10"/>
          <w:vertAlign w:val="superscript"/>
        </w:rPr>
        <w:t>1</w:t>
      </w:r>
      <w:r>
        <w:rPr>
          <w:sz w:val="10"/>
        </w:rPr>
        <w:t xml:space="preserve"> Direct full-time equivalent (FTE)</w:t>
      </w:r>
      <w:r w:rsidR="00FC272F">
        <w:rPr>
          <w:sz w:val="10"/>
        </w:rPr>
        <w:t>. Includes operational and construction employment</w:t>
      </w:r>
      <w:r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>
        <w:rPr>
          <w:sz w:val="10"/>
        </w:rPr>
        <w:t xml:space="preserve">phosphate, </w:t>
      </w:r>
      <w:r w:rsidR="00A61944">
        <w:rPr>
          <w:sz w:val="10"/>
        </w:rPr>
        <w:t>vanadium,</w:t>
      </w:r>
      <w:r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2537D93C" w:rsidR="00676F4D" w:rsidRPr="00BA6916" w:rsidRDefault="00676F4D" w:rsidP="00676F4D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Direct full</w:t>
      </w:r>
      <w:r w:rsidRPr="00BA6916">
        <w:rPr>
          <w:color w:val="000000" w:themeColor="text1"/>
          <w:sz w:val="16"/>
        </w:rPr>
        <w:noBreakHyphen/>
        <w:t xml:space="preserve">time equivalent (FTE) employment in Western Australia’s battery and critical minerals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9% to 22,582 in 2024.</w:t>
      </w:r>
    </w:p>
    <w:p w14:paraId="566337CC" w14:textId="77777777" w:rsidR="00676F4D" w:rsidRPr="00BA6916" w:rsidRDefault="00676F4D" w:rsidP="00676F4D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direct FTE employment in the:</w:t>
      </w:r>
    </w:p>
    <w:p w14:paraId="37607D21" w14:textId="77777777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industry increased 13% to 11,422</w:t>
      </w:r>
    </w:p>
    <w:p w14:paraId="0BAD23AC" w14:textId="3D22B276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nickel and cobalt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30% to 7,660</w:t>
      </w:r>
    </w:p>
    <w:p w14:paraId="0C3E384E" w14:textId="46386AF9" w:rsidR="00676F4D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copper and zinc industry </w:t>
      </w:r>
      <w:r w:rsidR="00064488" w:rsidRPr="00BA6916">
        <w:rPr>
          <w:color w:val="000000" w:themeColor="text1"/>
          <w:sz w:val="16"/>
        </w:rPr>
        <w:t>fell</w:t>
      </w:r>
      <w:r w:rsidRPr="00BA6916">
        <w:rPr>
          <w:color w:val="000000" w:themeColor="text1"/>
          <w:sz w:val="16"/>
        </w:rPr>
        <w:t xml:space="preserve"> 7% to 1,545</w:t>
      </w:r>
    </w:p>
    <w:p w14:paraId="2780059D" w14:textId="1BF06871" w:rsidR="00104591" w:rsidRPr="00BA6916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rare earths industry fell 34% to 789</w:t>
      </w:r>
      <w:r w:rsidR="00E16895" w:rsidRPr="00BA6916">
        <w:rPr>
          <w:color w:val="000000" w:themeColor="text1"/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72529926" w:rsidR="000747AE" w:rsidRPr="008E4605" w:rsidRDefault="007247A4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222C366" wp14:editId="22A2CAF5">
            <wp:extent cx="3420000" cy="2102978"/>
            <wp:effectExtent l="0" t="0" r="0" b="0"/>
            <wp:docPr id="19469300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2E34BB3A" w14:textId="3658DFF1" w:rsidR="001300F3" w:rsidRPr="006D6739" w:rsidRDefault="001300F3" w:rsidP="001300F3">
      <w:pPr>
        <w:spacing w:after="0"/>
        <w:jc w:val="both"/>
        <w:rPr>
          <w:sz w:val="16"/>
        </w:rPr>
      </w:pPr>
      <w:r>
        <w:br w:type="column"/>
      </w:r>
    </w:p>
    <w:p w14:paraId="50E4CF96" w14:textId="77777777" w:rsidR="00027CB6" w:rsidRDefault="00027CB6" w:rsidP="001300F3">
      <w:pPr>
        <w:spacing w:after="0"/>
        <w:jc w:val="both"/>
        <w:rPr>
          <w:sz w:val="16"/>
        </w:rPr>
      </w:pP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31DB898D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accounted for 3% of Western Australia’s royalty revenue</w:t>
      </w:r>
      <w:r w:rsidRPr="00BA6916">
        <w:rPr>
          <w:color w:val="000000" w:themeColor="text1"/>
          <w:sz w:val="16"/>
          <w:vertAlign w:val="superscript"/>
        </w:rPr>
        <w:t xml:space="preserve"> </w:t>
      </w:r>
      <w:r w:rsidRPr="00BA6916">
        <w:rPr>
          <w:color w:val="000000" w:themeColor="text1"/>
          <w:sz w:val="16"/>
        </w:rPr>
        <w:t xml:space="preserve">(including </w:t>
      </w:r>
      <w:proofErr w:type="gramStart"/>
      <w:r w:rsidRPr="00BA6916">
        <w:rPr>
          <w:color w:val="000000" w:themeColor="text1"/>
          <w:sz w:val="16"/>
        </w:rPr>
        <w:t>North West</w:t>
      </w:r>
      <w:proofErr w:type="gramEnd"/>
      <w:r w:rsidRPr="00BA6916">
        <w:rPr>
          <w:color w:val="000000" w:themeColor="text1"/>
          <w:sz w:val="16"/>
        </w:rPr>
        <w:t xml:space="preserve"> Shelf grants) in 2024.</w:t>
      </w:r>
    </w:p>
    <w:p w14:paraId="4E38A456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Lithium royalties fell 64% to $377 million in 2024.</w:t>
      </w:r>
    </w:p>
    <w:p w14:paraId="2CC2038D" w14:textId="1A343A6C" w:rsidR="0009423B" w:rsidRPr="00BA6916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has a 2.</w:t>
      </w:r>
      <w:r w:rsidRPr="00BA6916">
        <w:rPr>
          <w:color w:val="000000" w:themeColor="text1"/>
          <w:sz w:val="16"/>
          <w:lang w:val="en"/>
        </w:rPr>
        <w:t>5% royalty rate on the value of nickel sold</w:t>
      </w:r>
      <w:r w:rsidR="00243D30" w:rsidRPr="00BA6916">
        <w:rPr>
          <w:color w:val="000000" w:themeColor="text1"/>
          <w:sz w:val="16"/>
          <w:lang w:val="en"/>
        </w:rPr>
        <w:t>.</w:t>
      </w:r>
      <w:r w:rsidR="004F565D" w:rsidRPr="00BA6916">
        <w:rPr>
          <w:color w:val="000000" w:themeColor="text1"/>
          <w:sz w:val="16"/>
          <w:lang w:val="en"/>
        </w:rPr>
        <w:t xml:space="preserve"> </w:t>
      </w:r>
      <w:r w:rsidR="00243D30" w:rsidRPr="00BA6916">
        <w:rPr>
          <w:color w:val="000000" w:themeColor="text1"/>
          <w:sz w:val="16"/>
          <w:lang w:val="en"/>
        </w:rPr>
        <w:t>T</w:t>
      </w:r>
      <w:r w:rsidR="004F565D" w:rsidRPr="00BA6916">
        <w:rPr>
          <w:color w:val="000000" w:themeColor="text1"/>
          <w:sz w:val="16"/>
          <w:lang w:val="en"/>
        </w:rPr>
        <w:t xml:space="preserve">he </w:t>
      </w:r>
      <w:r w:rsidRPr="00BA6916">
        <w:rPr>
          <w:color w:val="000000" w:themeColor="text1"/>
          <w:sz w:val="16"/>
        </w:rPr>
        <w:t xml:space="preserve">nickel industry is </w:t>
      </w:r>
      <w:r w:rsidR="00243D30" w:rsidRPr="00BA6916">
        <w:rPr>
          <w:color w:val="000000" w:themeColor="text1"/>
          <w:sz w:val="16"/>
        </w:rPr>
        <w:t xml:space="preserve">currently </w:t>
      </w:r>
      <w:r w:rsidRPr="00BA6916">
        <w:rPr>
          <w:color w:val="000000" w:themeColor="text1"/>
          <w:sz w:val="16"/>
        </w:rPr>
        <w:t>receiving support through the WA Government’s Nickel Financial Assistance Program</w:t>
      </w:r>
      <w:r w:rsidR="00243D30" w:rsidRPr="00BA6916">
        <w:rPr>
          <w:color w:val="000000" w:themeColor="text1"/>
          <w:sz w:val="16"/>
        </w:rPr>
        <w:t>, which</w:t>
      </w:r>
      <w:r w:rsidR="00507354" w:rsidRPr="00BA6916">
        <w:rPr>
          <w:color w:val="000000" w:themeColor="text1"/>
          <w:sz w:val="16"/>
        </w:rPr>
        <w:t xml:space="preserve"> </w:t>
      </w:r>
      <w:r w:rsidRPr="00BA6916">
        <w:rPr>
          <w:color w:val="000000" w:themeColor="text1"/>
          <w:sz w:val="16"/>
        </w:rPr>
        <w:t>provides a 50% rebate on royalties paid on nickel sales each quarter between March 2024 to June 2025</w:t>
      </w:r>
      <w:r w:rsidR="00507354" w:rsidRPr="00BA6916">
        <w:rPr>
          <w:color w:val="000000" w:themeColor="text1"/>
          <w:sz w:val="16"/>
        </w:rPr>
        <w:t xml:space="preserve">, </w:t>
      </w:r>
      <w:r w:rsidRPr="00BA6916">
        <w:rPr>
          <w:color w:val="000000" w:themeColor="text1"/>
          <w:sz w:val="16"/>
        </w:rPr>
        <w:t>if the average price of nickel in concentrate is below US$20,000 a tonne for a given quarter.</w:t>
      </w:r>
    </w:p>
    <w:p w14:paraId="1D4AF861" w14:textId="77777777" w:rsidR="00676F4D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accounted for 1% of Western Australia’s royalty revenue</w:t>
      </w:r>
      <w:r w:rsidRPr="00BA6916">
        <w:rPr>
          <w:color w:val="000000" w:themeColor="text1"/>
          <w:sz w:val="16"/>
          <w:vertAlign w:val="superscript"/>
        </w:rPr>
        <w:t xml:space="preserve"> </w:t>
      </w:r>
      <w:r w:rsidRPr="00BA6916">
        <w:rPr>
          <w:color w:val="000000" w:themeColor="text1"/>
          <w:sz w:val="16"/>
        </w:rPr>
        <w:t xml:space="preserve">(including </w:t>
      </w:r>
      <w:proofErr w:type="gramStart"/>
      <w:r w:rsidRPr="00BA6916">
        <w:rPr>
          <w:color w:val="000000" w:themeColor="text1"/>
          <w:sz w:val="16"/>
        </w:rPr>
        <w:t>North West</w:t>
      </w:r>
      <w:proofErr w:type="gramEnd"/>
      <w:r w:rsidRPr="00BA6916">
        <w:rPr>
          <w:color w:val="000000" w:themeColor="text1"/>
          <w:sz w:val="16"/>
        </w:rPr>
        <w:t xml:space="preserve"> Shelf grants) in 2024.</w:t>
      </w:r>
    </w:p>
    <w:p w14:paraId="08D74F59" w14:textId="36035CB8" w:rsidR="0069085F" w:rsidRPr="00BA6916" w:rsidRDefault="00676F4D" w:rsidP="00676F4D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royalties fell 39% to $81 million in 2024</w:t>
      </w:r>
      <w:r w:rsidR="001300F3" w:rsidRPr="00BA6916">
        <w:rPr>
          <w:color w:val="000000" w:themeColor="text1"/>
          <w:sz w:val="16"/>
        </w:rPr>
        <w:t>.</w:t>
      </w:r>
    </w:p>
    <w:p w14:paraId="4662B0A9" w14:textId="5CB4380E" w:rsidR="001300F3" w:rsidRPr="004F565D" w:rsidRDefault="001300F3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F565D">
        <w:rPr>
          <w:sz w:val="16"/>
        </w:rPr>
        <w:br w:type="page"/>
      </w:r>
    </w:p>
    <w:p w14:paraId="377B7E8C" w14:textId="52DA1B80" w:rsidR="00025C90" w:rsidRPr="0042003C" w:rsidRDefault="00025C90" w:rsidP="001300F3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AC6FC79" w:rsidR="001025DA" w:rsidRPr="008B167C" w:rsidRDefault="007247A4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185418F" wp14:editId="7DBA9406">
            <wp:extent cx="3420000" cy="2097890"/>
            <wp:effectExtent l="0" t="0" r="0" b="0"/>
            <wp:docPr id="7743883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7128000E" w:rsidR="002060AA" w:rsidRPr="00F55BC9" w:rsidRDefault="002060AA" w:rsidP="002060AA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Pr="00F55BC9">
        <w:rPr>
          <w:sz w:val="10"/>
        </w:rPr>
        <w:t>ine</w:t>
      </w:r>
      <w:proofErr w:type="gramEnd"/>
      <w:r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E855664" w14:textId="77777777" w:rsidR="00FB78CA" w:rsidRDefault="00FB78CA" w:rsidP="001025DA">
      <w:pPr>
        <w:pStyle w:val="BodyText"/>
        <w:spacing w:after="0"/>
        <w:jc w:val="both"/>
        <w:rPr>
          <w:sz w:val="16"/>
        </w:rPr>
      </w:pPr>
    </w:p>
    <w:p w14:paraId="217451FA" w14:textId="77777777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 xml:space="preserve">Lithium is mainly used in rechargeable batteries </w:t>
      </w:r>
      <w:r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BA6916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114D879B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 xml:space="preserve">The average total cash cost of Western Australia’s lithium production was US$4,701 a lithium carbonate equivalent (LCE) in 2024, below the world average of 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LCE.</w:t>
      </w:r>
    </w:p>
    <w:p w14:paraId="13D21023" w14:textId="77777777" w:rsidR="00AD0CD2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 xml:space="preserve">In 2024, Western Australia’s average total cash cost of lithium production was 73% lower than Chile’s average total cash cost of US$17,657 a LCE and 15% lower than China’s average total cash cost of US$5,552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AD0CD2" w:rsidRPr="00AD0CD2">
        <w:rPr>
          <w:color w:val="000000" w:themeColor="text1"/>
          <w:sz w:val="16"/>
        </w:rPr>
        <w:t>.</w:t>
      </w:r>
    </w:p>
    <w:p w14:paraId="687D81C5" w14:textId="256570CC" w:rsidR="00864FA5" w:rsidRPr="00F55BC9" w:rsidRDefault="00AD0CD2" w:rsidP="00563B39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average total cash cost of Western Australia’s lithium production of US$4,701 a LCE was </w:t>
      </w:r>
      <w:r w:rsidR="00346D8F" w:rsidRPr="00F55BC9">
        <w:rPr>
          <w:sz w:val="16"/>
        </w:rPr>
        <w:t xml:space="preserve">well </w:t>
      </w:r>
      <w:r w:rsidR="00027CB6" w:rsidRPr="00F55BC9">
        <w:rPr>
          <w:sz w:val="16"/>
        </w:rPr>
        <w:t xml:space="preserve">below </w:t>
      </w:r>
      <w:r w:rsidRPr="00F55BC9">
        <w:rPr>
          <w:sz w:val="16"/>
        </w:rPr>
        <w:t xml:space="preserve">the Asia </w:t>
      </w:r>
      <w:r w:rsidR="00563B39" w:rsidRPr="00F55BC9">
        <w:rPr>
          <w:sz w:val="16"/>
        </w:rPr>
        <w:t xml:space="preserve">annual </w:t>
      </w:r>
      <w:r w:rsidRPr="00F55BC9">
        <w:rPr>
          <w:sz w:val="16"/>
        </w:rPr>
        <w:t>average lithium carbonate price of US$</w:t>
      </w:r>
      <w:r w:rsidR="00346D8F" w:rsidRPr="00F55BC9">
        <w:rPr>
          <w:sz w:val="16"/>
        </w:rPr>
        <w:t>12,550</w:t>
      </w:r>
      <w:r w:rsidRPr="00F55BC9">
        <w:rPr>
          <w:sz w:val="16"/>
        </w:rPr>
        <w:t xml:space="preserve"> a </w:t>
      </w:r>
      <w:r w:rsidR="00346D8F" w:rsidRPr="00F55BC9">
        <w:rPr>
          <w:sz w:val="16"/>
        </w:rPr>
        <w:t>tonne</w:t>
      </w:r>
      <w:r w:rsidRPr="00F55BC9">
        <w:rPr>
          <w:sz w:val="16"/>
        </w:rPr>
        <w:t xml:space="preserve"> in 2024</w:t>
      </w:r>
      <w:r w:rsidR="00864FA5" w:rsidRPr="00F55BC9">
        <w:rPr>
          <w:sz w:val="16"/>
        </w:rPr>
        <w:t>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0F660D26" w:rsidR="00812901" w:rsidRDefault="007247A4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18749AB" wp14:editId="48F9C381">
            <wp:extent cx="3420000" cy="2105827"/>
            <wp:effectExtent l="0" t="0" r="9525" b="8890"/>
            <wp:docPr id="23172916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3B96968B" w:rsidR="00812901" w:rsidRPr="00F55BC9" w:rsidRDefault="00812901" w:rsidP="00812901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Spodumene concentrate.</w:t>
      </w:r>
      <w:r w:rsidR="00EB2BF0" w:rsidRPr="00F55BC9">
        <w:rPr>
          <w:sz w:val="10"/>
        </w:rPr>
        <w:t xml:space="preserve"> Index </w:t>
      </w:r>
      <w:r w:rsidR="00DA28B4" w:rsidRPr="00F55BC9">
        <w:rPr>
          <w:sz w:val="10"/>
        </w:rPr>
        <w:t xml:space="preserve">2023 = </w:t>
      </w:r>
      <w:r w:rsidR="00EB2BF0" w:rsidRPr="00F55BC9">
        <w:rPr>
          <w:sz w:val="10"/>
        </w:rPr>
        <w:t>100.0.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77777777" w:rsidR="008E3EBF" w:rsidRPr="00BA6916" w:rsidRDefault="008E3EBF" w:rsidP="008E3EBF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In 2024, the value of Western Australia’s lithium sales fell 69% to $5 billion, which was the net result from the:</w:t>
      </w:r>
    </w:p>
    <w:p w14:paraId="23D2096A" w14:textId="766B783D" w:rsidR="008E3EBF" w:rsidRPr="00BA6916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average unit price of sales falling </w:t>
      </w:r>
      <w:r w:rsidR="002E53AD" w:rsidRPr="00BA6916">
        <w:rPr>
          <w:color w:val="000000" w:themeColor="text1"/>
          <w:sz w:val="16"/>
        </w:rPr>
        <w:t>72</w:t>
      </w:r>
      <w:r w:rsidRPr="00BA6916">
        <w:rPr>
          <w:color w:val="000000" w:themeColor="text1"/>
          <w:sz w:val="16"/>
        </w:rPr>
        <w:t>%</w:t>
      </w:r>
    </w:p>
    <w:p w14:paraId="4BBFE82C" w14:textId="77777777" w:rsidR="008E3EBF" w:rsidRPr="00BA6916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increasing 11% to 3.8 million tonnes.</w:t>
      </w:r>
    </w:p>
    <w:p w14:paraId="1C3AB076" w14:textId="4A86ED60" w:rsidR="008E3EBF" w:rsidRPr="00BA6916" w:rsidRDefault="008E3EBF" w:rsidP="008E3EBF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Greenbushes is Western Australia’s largest lithium mine</w:t>
      </w:r>
      <w:r w:rsidR="002972C2">
        <w:rPr>
          <w:color w:val="000000" w:themeColor="text1"/>
          <w:sz w:val="16"/>
        </w:rPr>
        <w:t xml:space="preserve">, accounting for </w:t>
      </w:r>
      <w:r w:rsidRPr="00BA6916">
        <w:rPr>
          <w:color w:val="000000" w:themeColor="text1"/>
          <w:sz w:val="16"/>
        </w:rPr>
        <w:t>37% of the State’s lithium production</w:t>
      </w:r>
      <w:r w:rsidR="002972C2">
        <w:rPr>
          <w:color w:val="000000" w:themeColor="text1"/>
          <w:sz w:val="16"/>
        </w:rPr>
        <w:t xml:space="preserve"> in 2024</w:t>
      </w:r>
      <w:r w:rsidRPr="00BA6916">
        <w:rPr>
          <w:color w:val="000000" w:themeColor="text1"/>
          <w:sz w:val="16"/>
        </w:rPr>
        <w:t xml:space="preserve">, followed by </w:t>
      </w:r>
      <w:proofErr w:type="spellStart"/>
      <w:r w:rsidRPr="00BA6916">
        <w:rPr>
          <w:color w:val="000000" w:themeColor="text1"/>
          <w:sz w:val="16"/>
        </w:rPr>
        <w:t>Pilgangoora</w:t>
      </w:r>
      <w:proofErr w:type="spellEnd"/>
      <w:r w:rsidRPr="00BA6916">
        <w:rPr>
          <w:color w:val="000000" w:themeColor="text1"/>
          <w:sz w:val="16"/>
        </w:rPr>
        <w:t xml:space="preserve"> (16%), Mt Marion (14%) and </w:t>
      </w:r>
      <w:proofErr w:type="spellStart"/>
      <w:r w:rsidRPr="00BA6916">
        <w:rPr>
          <w:color w:val="000000" w:themeColor="text1"/>
          <w:sz w:val="16"/>
        </w:rPr>
        <w:t>Wodgina</w:t>
      </w:r>
      <w:proofErr w:type="spellEnd"/>
      <w:r w:rsidRPr="00BA6916">
        <w:rPr>
          <w:color w:val="000000" w:themeColor="text1"/>
          <w:sz w:val="16"/>
        </w:rPr>
        <w:t xml:space="preserve"> (10%).</w:t>
      </w:r>
    </w:p>
    <w:p w14:paraId="6567A4D9" w14:textId="78D500F3" w:rsidR="000228E5" w:rsidRPr="00F55BC9" w:rsidRDefault="006A3017" w:rsidP="00E26013">
      <w:pPr>
        <w:pStyle w:val="ListParagraph"/>
        <w:numPr>
          <w:ilvl w:val="0"/>
          <w:numId w:val="9"/>
        </w:numPr>
        <w:spacing w:before="40" w:after="40"/>
        <w:contextualSpacing w:val="0"/>
        <w:jc w:val="both"/>
        <w:rPr>
          <w:sz w:val="16"/>
        </w:rPr>
      </w:pPr>
      <w:r w:rsidRPr="00F55BC9">
        <w:rPr>
          <w:sz w:val="16"/>
        </w:rPr>
        <w:t xml:space="preserve">Spodumene concentrate production </w:t>
      </w:r>
      <w:r w:rsidR="0063639E" w:rsidRPr="00F55BC9">
        <w:rPr>
          <w:sz w:val="16"/>
        </w:rPr>
        <w:t xml:space="preserve">capacity </w:t>
      </w:r>
      <w:r w:rsidR="00F57610" w:rsidRPr="00F55BC9">
        <w:rPr>
          <w:sz w:val="16"/>
        </w:rPr>
        <w:t>i</w:t>
      </w:r>
      <w:r w:rsidRPr="00F55BC9">
        <w:rPr>
          <w:sz w:val="16"/>
        </w:rPr>
        <w:t>n Western Australia</w:t>
      </w:r>
      <w:r w:rsidR="00FF7C3D" w:rsidRPr="00F55BC9">
        <w:rPr>
          <w:sz w:val="16"/>
        </w:rPr>
        <w:t xml:space="preserve"> </w:t>
      </w:r>
      <w:r w:rsidR="002972C2" w:rsidRPr="00F55BC9">
        <w:rPr>
          <w:sz w:val="16"/>
        </w:rPr>
        <w:t xml:space="preserve">has </w:t>
      </w:r>
      <w:r w:rsidR="00FF7C3D" w:rsidRPr="00F55BC9">
        <w:rPr>
          <w:sz w:val="16"/>
        </w:rPr>
        <w:t xml:space="preserve">increased </w:t>
      </w:r>
      <w:r w:rsidR="00C100B0" w:rsidRPr="00F55BC9">
        <w:rPr>
          <w:sz w:val="16"/>
        </w:rPr>
        <w:t>in recent years from</w:t>
      </w:r>
      <w:r w:rsidR="0063639E" w:rsidRPr="00F55BC9">
        <w:rPr>
          <w:sz w:val="16"/>
        </w:rPr>
        <w:t>:</w:t>
      </w:r>
    </w:p>
    <w:p w14:paraId="375C8763" w14:textId="354D5CE8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Kathleen Valley lithium project</w:t>
      </w:r>
      <w:r w:rsidR="00FF7C3D" w:rsidRPr="00F55BC9">
        <w:rPr>
          <w:sz w:val="16"/>
        </w:rPr>
        <w:t xml:space="preserve">, which </w:t>
      </w:r>
      <w:r w:rsidR="00E87D5E" w:rsidRPr="00F55BC9">
        <w:rPr>
          <w:sz w:val="16"/>
        </w:rPr>
        <w:t>began</w:t>
      </w:r>
      <w:r w:rsidR="00D64B86" w:rsidRPr="00F55BC9">
        <w:rPr>
          <w:sz w:val="16"/>
        </w:rPr>
        <w:t xml:space="preserve"> </w:t>
      </w:r>
      <w:r w:rsidRPr="00F55BC9">
        <w:rPr>
          <w:sz w:val="16"/>
        </w:rPr>
        <w:t xml:space="preserve">production in </w:t>
      </w:r>
      <w:r w:rsidR="00E87D5E" w:rsidRPr="00F55BC9">
        <w:rPr>
          <w:sz w:val="16"/>
        </w:rPr>
        <w:t>July </w:t>
      </w:r>
      <w:r w:rsidRPr="00F55BC9">
        <w:rPr>
          <w:sz w:val="16"/>
        </w:rPr>
        <w:t>2024.</w:t>
      </w:r>
    </w:p>
    <w:p w14:paraId="0F1832EF" w14:textId="73F212BC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P1000 expansion of the </w:t>
      </w:r>
      <w:proofErr w:type="spellStart"/>
      <w:r w:rsidRPr="00F55BC9">
        <w:rPr>
          <w:sz w:val="16"/>
        </w:rPr>
        <w:t>Pilgangoora</w:t>
      </w:r>
      <w:proofErr w:type="spellEnd"/>
      <w:r w:rsidRPr="00F55BC9">
        <w:rPr>
          <w:sz w:val="16"/>
        </w:rPr>
        <w:t xml:space="preserve"> lithium operation</w:t>
      </w:r>
      <w:r w:rsidR="003A693D" w:rsidRPr="00F55BC9">
        <w:rPr>
          <w:sz w:val="16"/>
        </w:rPr>
        <w:t xml:space="preserve">, which </w:t>
      </w:r>
      <w:r w:rsidRPr="00F55BC9">
        <w:rPr>
          <w:sz w:val="16"/>
        </w:rPr>
        <w:t>will increase the project’s production by 47% to 1</w:t>
      </w:r>
      <w:r w:rsidR="00C272F1" w:rsidRPr="00F55BC9">
        <w:rPr>
          <w:sz w:val="16"/>
        </w:rPr>
        <w:t> </w:t>
      </w:r>
      <w:r w:rsidRPr="00F55BC9">
        <w:rPr>
          <w:sz w:val="16"/>
        </w:rPr>
        <w:t>million tonnes a year.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275292C0" w:rsidR="00B705C0" w:rsidRPr="00282781" w:rsidRDefault="007247A4" w:rsidP="00B705C0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CE7FFBE" wp14:editId="157DE17B">
            <wp:extent cx="3420000" cy="2088567"/>
            <wp:effectExtent l="0" t="0" r="9525" b="6985"/>
            <wp:docPr id="5144978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88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4BA57652" w:rsidR="00B705C0" w:rsidRPr="00A0524E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D6385B">
        <w:rPr>
          <w:sz w:val="16"/>
        </w:rPr>
        <w:t xml:space="preserve">Lithium prices </w:t>
      </w:r>
      <w:r w:rsidR="002A4C4F" w:rsidRPr="00D6385B">
        <w:rPr>
          <w:sz w:val="16"/>
        </w:rPr>
        <w:t>fell significantly</w:t>
      </w:r>
      <w:r w:rsidR="003A37BB" w:rsidRPr="00D6385B">
        <w:rPr>
          <w:sz w:val="16"/>
        </w:rPr>
        <w:t xml:space="preserve"> from </w:t>
      </w:r>
      <w:r w:rsidR="00A452DD" w:rsidRPr="00D6385B">
        <w:rPr>
          <w:sz w:val="16"/>
        </w:rPr>
        <w:t>their</w:t>
      </w:r>
      <w:r w:rsidR="003A37BB" w:rsidRPr="00D6385B">
        <w:rPr>
          <w:sz w:val="16"/>
        </w:rPr>
        <w:t xml:space="preserve"> peak in 2023 </w:t>
      </w:r>
      <w:r w:rsidRPr="00D6385B">
        <w:rPr>
          <w:sz w:val="16"/>
        </w:rPr>
        <w:t>due to a large rise in global supply and slowing demand for lithium from China's electric vehicle sector.</w:t>
      </w:r>
      <w:r w:rsidR="002A4C4F" w:rsidRPr="00D6385B">
        <w:rPr>
          <w:sz w:val="16"/>
        </w:rPr>
        <w:t xml:space="preserve"> Prices appear to have now </w:t>
      </w:r>
      <w:r w:rsidR="002A4C4F" w:rsidRPr="00A0524E">
        <w:rPr>
          <w:sz w:val="16"/>
        </w:rPr>
        <w:t>stabilised</w:t>
      </w:r>
      <w:r w:rsidR="007247A4" w:rsidRPr="00A0524E">
        <w:rPr>
          <w:sz w:val="16"/>
        </w:rPr>
        <w:t xml:space="preserve"> and may be trending upwards.</w:t>
      </w:r>
    </w:p>
    <w:p w14:paraId="522AF190" w14:textId="001809CB" w:rsidR="00B959FD" w:rsidRPr="00A0524E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A0524E">
        <w:rPr>
          <w:sz w:val="16"/>
        </w:rPr>
        <w:t xml:space="preserve">In </w:t>
      </w:r>
      <w:r w:rsidR="00D6385B" w:rsidRPr="00A0524E">
        <w:rPr>
          <w:sz w:val="16"/>
        </w:rPr>
        <w:t>August</w:t>
      </w:r>
      <w:r w:rsidRPr="00A0524E">
        <w:rPr>
          <w:sz w:val="16"/>
        </w:rPr>
        <w:t> 2025, the monthly average price for:</w:t>
      </w:r>
    </w:p>
    <w:p w14:paraId="548207D0" w14:textId="5B485AF5" w:rsidR="00B959FD" w:rsidRPr="00A0524E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</w:rPr>
      </w:pPr>
      <w:bookmarkStart w:id="1" w:name="_Hlk194928424"/>
      <w:bookmarkStart w:id="2" w:name="_Hlk194928406"/>
      <w:r w:rsidRPr="00A0524E">
        <w:rPr>
          <w:sz w:val="16"/>
        </w:rPr>
        <w:t>lithium spodumene was US$</w:t>
      </w:r>
      <w:r w:rsidR="00D6385B" w:rsidRPr="00A0524E">
        <w:rPr>
          <w:sz w:val="16"/>
        </w:rPr>
        <w:t>938</w:t>
      </w:r>
      <w:r w:rsidRPr="00A0524E">
        <w:rPr>
          <w:sz w:val="16"/>
        </w:rPr>
        <w:t xml:space="preserve"> a tonne, </w:t>
      </w:r>
      <w:r w:rsidR="00D6385B" w:rsidRPr="00A0524E">
        <w:rPr>
          <w:sz w:val="16"/>
        </w:rPr>
        <w:t>32</w:t>
      </w:r>
      <w:r w:rsidRPr="00A0524E">
        <w:rPr>
          <w:sz w:val="16"/>
        </w:rPr>
        <w:t xml:space="preserve">% </w:t>
      </w:r>
      <w:r w:rsidR="00D05098" w:rsidRPr="00A0524E">
        <w:rPr>
          <w:sz w:val="16"/>
        </w:rPr>
        <w:t>higher</w:t>
      </w:r>
      <w:r w:rsidRPr="00A0524E">
        <w:rPr>
          <w:sz w:val="16"/>
        </w:rPr>
        <w:t xml:space="preserve"> than the previous month</w:t>
      </w:r>
      <w:r w:rsidR="00D6385B" w:rsidRPr="00A0524E">
        <w:rPr>
          <w:sz w:val="16"/>
        </w:rPr>
        <w:t xml:space="preserve"> and 11</w:t>
      </w:r>
      <w:r w:rsidRPr="00A0524E">
        <w:rPr>
          <w:sz w:val="16"/>
        </w:rPr>
        <w:t>%</w:t>
      </w:r>
      <w:r w:rsidR="00FB640E" w:rsidRPr="00A0524E">
        <w:rPr>
          <w:sz w:val="16"/>
        </w:rPr>
        <w:t xml:space="preserve"> </w:t>
      </w:r>
      <w:r w:rsidR="00D6385B" w:rsidRPr="00A0524E">
        <w:rPr>
          <w:sz w:val="16"/>
        </w:rPr>
        <w:t>higher</w:t>
      </w:r>
      <w:r w:rsidRPr="00A0524E">
        <w:rPr>
          <w:sz w:val="16"/>
        </w:rPr>
        <w:t xml:space="preserve"> than year ago</w:t>
      </w:r>
      <w:bookmarkEnd w:id="1"/>
    </w:p>
    <w:p w14:paraId="17E37105" w14:textId="01D6605E" w:rsidR="00B959FD" w:rsidRPr="00A0524E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bookmarkStart w:id="3" w:name="_Hlk194928445"/>
      <w:r w:rsidRPr="00A0524E">
        <w:rPr>
          <w:sz w:val="16"/>
        </w:rPr>
        <w:t>lithium hydroxide was US$8,</w:t>
      </w:r>
      <w:r w:rsidR="00D6385B" w:rsidRPr="00A0524E">
        <w:rPr>
          <w:sz w:val="16"/>
        </w:rPr>
        <w:t>500</w:t>
      </w:r>
      <w:r w:rsidRPr="00A0524E">
        <w:rPr>
          <w:sz w:val="16"/>
        </w:rPr>
        <w:t xml:space="preserve"> a tonne, </w:t>
      </w:r>
      <w:r w:rsidR="00D6385B" w:rsidRPr="00A0524E">
        <w:rPr>
          <w:sz w:val="16"/>
        </w:rPr>
        <w:t>1</w:t>
      </w:r>
      <w:r w:rsidRPr="00A0524E">
        <w:rPr>
          <w:sz w:val="16"/>
        </w:rPr>
        <w:t xml:space="preserve">% </w:t>
      </w:r>
      <w:r w:rsidR="00D05098" w:rsidRPr="00A0524E">
        <w:rPr>
          <w:sz w:val="16"/>
        </w:rPr>
        <w:t>higher</w:t>
      </w:r>
      <w:r w:rsidRPr="00A0524E">
        <w:rPr>
          <w:sz w:val="16"/>
        </w:rPr>
        <w:t xml:space="preserve"> than the previous month </w:t>
      </w:r>
      <w:r w:rsidR="002A4C4F" w:rsidRPr="00A0524E">
        <w:rPr>
          <w:sz w:val="16"/>
        </w:rPr>
        <w:t>but</w:t>
      </w:r>
      <w:r w:rsidRPr="00A0524E">
        <w:rPr>
          <w:sz w:val="16"/>
        </w:rPr>
        <w:t xml:space="preserve"> </w:t>
      </w:r>
      <w:r w:rsidR="00D6385B" w:rsidRPr="00A0524E">
        <w:rPr>
          <w:sz w:val="16"/>
        </w:rPr>
        <w:t>24</w:t>
      </w:r>
      <w:r w:rsidRPr="00A0524E">
        <w:rPr>
          <w:sz w:val="16"/>
        </w:rPr>
        <w:t>% lower than a year ago</w:t>
      </w:r>
      <w:bookmarkEnd w:id="3"/>
    </w:p>
    <w:p w14:paraId="14A2022E" w14:textId="69F3EA2B" w:rsidR="00027FE6" w:rsidRPr="00A0524E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bookmarkStart w:id="4" w:name="_Hlk194928436"/>
      <w:r w:rsidRPr="00A0524E">
        <w:rPr>
          <w:sz w:val="16"/>
        </w:rPr>
        <w:t>lithium carbonate was US$</w:t>
      </w:r>
      <w:r w:rsidR="00D6385B" w:rsidRPr="00A0524E">
        <w:rPr>
          <w:sz w:val="16"/>
        </w:rPr>
        <w:t>9,150</w:t>
      </w:r>
      <w:r w:rsidRPr="00A0524E">
        <w:rPr>
          <w:sz w:val="16"/>
        </w:rPr>
        <w:t xml:space="preserve"> a tonne, </w:t>
      </w:r>
      <w:r w:rsidR="00D6385B" w:rsidRPr="00A0524E">
        <w:rPr>
          <w:sz w:val="16"/>
        </w:rPr>
        <w:t>4</w:t>
      </w:r>
      <w:r w:rsidRPr="00A0524E">
        <w:rPr>
          <w:sz w:val="16"/>
        </w:rPr>
        <w:t xml:space="preserve">% </w:t>
      </w:r>
      <w:r w:rsidR="00D05098" w:rsidRPr="00A0524E">
        <w:rPr>
          <w:sz w:val="16"/>
        </w:rPr>
        <w:t>higher</w:t>
      </w:r>
      <w:r w:rsidRPr="00A0524E">
        <w:rPr>
          <w:sz w:val="16"/>
        </w:rPr>
        <w:t xml:space="preserve"> than the previous month </w:t>
      </w:r>
      <w:r w:rsidR="002A4C4F" w:rsidRPr="00A0524E">
        <w:rPr>
          <w:sz w:val="16"/>
        </w:rPr>
        <w:t>but</w:t>
      </w:r>
      <w:r w:rsidRPr="00A0524E">
        <w:rPr>
          <w:sz w:val="16"/>
        </w:rPr>
        <w:t xml:space="preserve"> </w:t>
      </w:r>
      <w:r w:rsidR="00D6385B" w:rsidRPr="00A0524E">
        <w:rPr>
          <w:sz w:val="16"/>
        </w:rPr>
        <w:t>18</w:t>
      </w:r>
      <w:r w:rsidRPr="00A0524E">
        <w:rPr>
          <w:sz w:val="16"/>
        </w:rPr>
        <w:t>% lower than a year ago.</w:t>
      </w:r>
      <w:bookmarkEnd w:id="4"/>
    </w:p>
    <w:bookmarkEnd w:id="2"/>
    <w:p w14:paraId="09BC760C" w14:textId="25B8F318" w:rsidR="00B705C0" w:rsidRPr="00F55BC9" w:rsidRDefault="00B705C0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Office of the Chief Economist forecasts </w:t>
      </w:r>
      <w:r w:rsidR="002600A8" w:rsidRPr="00F55BC9">
        <w:rPr>
          <w:sz w:val="16"/>
        </w:rPr>
        <w:t>lithium prices to</w:t>
      </w:r>
      <w:r w:rsidR="003A37BB" w:rsidRPr="00F55BC9">
        <w:rPr>
          <w:sz w:val="16"/>
        </w:rPr>
        <w:t xml:space="preserve"> begin to recover from 2026.</w:t>
      </w:r>
      <w:r w:rsidR="002A4C4F">
        <w:rPr>
          <w:sz w:val="16"/>
        </w:rPr>
        <w:t xml:space="preserve"> The annual average price for:</w:t>
      </w:r>
    </w:p>
    <w:p w14:paraId="1E095FB6" w14:textId="183BB730" w:rsidR="00B705C0" w:rsidRPr="00F55BC9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B705C0" w:rsidRPr="00F55BC9">
        <w:rPr>
          <w:sz w:val="16"/>
        </w:rPr>
        <w:t xml:space="preserve">ithium spodumene </w:t>
      </w:r>
      <w:r w:rsidR="003A37BB" w:rsidRPr="00F55BC9">
        <w:rPr>
          <w:sz w:val="16"/>
        </w:rPr>
        <w:t xml:space="preserve">price was US$970 a tonne in 2024 and is </w:t>
      </w:r>
      <w:r w:rsidR="002600A8" w:rsidRPr="00F55BC9">
        <w:rPr>
          <w:sz w:val="16"/>
        </w:rPr>
        <w:t>forecast to</w:t>
      </w:r>
      <w:r w:rsidR="00B705C0" w:rsidRPr="00F55BC9">
        <w:rPr>
          <w:sz w:val="16"/>
        </w:rPr>
        <w:t xml:space="preserve"> be US$</w:t>
      </w:r>
      <w:r w:rsidR="004324F9" w:rsidRPr="00F55BC9">
        <w:rPr>
          <w:sz w:val="16"/>
        </w:rPr>
        <w:t>758</w:t>
      </w:r>
      <w:r w:rsidR="00B705C0" w:rsidRPr="00F55BC9">
        <w:rPr>
          <w:sz w:val="16"/>
        </w:rPr>
        <w:t xml:space="preserve"> a tonne in 2025 and US$</w:t>
      </w:r>
      <w:r w:rsidR="004324F9" w:rsidRPr="00F55BC9">
        <w:rPr>
          <w:sz w:val="16"/>
        </w:rPr>
        <w:t>850</w:t>
      </w:r>
      <w:r w:rsidR="00B705C0" w:rsidRPr="00F55BC9">
        <w:rPr>
          <w:sz w:val="16"/>
        </w:rPr>
        <w:t xml:space="preserve"> a tonne in 2026</w:t>
      </w:r>
    </w:p>
    <w:p w14:paraId="26E496D7" w14:textId="59C5B9EF" w:rsidR="00C30BF8" w:rsidRPr="00F55BC9" w:rsidRDefault="002A4C4F" w:rsidP="002965F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C30BF8" w:rsidRPr="00F55BC9">
        <w:rPr>
          <w:sz w:val="16"/>
        </w:rPr>
        <w:t xml:space="preserve">ithium hydroxide </w:t>
      </w:r>
      <w:r w:rsidR="004324F9" w:rsidRPr="00F55BC9">
        <w:rPr>
          <w:sz w:val="16"/>
        </w:rPr>
        <w:t xml:space="preserve">price was US$12,129 a tonne in 2024 and is </w:t>
      </w:r>
      <w:r w:rsidR="00C30BF8" w:rsidRPr="00F55BC9">
        <w:rPr>
          <w:sz w:val="16"/>
        </w:rPr>
        <w:t>forecast to be US$</w:t>
      </w:r>
      <w:r w:rsidR="004324F9" w:rsidRPr="00F55BC9">
        <w:rPr>
          <w:sz w:val="16"/>
        </w:rPr>
        <w:t>9,453</w:t>
      </w:r>
      <w:r w:rsidR="00C30BF8" w:rsidRPr="00F55BC9">
        <w:rPr>
          <w:sz w:val="16"/>
        </w:rPr>
        <w:t xml:space="preserve"> a tonne in 2025 and US$1</w:t>
      </w:r>
      <w:r w:rsidR="004324F9" w:rsidRPr="00F55BC9">
        <w:rPr>
          <w:sz w:val="16"/>
        </w:rPr>
        <w:t>1,750</w:t>
      </w:r>
      <w:r w:rsidR="00C30BF8" w:rsidRPr="00F55BC9">
        <w:rPr>
          <w:sz w:val="16"/>
        </w:rPr>
        <w:t xml:space="preserve"> a tonne in 2026.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529C5C9E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 xml:space="preserve">round 15% of the world’s nickel </w:t>
      </w:r>
      <w:r w:rsidR="00AC661D">
        <w:rPr>
          <w:color w:val="000000" w:themeColor="text1"/>
          <w:sz w:val="16"/>
        </w:rPr>
        <w:t>consumption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is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for</w:t>
      </w:r>
      <w:r w:rsidRPr="00BA6916">
        <w:rPr>
          <w:color w:val="000000" w:themeColor="text1"/>
          <w:sz w:val="16"/>
        </w:rPr>
        <w:t xml:space="preserve"> batteries.</w:t>
      </w:r>
    </w:p>
    <w:p w14:paraId="2E9F27B7" w14:textId="77777777" w:rsidR="00E16C3B" w:rsidRPr="00BA6916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BA6916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Indonesia </w:t>
      </w:r>
      <w:r w:rsidR="00986B1D" w:rsidRPr="00BA6916">
        <w:rPr>
          <w:color w:val="000000" w:themeColor="text1"/>
          <w:sz w:val="16"/>
        </w:rPr>
        <w:t xml:space="preserve">is by far the largest nickel supplier in the world, </w:t>
      </w:r>
      <w:r w:rsidRPr="00BA6916">
        <w:rPr>
          <w:color w:val="000000" w:themeColor="text1"/>
          <w:sz w:val="16"/>
        </w:rPr>
        <w:t>account</w:t>
      </w:r>
      <w:r w:rsidR="00986B1D" w:rsidRPr="00BA6916">
        <w:rPr>
          <w:color w:val="000000" w:themeColor="text1"/>
          <w:sz w:val="16"/>
        </w:rPr>
        <w:t>ing</w:t>
      </w:r>
      <w:r w:rsidRPr="00BA6916">
        <w:rPr>
          <w:color w:val="000000" w:themeColor="text1"/>
          <w:sz w:val="16"/>
        </w:rPr>
        <w:t xml:space="preserve"> for 5</w:t>
      </w:r>
      <w:r w:rsidR="009F3401" w:rsidRPr="00BA6916">
        <w:rPr>
          <w:color w:val="000000" w:themeColor="text1"/>
          <w:sz w:val="16"/>
        </w:rPr>
        <w:t>9</w:t>
      </w:r>
      <w:r w:rsidRPr="00BA6916">
        <w:rPr>
          <w:color w:val="000000" w:themeColor="text1"/>
          <w:sz w:val="16"/>
        </w:rPr>
        <w:t>% of global nickel supply in 202</w:t>
      </w:r>
      <w:r w:rsidR="009F3401" w:rsidRPr="00BA6916">
        <w:rPr>
          <w:color w:val="000000" w:themeColor="text1"/>
          <w:sz w:val="16"/>
        </w:rPr>
        <w:t>4</w:t>
      </w:r>
      <w:r w:rsidRPr="00BA6916">
        <w:rPr>
          <w:color w:val="000000" w:themeColor="text1"/>
          <w:sz w:val="16"/>
        </w:rPr>
        <w:t>.</w:t>
      </w:r>
    </w:p>
    <w:p w14:paraId="23E794B8" w14:textId="117AE3CA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BA6916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D77F05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D77F05">
        <w:rPr>
          <w:sz w:val="16"/>
        </w:rPr>
        <w:t>The D</w:t>
      </w:r>
      <w:r w:rsidR="00BC6919" w:rsidRPr="00D77F05">
        <w:rPr>
          <w:sz w:val="16"/>
        </w:rPr>
        <w:t>RC</w:t>
      </w:r>
      <w:r w:rsidRPr="00D77F05">
        <w:rPr>
          <w:sz w:val="16"/>
        </w:rPr>
        <w:t xml:space="preserve"> </w:t>
      </w:r>
      <w:r w:rsidR="00986B1D" w:rsidRPr="00D77F05">
        <w:rPr>
          <w:sz w:val="16"/>
        </w:rPr>
        <w:t xml:space="preserve">is by far the largest cobalt supplier in the world, accounting </w:t>
      </w:r>
      <w:r w:rsidRPr="00D77F05">
        <w:rPr>
          <w:sz w:val="16"/>
        </w:rPr>
        <w:t>for 7</w:t>
      </w:r>
      <w:r w:rsidR="00C815A0" w:rsidRPr="00D77F05">
        <w:rPr>
          <w:sz w:val="16"/>
        </w:rPr>
        <w:t>6</w:t>
      </w:r>
      <w:r w:rsidRPr="00D77F05">
        <w:rPr>
          <w:sz w:val="16"/>
        </w:rPr>
        <w:t>% of global cobalt supply in 202</w:t>
      </w:r>
      <w:r w:rsidR="00C815A0" w:rsidRPr="00D77F05">
        <w:rPr>
          <w:sz w:val="16"/>
        </w:rPr>
        <w:t>4</w:t>
      </w:r>
      <w:r w:rsidR="002C5F64" w:rsidRPr="00D77F05">
        <w:rPr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67E42CBE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</w:p>
    <w:p w14:paraId="76ABBE32" w14:textId="31D3E4B8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544B1CBB" w:rsidR="00A829AA" w:rsidRDefault="00BE5B04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2C032EA4" wp14:editId="3D2899E0">
            <wp:extent cx="1710000" cy="2116448"/>
            <wp:effectExtent l="0" t="0" r="5080" b="0"/>
            <wp:docPr id="190560875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4032F645" wp14:editId="0A4CC8A9">
            <wp:extent cx="1710000" cy="2107459"/>
            <wp:effectExtent l="0" t="0" r="5080" b="7620"/>
            <wp:docPr id="129296246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4F42649E" w:rsidR="00EB2BF0" w:rsidRPr="000522AD" w:rsidRDefault="00EB2BF0" w:rsidP="00A829AA">
      <w:pPr>
        <w:spacing w:after="0"/>
        <w:jc w:val="both"/>
        <w:rPr>
          <w:color w:val="000000" w:themeColor="text1"/>
          <w:sz w:val="10"/>
        </w:rPr>
      </w:pPr>
      <w:r w:rsidRPr="000522AD">
        <w:rPr>
          <w:color w:val="000000" w:themeColor="text1"/>
          <w:sz w:val="10"/>
        </w:rPr>
        <w:t>Index 20</w:t>
      </w:r>
      <w:r w:rsidR="00DA28B4" w:rsidRPr="000522AD">
        <w:rPr>
          <w:color w:val="000000" w:themeColor="text1"/>
          <w:sz w:val="10"/>
        </w:rPr>
        <w:t>23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15F45BE2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21AAC4D" w14:textId="77777777" w:rsidR="00F55BC9" w:rsidRDefault="00F55BC9" w:rsidP="00BD0F4B">
      <w:pPr>
        <w:pStyle w:val="BodyText"/>
        <w:spacing w:after="0"/>
        <w:jc w:val="both"/>
        <w:rPr>
          <w:sz w:val="16"/>
        </w:rPr>
      </w:pPr>
    </w:p>
    <w:p w14:paraId="73FC3D1B" w14:textId="675E70CD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 2024, the value </w:t>
      </w:r>
      <w:r w:rsidR="00C100B0">
        <w:rPr>
          <w:color w:val="000000" w:themeColor="text1"/>
          <w:sz w:val="16"/>
        </w:rPr>
        <w:t xml:space="preserve">of </w:t>
      </w:r>
      <w:r w:rsidRPr="00BA6916">
        <w:rPr>
          <w:color w:val="000000" w:themeColor="text1"/>
          <w:sz w:val="16"/>
        </w:rPr>
        <w:t xml:space="preserve">Western Australia’s nickel sales fell 31% to $3.2 billion, </w:t>
      </w:r>
      <w:proofErr w:type="gramStart"/>
      <w:r w:rsidRPr="00BA6916">
        <w:rPr>
          <w:color w:val="000000" w:themeColor="text1"/>
          <w:sz w:val="16"/>
        </w:rPr>
        <w:t>as a result of</w:t>
      </w:r>
      <w:proofErr w:type="gramEnd"/>
      <w:r w:rsidRPr="00BA6916">
        <w:rPr>
          <w:color w:val="000000" w:themeColor="text1"/>
          <w:sz w:val="16"/>
        </w:rPr>
        <w:t xml:space="preserve"> the:</w:t>
      </w:r>
    </w:p>
    <w:p w14:paraId="2EC13756" w14:textId="1177BB93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average unit price of sales falling 2</w:t>
      </w:r>
      <w:r w:rsidR="002E53AD" w:rsidRPr="00BA6916">
        <w:rPr>
          <w:color w:val="000000" w:themeColor="text1"/>
          <w:sz w:val="16"/>
        </w:rPr>
        <w:t>0</w:t>
      </w:r>
      <w:r w:rsidRPr="00BA6916">
        <w:rPr>
          <w:color w:val="000000" w:themeColor="text1"/>
          <w:sz w:val="16"/>
        </w:rPr>
        <w:t>%</w:t>
      </w:r>
    </w:p>
    <w:p w14:paraId="4574A1E7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falling 14% to 128,157 tonnes.</w:t>
      </w:r>
    </w:p>
    <w:p w14:paraId="2673F595" w14:textId="0FF9BCE3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In 2024, the value </w:t>
      </w:r>
      <w:r w:rsidR="00C100B0">
        <w:rPr>
          <w:color w:val="000000" w:themeColor="text1"/>
          <w:sz w:val="16"/>
        </w:rPr>
        <w:t xml:space="preserve">of </w:t>
      </w:r>
      <w:r w:rsidRPr="00BA6916">
        <w:rPr>
          <w:color w:val="000000" w:themeColor="text1"/>
          <w:sz w:val="16"/>
        </w:rPr>
        <w:t xml:space="preserve">Western Australia’s cobalt sales fell 30% to $180 million, </w:t>
      </w:r>
      <w:proofErr w:type="gramStart"/>
      <w:r w:rsidRPr="00BA6916">
        <w:rPr>
          <w:color w:val="000000" w:themeColor="text1"/>
          <w:sz w:val="16"/>
        </w:rPr>
        <w:t>as a result of</w:t>
      </w:r>
      <w:proofErr w:type="gramEnd"/>
      <w:r w:rsidRPr="00BA6916">
        <w:rPr>
          <w:color w:val="000000" w:themeColor="text1"/>
          <w:sz w:val="16"/>
        </w:rPr>
        <w:t xml:space="preserve"> the:</w:t>
      </w:r>
    </w:p>
    <w:p w14:paraId="49A126BA" w14:textId="0F10D0B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average unit price of sales falling 24%</w:t>
      </w:r>
    </w:p>
    <w:p w14:paraId="46577FFE" w14:textId="77777777" w:rsidR="004D4ABE" w:rsidRPr="00BA6916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quantity of sales falling 8% to 4,776 tonnes.</w:t>
      </w:r>
    </w:p>
    <w:p w14:paraId="1D556C19" w14:textId="77777777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is Western Australia’s largest nickel mine, accounting for 35% of the State’s paid nickel mine production in 2024. The 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mine also accounted for 82% of the State’s paid cobalt mine production in 2024.</w:t>
      </w:r>
    </w:p>
    <w:p w14:paraId="55B41144" w14:textId="345CD9B5" w:rsidR="000913CC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BHP suspen</w:t>
      </w:r>
      <w:r w:rsidR="0065684B" w:rsidRPr="00BA6916">
        <w:rPr>
          <w:color w:val="000000" w:themeColor="text1"/>
          <w:sz w:val="16"/>
        </w:rPr>
        <w:t xml:space="preserve">ded </w:t>
      </w:r>
      <w:r w:rsidRPr="00BA6916">
        <w:rPr>
          <w:color w:val="000000" w:themeColor="text1"/>
          <w:sz w:val="16"/>
        </w:rPr>
        <w:t xml:space="preserve">its Nickel West operations </w:t>
      </w:r>
      <w:r w:rsidR="0065684B" w:rsidRPr="00BA6916">
        <w:rPr>
          <w:color w:val="000000" w:themeColor="text1"/>
          <w:sz w:val="16"/>
        </w:rPr>
        <w:t xml:space="preserve">in </w:t>
      </w:r>
      <w:r w:rsidRPr="00BA6916">
        <w:rPr>
          <w:color w:val="000000" w:themeColor="text1"/>
          <w:sz w:val="16"/>
        </w:rPr>
        <w:t>October 2024. Nickel West’s two largest mines, Mt Keith and Leinster, accounted for 33% of the State’s paid nickel mine production in 2024</w:t>
      </w:r>
      <w:r w:rsidR="000913CC" w:rsidRPr="00BA6916">
        <w:rPr>
          <w:color w:val="000000" w:themeColor="text1"/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081B978" w14:textId="77777777" w:rsidR="00F55BC9" w:rsidRPr="00F55BC9" w:rsidRDefault="00F55BC9" w:rsidP="00F55BC9">
      <w:pPr>
        <w:pStyle w:val="BodyText"/>
        <w:spacing w:after="0"/>
        <w:jc w:val="both"/>
        <w:rPr>
          <w:sz w:val="16"/>
        </w:rPr>
      </w:pPr>
    </w:p>
    <w:p w14:paraId="20FF4B4A" w14:textId="786FB50D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27D7238" w14:textId="212B16F6" w:rsidR="00276F5F" w:rsidRPr="00276F5F" w:rsidRDefault="00BE5B04" w:rsidP="00B83F7B">
      <w:pPr>
        <w:spacing w:after="0"/>
        <w:jc w:val="both"/>
        <w:rPr>
          <w:noProof/>
          <w:sz w:val="16"/>
        </w:rPr>
      </w:pPr>
      <w:r>
        <w:rPr>
          <w:noProof/>
          <w:sz w:val="16"/>
        </w:rPr>
        <w:drawing>
          <wp:inline distT="0" distB="0" distL="0" distR="0" wp14:anchorId="6038BF1D" wp14:editId="74117B97">
            <wp:extent cx="3420000" cy="2091666"/>
            <wp:effectExtent l="0" t="0" r="0" b="4445"/>
            <wp:docPr id="7582119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1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37E39FFD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Price per tonne. 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F55BC9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A2E3110" w14:textId="77777777" w:rsidR="00F55BC9" w:rsidRPr="00F55BC9" w:rsidRDefault="00F55BC9" w:rsidP="00B83F7B">
      <w:pPr>
        <w:spacing w:after="0"/>
        <w:jc w:val="both"/>
        <w:rPr>
          <w:sz w:val="16"/>
        </w:rPr>
      </w:pPr>
    </w:p>
    <w:p w14:paraId="39AAF741" w14:textId="07D7B638" w:rsidR="00B83F7B" w:rsidRPr="00A0524E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</w:t>
      </w:r>
      <w:r w:rsidRPr="00A0524E">
        <w:rPr>
          <w:sz w:val="16"/>
        </w:rPr>
        <w:t>.</w:t>
      </w:r>
      <w:r w:rsidR="00C872B7" w:rsidRPr="00A0524E">
        <w:rPr>
          <w:sz w:val="16"/>
        </w:rPr>
        <w:t xml:space="preserve"> </w:t>
      </w:r>
      <w:r w:rsidR="007D6578" w:rsidRPr="00A0524E">
        <w:rPr>
          <w:sz w:val="16"/>
        </w:rPr>
        <w:t>The cobalt price increased sharply in March</w:t>
      </w:r>
      <w:r w:rsidR="00C872B7" w:rsidRPr="00A0524E">
        <w:rPr>
          <w:sz w:val="16"/>
        </w:rPr>
        <w:t> </w:t>
      </w:r>
      <w:r w:rsidR="007D6578" w:rsidRPr="00A0524E">
        <w:rPr>
          <w:sz w:val="16"/>
        </w:rPr>
        <w:t>2025 after the DRC announced an export ban</w:t>
      </w:r>
      <w:r w:rsidR="00C872B7" w:rsidRPr="00A0524E">
        <w:rPr>
          <w:sz w:val="16"/>
        </w:rPr>
        <w:t>.</w:t>
      </w:r>
      <w:r w:rsidR="007D6578" w:rsidRPr="00A0524E">
        <w:rPr>
          <w:sz w:val="16"/>
        </w:rPr>
        <w:t xml:space="preserve"> </w:t>
      </w:r>
      <w:r w:rsidR="00C872B7" w:rsidRPr="00A0524E">
        <w:rPr>
          <w:sz w:val="16"/>
        </w:rPr>
        <w:t>I</w:t>
      </w:r>
      <w:r w:rsidR="007D6578" w:rsidRPr="00A0524E">
        <w:rPr>
          <w:sz w:val="16"/>
        </w:rPr>
        <w:t xml:space="preserve">n September 2025 </w:t>
      </w:r>
      <w:r w:rsidR="00C872B7" w:rsidRPr="00A0524E">
        <w:rPr>
          <w:sz w:val="16"/>
        </w:rPr>
        <w:t xml:space="preserve">it was announced that from October 2025 the </w:t>
      </w:r>
      <w:r w:rsidR="007D6578" w:rsidRPr="00A0524E">
        <w:rPr>
          <w:sz w:val="16"/>
        </w:rPr>
        <w:t xml:space="preserve">export ban </w:t>
      </w:r>
      <w:r w:rsidR="00C872B7" w:rsidRPr="00A0524E">
        <w:rPr>
          <w:sz w:val="16"/>
        </w:rPr>
        <w:t>would be replaced with</w:t>
      </w:r>
      <w:r w:rsidR="007D6578" w:rsidRPr="00A0524E">
        <w:rPr>
          <w:sz w:val="16"/>
        </w:rPr>
        <w:t xml:space="preserve"> a quota system that will remain in place until at least 2027.</w:t>
      </w:r>
    </w:p>
    <w:p w14:paraId="7A0CC1EE" w14:textId="3D0F7FDB" w:rsidR="00B959FD" w:rsidRPr="00A0524E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</w:rPr>
      </w:pPr>
      <w:bookmarkStart w:id="5" w:name="_Hlk194928479"/>
      <w:r w:rsidRPr="00A0524E">
        <w:rPr>
          <w:sz w:val="16"/>
        </w:rPr>
        <w:t xml:space="preserve">In </w:t>
      </w:r>
      <w:r w:rsidR="00D6385B" w:rsidRPr="00A0524E">
        <w:rPr>
          <w:sz w:val="16"/>
        </w:rPr>
        <w:t>August</w:t>
      </w:r>
      <w:r w:rsidRPr="00A0524E">
        <w:rPr>
          <w:sz w:val="16"/>
        </w:rPr>
        <w:t> 2025, the monthly average price for:</w:t>
      </w:r>
    </w:p>
    <w:p w14:paraId="5678CE55" w14:textId="45EF7964" w:rsidR="00B959FD" w:rsidRPr="00A0524E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0524E">
        <w:rPr>
          <w:sz w:val="16"/>
        </w:rPr>
        <w:t>nickel was US$</w:t>
      </w:r>
      <w:r w:rsidR="00F56E93" w:rsidRPr="00A0524E">
        <w:rPr>
          <w:sz w:val="16"/>
        </w:rPr>
        <w:t>1</w:t>
      </w:r>
      <w:r w:rsidR="00D6385B" w:rsidRPr="00A0524E">
        <w:rPr>
          <w:sz w:val="16"/>
        </w:rPr>
        <w:t>5,247</w:t>
      </w:r>
      <w:r w:rsidRPr="00A0524E">
        <w:rPr>
          <w:sz w:val="16"/>
        </w:rPr>
        <w:t xml:space="preserve"> a tonne, </w:t>
      </w:r>
      <w:r w:rsidR="00D6385B" w:rsidRPr="00A0524E">
        <w:rPr>
          <w:sz w:val="16"/>
        </w:rPr>
        <w:t>3.5</w:t>
      </w:r>
      <w:r w:rsidRPr="00A0524E">
        <w:rPr>
          <w:sz w:val="16"/>
        </w:rPr>
        <w:t xml:space="preserve">% </w:t>
      </w:r>
      <w:r w:rsidR="00D6385B" w:rsidRPr="00A0524E">
        <w:rPr>
          <w:sz w:val="16"/>
        </w:rPr>
        <w:t>higher</w:t>
      </w:r>
      <w:r w:rsidRPr="00A0524E">
        <w:rPr>
          <w:sz w:val="16"/>
        </w:rPr>
        <w:t xml:space="preserve"> than the previous month </w:t>
      </w:r>
      <w:r w:rsidR="00D6385B" w:rsidRPr="00A0524E">
        <w:rPr>
          <w:sz w:val="16"/>
        </w:rPr>
        <w:t>but</w:t>
      </w:r>
      <w:r w:rsidRPr="00A0524E">
        <w:rPr>
          <w:sz w:val="16"/>
        </w:rPr>
        <w:t xml:space="preserve"> </w:t>
      </w:r>
      <w:r w:rsidR="00D6385B" w:rsidRPr="00A0524E">
        <w:rPr>
          <w:sz w:val="16"/>
        </w:rPr>
        <w:t>9</w:t>
      </w:r>
      <w:r w:rsidRPr="00A0524E">
        <w:rPr>
          <w:sz w:val="16"/>
        </w:rPr>
        <w:t>% lower than a year ago</w:t>
      </w:r>
    </w:p>
    <w:p w14:paraId="7AA4FAA3" w14:textId="763583E6" w:rsidR="00525E02" w:rsidRPr="00A0524E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0524E">
        <w:rPr>
          <w:sz w:val="16"/>
        </w:rPr>
        <w:t>cobalt was US$</w:t>
      </w:r>
      <w:r w:rsidR="00D6385B" w:rsidRPr="00A0524E">
        <w:rPr>
          <w:sz w:val="16"/>
        </w:rPr>
        <w:t>32,907</w:t>
      </w:r>
      <w:r w:rsidRPr="00A0524E">
        <w:rPr>
          <w:sz w:val="16"/>
        </w:rPr>
        <w:t xml:space="preserve"> a tonne, </w:t>
      </w:r>
      <w:r w:rsidR="007D6578" w:rsidRPr="00A0524E">
        <w:rPr>
          <w:sz w:val="16"/>
        </w:rPr>
        <w:t>marginally lower than</w:t>
      </w:r>
      <w:r w:rsidR="00F56E93" w:rsidRPr="00A0524E">
        <w:rPr>
          <w:sz w:val="16"/>
        </w:rPr>
        <w:t xml:space="preserve"> </w:t>
      </w:r>
      <w:r w:rsidRPr="00A0524E">
        <w:rPr>
          <w:sz w:val="16"/>
        </w:rPr>
        <w:t>the previous month</w:t>
      </w:r>
      <w:r w:rsidR="00ED4704" w:rsidRPr="00A0524E">
        <w:rPr>
          <w:sz w:val="16"/>
        </w:rPr>
        <w:t xml:space="preserve">, </w:t>
      </w:r>
      <w:r w:rsidR="003558CE" w:rsidRPr="00A0524E">
        <w:rPr>
          <w:sz w:val="16"/>
        </w:rPr>
        <w:t xml:space="preserve">but </w:t>
      </w:r>
      <w:r w:rsidR="00FB640E" w:rsidRPr="00A0524E">
        <w:rPr>
          <w:sz w:val="16"/>
        </w:rPr>
        <w:t>37</w:t>
      </w:r>
      <w:r w:rsidRPr="00A0524E">
        <w:rPr>
          <w:sz w:val="16"/>
        </w:rPr>
        <w:t>% higher than a year ago</w:t>
      </w:r>
      <w:r w:rsidR="00525E02" w:rsidRPr="00A0524E">
        <w:rPr>
          <w:sz w:val="16"/>
        </w:rPr>
        <w:t>.</w:t>
      </w:r>
      <w:bookmarkEnd w:id="5"/>
    </w:p>
    <w:p w14:paraId="5203429B" w14:textId="77777777" w:rsidR="007D6578" w:rsidRPr="00A0524E" w:rsidRDefault="0017232C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A0524E">
        <w:rPr>
          <w:sz w:val="16"/>
        </w:rPr>
        <w:t>N</w:t>
      </w:r>
      <w:r w:rsidR="002600A8" w:rsidRPr="00A0524E">
        <w:rPr>
          <w:sz w:val="16"/>
        </w:rPr>
        <w:t xml:space="preserve">ickel </w:t>
      </w:r>
      <w:r w:rsidR="007D6578" w:rsidRPr="00A0524E">
        <w:rPr>
          <w:sz w:val="16"/>
        </w:rPr>
        <w:t xml:space="preserve">and cobalt </w:t>
      </w:r>
      <w:r w:rsidR="003F295E" w:rsidRPr="00A0524E">
        <w:rPr>
          <w:sz w:val="16"/>
        </w:rPr>
        <w:t xml:space="preserve">prices are expected to </w:t>
      </w:r>
      <w:r w:rsidR="00276F5F" w:rsidRPr="00A0524E">
        <w:rPr>
          <w:sz w:val="16"/>
        </w:rPr>
        <w:t>recover modestly</w:t>
      </w:r>
      <w:r w:rsidR="002600A8" w:rsidRPr="00A0524E">
        <w:rPr>
          <w:sz w:val="16"/>
        </w:rPr>
        <w:t xml:space="preserve"> </w:t>
      </w:r>
      <w:r w:rsidR="00276F5F" w:rsidRPr="00A0524E">
        <w:rPr>
          <w:sz w:val="16"/>
        </w:rPr>
        <w:t xml:space="preserve">in </w:t>
      </w:r>
      <w:r w:rsidR="002600A8" w:rsidRPr="00A0524E">
        <w:rPr>
          <w:sz w:val="16"/>
        </w:rPr>
        <w:t>2026.</w:t>
      </w:r>
      <w:r w:rsidR="00276F5F" w:rsidRPr="00A0524E">
        <w:rPr>
          <w:sz w:val="16"/>
        </w:rPr>
        <w:t xml:space="preserve"> The annual average price for</w:t>
      </w:r>
      <w:r w:rsidR="007D6578" w:rsidRPr="00A0524E">
        <w:rPr>
          <w:sz w:val="16"/>
        </w:rPr>
        <w:t>:</w:t>
      </w:r>
    </w:p>
    <w:p w14:paraId="2BA9F643" w14:textId="1323B8BA" w:rsidR="002600A8" w:rsidRPr="00A0524E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0524E">
        <w:rPr>
          <w:sz w:val="16"/>
        </w:rPr>
        <w:t>nickel was US$16,825 a tonne in 2024, with the Office of the Chief Economist forecasting a price of US$15,518 a tonne in 2025 and US$16,400 a tonne in 2026</w:t>
      </w:r>
    </w:p>
    <w:p w14:paraId="04DD9497" w14:textId="2CFFB9EA" w:rsidR="00BD0F4B" w:rsidRPr="00C872B7" w:rsidRDefault="00054BCE" w:rsidP="00CD207B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A0524E">
        <w:rPr>
          <w:sz w:val="16"/>
        </w:rPr>
        <w:t xml:space="preserve">cobalt was US$29,062 a tonne in 2024, </w:t>
      </w:r>
      <w:r w:rsidR="00C872B7" w:rsidRPr="00A0524E">
        <w:rPr>
          <w:sz w:val="16"/>
        </w:rPr>
        <w:t xml:space="preserve">with </w:t>
      </w:r>
      <w:r w:rsidR="00DC2966" w:rsidRPr="00A0524E">
        <w:rPr>
          <w:sz w:val="16"/>
        </w:rPr>
        <w:t xml:space="preserve">S&amp;P Global Market Intelligence </w:t>
      </w:r>
      <w:r w:rsidRPr="00A0524E">
        <w:rPr>
          <w:sz w:val="16"/>
        </w:rPr>
        <w:t>forecast</w:t>
      </w:r>
      <w:r w:rsidR="00C872B7" w:rsidRPr="00A0524E">
        <w:rPr>
          <w:sz w:val="16"/>
        </w:rPr>
        <w:t>ing</w:t>
      </w:r>
      <w:r w:rsidR="00DC2966" w:rsidRPr="00A0524E">
        <w:rPr>
          <w:sz w:val="16"/>
        </w:rPr>
        <w:t xml:space="preserve"> </w:t>
      </w:r>
      <w:r w:rsidR="00276F5F" w:rsidRPr="00A0524E">
        <w:rPr>
          <w:sz w:val="16"/>
        </w:rPr>
        <w:t>a</w:t>
      </w:r>
      <w:r w:rsidR="00DC2966" w:rsidRPr="00A0524E">
        <w:rPr>
          <w:sz w:val="16"/>
        </w:rPr>
        <w:t xml:space="preserve"> price of US$</w:t>
      </w:r>
      <w:r w:rsidR="003F295E" w:rsidRPr="00A0524E">
        <w:rPr>
          <w:sz w:val="16"/>
        </w:rPr>
        <w:t>31,884</w:t>
      </w:r>
      <w:r w:rsidR="00DC2966" w:rsidRPr="00A0524E">
        <w:rPr>
          <w:sz w:val="16"/>
        </w:rPr>
        <w:t xml:space="preserve"> a tonne in 2025 and US$32,</w:t>
      </w:r>
      <w:r w:rsidR="003F295E" w:rsidRPr="00A0524E">
        <w:rPr>
          <w:sz w:val="16"/>
        </w:rPr>
        <w:t>700</w:t>
      </w:r>
      <w:r w:rsidR="00DC2966" w:rsidRPr="00A0524E">
        <w:rPr>
          <w:sz w:val="16"/>
        </w:rPr>
        <w:t xml:space="preserve"> a tonne in 2026</w:t>
      </w:r>
      <w:r w:rsidR="003F295E" w:rsidRPr="00A0524E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43414DCC" w:rsidR="00062482" w:rsidRPr="008B167C" w:rsidRDefault="00C872B7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FC341E8" wp14:editId="62772544">
            <wp:extent cx="3420000" cy="2096150"/>
            <wp:effectExtent l="0" t="0" r="9525" b="0"/>
            <wp:docPr id="112480129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3A8B8CC" w:rsidR="00AC77CB" w:rsidRPr="00836D09" w:rsidRDefault="00AC77CB" w:rsidP="00AC77CB">
      <w:pPr>
        <w:spacing w:after="0"/>
        <w:jc w:val="both"/>
        <w:rPr>
          <w:sz w:val="10"/>
        </w:rPr>
      </w:pPr>
      <w:r w:rsidRPr="00836D09">
        <w:rPr>
          <w:sz w:val="10"/>
          <w:vertAlign w:val="superscript"/>
        </w:rPr>
        <w:t>1</w:t>
      </w:r>
      <w:r w:rsidRPr="00836D09">
        <w:rPr>
          <w:sz w:val="10"/>
        </w:rPr>
        <w:t xml:space="preserve"> </w:t>
      </w:r>
      <w:r w:rsidR="009364DB" w:rsidRPr="00836D09">
        <w:rPr>
          <w:sz w:val="10"/>
        </w:rPr>
        <w:t>Rare earth</w:t>
      </w:r>
      <w:r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Pr="00836D09">
        <w:rPr>
          <w:sz w:val="10"/>
        </w:rPr>
        <w:t xml:space="preserve"> </w:t>
      </w:r>
      <w:proofErr w:type="gramStart"/>
      <w:r w:rsidRPr="00836D09">
        <w:rPr>
          <w:sz w:val="10"/>
        </w:rPr>
        <w:t>mine</w:t>
      </w:r>
      <w:proofErr w:type="gramEnd"/>
      <w:r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  <w:r w:rsidR="00445180">
        <w:rPr>
          <w:sz w:val="16"/>
        </w:rPr>
        <w:t xml:space="preserve"> For example:</w:t>
      </w:r>
    </w:p>
    <w:p w14:paraId="315ABAF9" w14:textId="402458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n</w:t>
      </w:r>
      <w:r w:rsidR="00593CE0" w:rsidRPr="004A368F">
        <w:rPr>
          <w:sz w:val="16"/>
        </w:rPr>
        <w:t>eodymium is used in electric vehicle motor magnets and wind turbines</w:t>
      </w:r>
    </w:p>
    <w:p w14:paraId="452B4CCB" w14:textId="0F054DC3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p</w:t>
      </w:r>
      <w:r w:rsidR="00593CE0" w:rsidRPr="004A368F">
        <w:rPr>
          <w:sz w:val="16"/>
        </w:rPr>
        <w:t>raseodymium is used in aircraft engines</w:t>
      </w:r>
    </w:p>
    <w:p w14:paraId="2943A32C" w14:textId="5A8384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c</w:t>
      </w:r>
      <w:r w:rsidR="00593CE0" w:rsidRPr="004A368F">
        <w:rPr>
          <w:sz w:val="16"/>
        </w:rPr>
        <w:t>erium is used in catalytic converters for cars</w:t>
      </w:r>
    </w:p>
    <w:p w14:paraId="146797F1" w14:textId="619010D1" w:rsidR="00593CE0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BA6916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Western Australia is the 3rd </w:t>
      </w:r>
      <w:proofErr w:type="gramStart"/>
      <w:r w:rsidRPr="00BA6916">
        <w:rPr>
          <w:color w:val="000000" w:themeColor="text1"/>
          <w:sz w:val="16"/>
        </w:rPr>
        <w:t>largest rare</w:t>
      </w:r>
      <w:proofErr w:type="gramEnd"/>
      <w:r w:rsidRPr="00BA6916">
        <w:rPr>
          <w:color w:val="000000" w:themeColor="text1"/>
          <w:sz w:val="16"/>
        </w:rPr>
        <w:t xml:space="preserve"> earths supplier in the world, accounting for 8% of global supply in 2024.</w:t>
      </w:r>
    </w:p>
    <w:p w14:paraId="74DFEFB3" w14:textId="4BF84E52" w:rsidR="00C95462" w:rsidRPr="00BA6916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China is by far the </w:t>
      </w:r>
      <w:proofErr w:type="gramStart"/>
      <w:r w:rsidRPr="00BA6916">
        <w:rPr>
          <w:color w:val="000000" w:themeColor="text1"/>
          <w:sz w:val="16"/>
        </w:rPr>
        <w:t>largest rare</w:t>
      </w:r>
      <w:proofErr w:type="gramEnd"/>
      <w:r w:rsidRPr="00BA6916">
        <w:rPr>
          <w:color w:val="000000" w:themeColor="text1"/>
          <w:sz w:val="16"/>
        </w:rPr>
        <w:t xml:space="preserve"> earths supplier in the world, accounting for 69% of global supply in 2024, followed by the United States (12%)</w:t>
      </w:r>
      <w:r w:rsidR="00A34EC3" w:rsidRPr="00BA6916">
        <w:rPr>
          <w:color w:val="000000" w:themeColor="text1"/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0E833A7C" w:rsidR="009D5E68" w:rsidRPr="00276F5F" w:rsidRDefault="00C872B7" w:rsidP="00276F5F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1E67139" wp14:editId="6A5060B1">
            <wp:extent cx="3420000" cy="1992636"/>
            <wp:effectExtent l="0" t="0" r="9525" b="7620"/>
            <wp:docPr id="117862133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199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0334CE5C" w:rsidR="0096489B" w:rsidRPr="00940D41" w:rsidRDefault="0096489B" w:rsidP="0096489B">
      <w:pPr>
        <w:pStyle w:val="BodyText"/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</w:t>
      </w:r>
      <w:r w:rsidR="0071037D">
        <w:rPr>
          <w:sz w:val="10"/>
        </w:rPr>
        <w:t>Price per</w:t>
      </w:r>
      <w:r w:rsidRPr="00940D41">
        <w:rPr>
          <w:sz w:val="10"/>
        </w:rPr>
        <w:t xml:space="preserve"> tonne. </w:t>
      </w:r>
    </w:p>
    <w:p w14:paraId="20C49CD8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4E378313" w14:textId="77777777" w:rsidR="00A34EC3" w:rsidRPr="00F55BC9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The annual average neodymium price fell 27% to US$68,088 a tonne in 2024.</w:t>
      </w:r>
    </w:p>
    <w:p w14:paraId="391EE9EB" w14:textId="7F6DDA50" w:rsidR="00DC2966" w:rsidRPr="00A0524E" w:rsidRDefault="00DC2966" w:rsidP="00DC296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A0524E">
        <w:rPr>
          <w:sz w:val="16"/>
        </w:rPr>
        <w:t xml:space="preserve">The monthly average neodymium price rose </w:t>
      </w:r>
      <w:r w:rsidR="00FB640E" w:rsidRPr="00A0524E">
        <w:rPr>
          <w:sz w:val="16"/>
        </w:rPr>
        <w:t>20</w:t>
      </w:r>
      <w:r w:rsidRPr="00A0524E">
        <w:rPr>
          <w:sz w:val="16"/>
        </w:rPr>
        <w:t>% to US$</w:t>
      </w:r>
      <w:r w:rsidR="00FB640E" w:rsidRPr="00A0524E">
        <w:rPr>
          <w:sz w:val="16"/>
        </w:rPr>
        <w:t>99,001</w:t>
      </w:r>
      <w:r w:rsidRPr="00A0524E">
        <w:rPr>
          <w:sz w:val="16"/>
        </w:rPr>
        <w:t xml:space="preserve"> a tonne in </w:t>
      </w:r>
      <w:r w:rsidR="00FB640E" w:rsidRPr="00A0524E">
        <w:rPr>
          <w:sz w:val="16"/>
        </w:rPr>
        <w:t>August</w:t>
      </w:r>
      <w:r w:rsidRPr="00A0524E">
        <w:rPr>
          <w:sz w:val="16"/>
        </w:rPr>
        <w:t> 2025.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080050F7" w:rsidR="00062482" w:rsidRDefault="00C872B7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999041F" wp14:editId="05A77263">
            <wp:extent cx="3420000" cy="2100197"/>
            <wp:effectExtent l="0" t="0" r="9525" b="0"/>
            <wp:docPr id="14434983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0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0C9EF9E8" w14:textId="77777777" w:rsidR="00062482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E02098" w14:textId="77777777" w:rsidR="0071037D" w:rsidRDefault="0071037D" w:rsidP="00062482">
      <w:pPr>
        <w:spacing w:after="0"/>
        <w:jc w:val="both"/>
        <w:rPr>
          <w:sz w:val="16"/>
        </w:rPr>
      </w:pPr>
    </w:p>
    <w:p w14:paraId="5775C448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The quantity of Western Australia’s rare earths sales rose 10% to 31,390 tonnes in 2024.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77777777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Western Australia’s rare earths production mainly comes from the Mt Weld mine. Production capacity of the Mt Weld mine has been expanded to supply a newly developed rare earths processing plant in Kalgoorlie. The Kalgoorlie plant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6EE20CA0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(15,000 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710B39C7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2025)</w:t>
      </w:r>
    </w:p>
    <w:p w14:paraId="39608326" w14:textId="52E61CA1" w:rsidR="009262FF" w:rsidRDefault="00761E3A" w:rsidP="004475FD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903FC7">
        <w:rPr>
          <w:sz w:val="16"/>
        </w:rPr>
        <w:t>The Browns Range Stage</w:t>
      </w:r>
      <w:r w:rsidR="0021525B">
        <w:rPr>
          <w:sz w:val="16"/>
        </w:rPr>
        <w:t> </w:t>
      </w:r>
      <w:r w:rsidRPr="00903FC7">
        <w:rPr>
          <w:sz w:val="16"/>
        </w:rPr>
        <w:t xml:space="preserve">2 </w:t>
      </w:r>
      <w:r w:rsidR="00E358B4" w:rsidRPr="00903FC7">
        <w:rPr>
          <w:sz w:val="16"/>
        </w:rPr>
        <w:t xml:space="preserve">proposed </w:t>
      </w:r>
      <w:r w:rsidRPr="00903FC7">
        <w:rPr>
          <w:sz w:val="16"/>
        </w:rPr>
        <w:t>development (3,000 tonnes a year)</w:t>
      </w:r>
      <w:r w:rsidR="0031219C" w:rsidRPr="00903FC7">
        <w:rPr>
          <w:sz w:val="16"/>
        </w:rPr>
        <w:t>.</w:t>
      </w:r>
    </w:p>
    <w:p w14:paraId="3B53C89B" w14:textId="77777777" w:rsidR="001169FC" w:rsidRDefault="001169FC" w:rsidP="001169FC">
      <w:pPr>
        <w:pStyle w:val="BodyText"/>
        <w:spacing w:before="40" w:after="0"/>
        <w:jc w:val="both"/>
        <w:rPr>
          <w:sz w:val="16"/>
        </w:rPr>
      </w:pPr>
    </w:p>
    <w:sectPr w:rsidR="001169FC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72064" w14:textId="77777777" w:rsidR="00752B8E" w:rsidRDefault="00752B8E" w:rsidP="00A4382C">
      <w:pPr>
        <w:spacing w:line="240" w:lineRule="auto"/>
      </w:pPr>
      <w:r>
        <w:separator/>
      </w:r>
    </w:p>
  </w:endnote>
  <w:endnote w:type="continuationSeparator" w:id="0">
    <w:p w14:paraId="47D81701" w14:textId="77777777" w:rsidR="00752B8E" w:rsidRDefault="00752B8E" w:rsidP="00A4382C">
      <w:pPr>
        <w:spacing w:line="240" w:lineRule="auto"/>
      </w:pPr>
      <w:r>
        <w:continuationSeparator/>
      </w:r>
    </w:p>
  </w:endnote>
  <w:endnote w:type="continuationNotice" w:id="1">
    <w:p w14:paraId="76A694BE" w14:textId="77777777" w:rsidR="00752B8E" w:rsidRDefault="00752B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32522754" w:rsidR="00F50412" w:rsidRDefault="00F50412" w:rsidP="00291A4A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  <w:t xml:space="preserve"> </w:t>
    </w:r>
    <w:r w:rsidR="003B6C9C">
      <w:rPr>
        <w:szCs w:val="16"/>
      </w:rPr>
      <w:t xml:space="preserve">                                                      </w:t>
    </w:r>
    <w:r w:rsidR="008122B3">
      <w:rPr>
        <w:szCs w:val="16"/>
      </w:rPr>
      <w:t xml:space="preserve">        </w:t>
    </w:r>
    <w:r w:rsidR="003B6C9C">
      <w:rPr>
        <w:szCs w:val="16"/>
      </w:rPr>
      <w:t xml:space="preserve">                </w:t>
    </w:r>
    <w:r w:rsidR="00291A4A" w:rsidRPr="00A0524E">
      <w:rPr>
        <w:szCs w:val="16"/>
      </w:rPr>
      <w:t>September</w:t>
    </w:r>
    <w:r w:rsidR="00736DFD" w:rsidRPr="00A0524E">
      <w:rPr>
        <w:strike/>
        <w:szCs w:val="16"/>
      </w:rPr>
      <w:t> </w:t>
    </w:r>
    <w:r>
      <w:rPr>
        <w:szCs w:val="16"/>
      </w:rPr>
      <w:t>202</w:t>
    </w:r>
    <w:r w:rsidR="009D138D">
      <w:rPr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EDE0" w14:textId="77777777" w:rsidR="00752B8E" w:rsidRDefault="00752B8E" w:rsidP="00A4382C">
      <w:pPr>
        <w:spacing w:line="240" w:lineRule="auto"/>
      </w:pPr>
      <w:r>
        <w:separator/>
      </w:r>
    </w:p>
  </w:footnote>
  <w:footnote w:type="continuationSeparator" w:id="0">
    <w:p w14:paraId="06CD334E" w14:textId="77777777" w:rsidR="00752B8E" w:rsidRDefault="00752B8E" w:rsidP="00A4382C">
      <w:pPr>
        <w:spacing w:line="240" w:lineRule="auto"/>
      </w:pPr>
      <w:r>
        <w:continuationSeparator/>
      </w:r>
    </w:p>
  </w:footnote>
  <w:footnote w:type="continuationNotice" w:id="1">
    <w:p w14:paraId="7469E023" w14:textId="77777777" w:rsidR="00752B8E" w:rsidRDefault="00752B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FC7"/>
    <w:rsid w:val="0000198E"/>
    <w:rsid w:val="00001B03"/>
    <w:rsid w:val="00002A74"/>
    <w:rsid w:val="00003380"/>
    <w:rsid w:val="00003757"/>
    <w:rsid w:val="00003786"/>
    <w:rsid w:val="00004598"/>
    <w:rsid w:val="00005285"/>
    <w:rsid w:val="00005824"/>
    <w:rsid w:val="00006218"/>
    <w:rsid w:val="00006269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62AE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D33"/>
    <w:rsid w:val="00024F84"/>
    <w:rsid w:val="00025C90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B7A"/>
    <w:rsid w:val="0003241B"/>
    <w:rsid w:val="0003298A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E86"/>
    <w:rsid w:val="00042A5A"/>
    <w:rsid w:val="0004327B"/>
    <w:rsid w:val="00043503"/>
    <w:rsid w:val="00044252"/>
    <w:rsid w:val="00046AFF"/>
    <w:rsid w:val="00047291"/>
    <w:rsid w:val="000476B9"/>
    <w:rsid w:val="000517E2"/>
    <w:rsid w:val="000522AD"/>
    <w:rsid w:val="00052319"/>
    <w:rsid w:val="000524BB"/>
    <w:rsid w:val="00052F6A"/>
    <w:rsid w:val="00053D7C"/>
    <w:rsid w:val="00053E1C"/>
    <w:rsid w:val="0005448D"/>
    <w:rsid w:val="00054BCE"/>
    <w:rsid w:val="0005585E"/>
    <w:rsid w:val="000562D4"/>
    <w:rsid w:val="00056706"/>
    <w:rsid w:val="00056C85"/>
    <w:rsid w:val="00056D84"/>
    <w:rsid w:val="00057C2A"/>
    <w:rsid w:val="00057C95"/>
    <w:rsid w:val="0006020B"/>
    <w:rsid w:val="0006040F"/>
    <w:rsid w:val="00060FFB"/>
    <w:rsid w:val="00061286"/>
    <w:rsid w:val="000612F3"/>
    <w:rsid w:val="0006234D"/>
    <w:rsid w:val="00062482"/>
    <w:rsid w:val="000628DD"/>
    <w:rsid w:val="00062F9F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5084"/>
    <w:rsid w:val="00075851"/>
    <w:rsid w:val="0007662B"/>
    <w:rsid w:val="00076DFB"/>
    <w:rsid w:val="00077607"/>
    <w:rsid w:val="00077635"/>
    <w:rsid w:val="00077902"/>
    <w:rsid w:val="00080086"/>
    <w:rsid w:val="000801A7"/>
    <w:rsid w:val="00080D0E"/>
    <w:rsid w:val="00080E4F"/>
    <w:rsid w:val="000810A4"/>
    <w:rsid w:val="00081F4F"/>
    <w:rsid w:val="000825D2"/>
    <w:rsid w:val="00082E81"/>
    <w:rsid w:val="000841D3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409B"/>
    <w:rsid w:val="0009423B"/>
    <w:rsid w:val="0009446E"/>
    <w:rsid w:val="000946F9"/>
    <w:rsid w:val="0009494E"/>
    <w:rsid w:val="00094F95"/>
    <w:rsid w:val="00095701"/>
    <w:rsid w:val="00096105"/>
    <w:rsid w:val="000965A6"/>
    <w:rsid w:val="00096602"/>
    <w:rsid w:val="000975B5"/>
    <w:rsid w:val="0009772F"/>
    <w:rsid w:val="00097940"/>
    <w:rsid w:val="00097EAA"/>
    <w:rsid w:val="000A0785"/>
    <w:rsid w:val="000A1BE9"/>
    <w:rsid w:val="000A1EC2"/>
    <w:rsid w:val="000A273E"/>
    <w:rsid w:val="000A2DC5"/>
    <w:rsid w:val="000A5207"/>
    <w:rsid w:val="000A576B"/>
    <w:rsid w:val="000A675E"/>
    <w:rsid w:val="000A7A8E"/>
    <w:rsid w:val="000A7C82"/>
    <w:rsid w:val="000B03AB"/>
    <w:rsid w:val="000B097E"/>
    <w:rsid w:val="000B0C4F"/>
    <w:rsid w:val="000B1C99"/>
    <w:rsid w:val="000B29AE"/>
    <w:rsid w:val="000B499F"/>
    <w:rsid w:val="000B4DCE"/>
    <w:rsid w:val="000B521B"/>
    <w:rsid w:val="000B5A53"/>
    <w:rsid w:val="000B6128"/>
    <w:rsid w:val="000B61B6"/>
    <w:rsid w:val="000B6C74"/>
    <w:rsid w:val="000B7376"/>
    <w:rsid w:val="000B74E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4268"/>
    <w:rsid w:val="000C454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3BD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7D23"/>
    <w:rsid w:val="000E095F"/>
    <w:rsid w:val="000E138E"/>
    <w:rsid w:val="000E182C"/>
    <w:rsid w:val="000E1AD6"/>
    <w:rsid w:val="000E1D63"/>
    <w:rsid w:val="000E2AC8"/>
    <w:rsid w:val="000E2AF2"/>
    <w:rsid w:val="000E2BE5"/>
    <w:rsid w:val="000E3009"/>
    <w:rsid w:val="000E3808"/>
    <w:rsid w:val="000E3DDF"/>
    <w:rsid w:val="000E4402"/>
    <w:rsid w:val="000E4A00"/>
    <w:rsid w:val="000E5281"/>
    <w:rsid w:val="000E5CCF"/>
    <w:rsid w:val="000E5DCE"/>
    <w:rsid w:val="000E70AF"/>
    <w:rsid w:val="000E79DD"/>
    <w:rsid w:val="000F0721"/>
    <w:rsid w:val="000F0C82"/>
    <w:rsid w:val="000F13E1"/>
    <w:rsid w:val="000F1515"/>
    <w:rsid w:val="000F1DED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79FB"/>
    <w:rsid w:val="00100235"/>
    <w:rsid w:val="001004BC"/>
    <w:rsid w:val="001005BF"/>
    <w:rsid w:val="00100B19"/>
    <w:rsid w:val="0010154A"/>
    <w:rsid w:val="00101770"/>
    <w:rsid w:val="00101A4E"/>
    <w:rsid w:val="00101ADD"/>
    <w:rsid w:val="00101FB9"/>
    <w:rsid w:val="001023F8"/>
    <w:rsid w:val="001025DA"/>
    <w:rsid w:val="001026ED"/>
    <w:rsid w:val="00102F0B"/>
    <w:rsid w:val="00103672"/>
    <w:rsid w:val="00103A40"/>
    <w:rsid w:val="00104591"/>
    <w:rsid w:val="0010618A"/>
    <w:rsid w:val="00106E1E"/>
    <w:rsid w:val="00107B69"/>
    <w:rsid w:val="00110244"/>
    <w:rsid w:val="00111082"/>
    <w:rsid w:val="00111682"/>
    <w:rsid w:val="0011168A"/>
    <w:rsid w:val="00112164"/>
    <w:rsid w:val="00112651"/>
    <w:rsid w:val="0011278C"/>
    <w:rsid w:val="00113DCD"/>
    <w:rsid w:val="00114243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6E9"/>
    <w:rsid w:val="00124A89"/>
    <w:rsid w:val="0012712C"/>
    <w:rsid w:val="00127949"/>
    <w:rsid w:val="00127A81"/>
    <w:rsid w:val="001300F3"/>
    <w:rsid w:val="00130A6A"/>
    <w:rsid w:val="00130E3F"/>
    <w:rsid w:val="00131643"/>
    <w:rsid w:val="001316C4"/>
    <w:rsid w:val="001319F4"/>
    <w:rsid w:val="00132594"/>
    <w:rsid w:val="00132879"/>
    <w:rsid w:val="00133785"/>
    <w:rsid w:val="00133BA3"/>
    <w:rsid w:val="00134BAC"/>
    <w:rsid w:val="0013566B"/>
    <w:rsid w:val="00135D0B"/>
    <w:rsid w:val="0013600B"/>
    <w:rsid w:val="00137217"/>
    <w:rsid w:val="00137C47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52B8"/>
    <w:rsid w:val="0014579C"/>
    <w:rsid w:val="0014580B"/>
    <w:rsid w:val="00145A4C"/>
    <w:rsid w:val="00145F6B"/>
    <w:rsid w:val="00146777"/>
    <w:rsid w:val="001470EA"/>
    <w:rsid w:val="00147494"/>
    <w:rsid w:val="0015015F"/>
    <w:rsid w:val="00150D6F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BCC"/>
    <w:rsid w:val="001714CC"/>
    <w:rsid w:val="00171690"/>
    <w:rsid w:val="00171765"/>
    <w:rsid w:val="00171B84"/>
    <w:rsid w:val="00171F05"/>
    <w:rsid w:val="0017232C"/>
    <w:rsid w:val="001723E2"/>
    <w:rsid w:val="001723F5"/>
    <w:rsid w:val="001724FC"/>
    <w:rsid w:val="00172891"/>
    <w:rsid w:val="00172F4D"/>
    <w:rsid w:val="00173498"/>
    <w:rsid w:val="001743E9"/>
    <w:rsid w:val="00174519"/>
    <w:rsid w:val="00174EF0"/>
    <w:rsid w:val="001750A9"/>
    <w:rsid w:val="001753A3"/>
    <w:rsid w:val="00175473"/>
    <w:rsid w:val="001755EC"/>
    <w:rsid w:val="00175A3A"/>
    <w:rsid w:val="00175B21"/>
    <w:rsid w:val="00175E16"/>
    <w:rsid w:val="00176610"/>
    <w:rsid w:val="0017675C"/>
    <w:rsid w:val="00176B7E"/>
    <w:rsid w:val="00176E0F"/>
    <w:rsid w:val="0017750C"/>
    <w:rsid w:val="00177844"/>
    <w:rsid w:val="00177FBA"/>
    <w:rsid w:val="0018025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463C"/>
    <w:rsid w:val="00184D97"/>
    <w:rsid w:val="0018513E"/>
    <w:rsid w:val="001853E7"/>
    <w:rsid w:val="001857C8"/>
    <w:rsid w:val="00185E0B"/>
    <w:rsid w:val="00185F1D"/>
    <w:rsid w:val="0018667D"/>
    <w:rsid w:val="001867FE"/>
    <w:rsid w:val="00187DF0"/>
    <w:rsid w:val="00187ED2"/>
    <w:rsid w:val="00187F64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A042A"/>
    <w:rsid w:val="001A0E63"/>
    <w:rsid w:val="001A13A5"/>
    <w:rsid w:val="001A1794"/>
    <w:rsid w:val="001A17A2"/>
    <w:rsid w:val="001A1A04"/>
    <w:rsid w:val="001A22A8"/>
    <w:rsid w:val="001A456D"/>
    <w:rsid w:val="001A5452"/>
    <w:rsid w:val="001A56C3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738"/>
    <w:rsid w:val="001B7BB2"/>
    <w:rsid w:val="001C02F8"/>
    <w:rsid w:val="001C16BE"/>
    <w:rsid w:val="001C2237"/>
    <w:rsid w:val="001C2BFB"/>
    <w:rsid w:val="001C316F"/>
    <w:rsid w:val="001C4342"/>
    <w:rsid w:val="001C453E"/>
    <w:rsid w:val="001C5182"/>
    <w:rsid w:val="001C5B6B"/>
    <w:rsid w:val="001C5C81"/>
    <w:rsid w:val="001C6A01"/>
    <w:rsid w:val="001C6E69"/>
    <w:rsid w:val="001C74BC"/>
    <w:rsid w:val="001C74BD"/>
    <w:rsid w:val="001C7545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2064"/>
    <w:rsid w:val="001D233C"/>
    <w:rsid w:val="001D2EB0"/>
    <w:rsid w:val="001D31AA"/>
    <w:rsid w:val="001D3567"/>
    <w:rsid w:val="001D4F90"/>
    <w:rsid w:val="001D636B"/>
    <w:rsid w:val="001D7DDB"/>
    <w:rsid w:val="001D7FD4"/>
    <w:rsid w:val="001E16B7"/>
    <w:rsid w:val="001E177A"/>
    <w:rsid w:val="001E18E0"/>
    <w:rsid w:val="001E1980"/>
    <w:rsid w:val="001E38AF"/>
    <w:rsid w:val="001E43A3"/>
    <w:rsid w:val="001E45C0"/>
    <w:rsid w:val="001E4619"/>
    <w:rsid w:val="001E5817"/>
    <w:rsid w:val="001E69E7"/>
    <w:rsid w:val="001E71EC"/>
    <w:rsid w:val="001E742B"/>
    <w:rsid w:val="001E7565"/>
    <w:rsid w:val="001E7593"/>
    <w:rsid w:val="001E799A"/>
    <w:rsid w:val="001E79BC"/>
    <w:rsid w:val="001F0BC0"/>
    <w:rsid w:val="001F1168"/>
    <w:rsid w:val="001F2273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24DA"/>
    <w:rsid w:val="00204CC7"/>
    <w:rsid w:val="00205103"/>
    <w:rsid w:val="0020536C"/>
    <w:rsid w:val="002060AA"/>
    <w:rsid w:val="002074A4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20037"/>
    <w:rsid w:val="002208FD"/>
    <w:rsid w:val="00221429"/>
    <w:rsid w:val="0022212D"/>
    <w:rsid w:val="002226FF"/>
    <w:rsid w:val="00223AA9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1063"/>
    <w:rsid w:val="00241696"/>
    <w:rsid w:val="00241CBD"/>
    <w:rsid w:val="00241E60"/>
    <w:rsid w:val="0024214D"/>
    <w:rsid w:val="002422CF"/>
    <w:rsid w:val="00243459"/>
    <w:rsid w:val="00243501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112D"/>
    <w:rsid w:val="00251197"/>
    <w:rsid w:val="00251C82"/>
    <w:rsid w:val="00251F97"/>
    <w:rsid w:val="00252CE1"/>
    <w:rsid w:val="00254FBA"/>
    <w:rsid w:val="0025532C"/>
    <w:rsid w:val="00256EBE"/>
    <w:rsid w:val="002570AD"/>
    <w:rsid w:val="002600A8"/>
    <w:rsid w:val="00260391"/>
    <w:rsid w:val="00260961"/>
    <w:rsid w:val="0026297F"/>
    <w:rsid w:val="00262CC7"/>
    <w:rsid w:val="00263AEC"/>
    <w:rsid w:val="002641AD"/>
    <w:rsid w:val="002643D0"/>
    <w:rsid w:val="00266B37"/>
    <w:rsid w:val="00266BC1"/>
    <w:rsid w:val="00267342"/>
    <w:rsid w:val="002676D1"/>
    <w:rsid w:val="00270C74"/>
    <w:rsid w:val="002716F8"/>
    <w:rsid w:val="00271A26"/>
    <w:rsid w:val="00272219"/>
    <w:rsid w:val="00272CA0"/>
    <w:rsid w:val="0027351B"/>
    <w:rsid w:val="00273EC2"/>
    <w:rsid w:val="00274038"/>
    <w:rsid w:val="002741E8"/>
    <w:rsid w:val="00274841"/>
    <w:rsid w:val="00275336"/>
    <w:rsid w:val="00275369"/>
    <w:rsid w:val="00275379"/>
    <w:rsid w:val="002758A1"/>
    <w:rsid w:val="002760CB"/>
    <w:rsid w:val="00276AD9"/>
    <w:rsid w:val="00276F5F"/>
    <w:rsid w:val="002771F4"/>
    <w:rsid w:val="002778EB"/>
    <w:rsid w:val="00280302"/>
    <w:rsid w:val="002805DC"/>
    <w:rsid w:val="00280753"/>
    <w:rsid w:val="002810C9"/>
    <w:rsid w:val="002819FD"/>
    <w:rsid w:val="00281B47"/>
    <w:rsid w:val="00282781"/>
    <w:rsid w:val="00282C82"/>
    <w:rsid w:val="002832ED"/>
    <w:rsid w:val="00283462"/>
    <w:rsid w:val="00283AD0"/>
    <w:rsid w:val="002840AE"/>
    <w:rsid w:val="002852E5"/>
    <w:rsid w:val="00285376"/>
    <w:rsid w:val="00285E53"/>
    <w:rsid w:val="00287429"/>
    <w:rsid w:val="00287780"/>
    <w:rsid w:val="002906E4"/>
    <w:rsid w:val="00291395"/>
    <w:rsid w:val="00291906"/>
    <w:rsid w:val="00291A4A"/>
    <w:rsid w:val="00291CB6"/>
    <w:rsid w:val="002921DB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E9B"/>
    <w:rsid w:val="00295A5F"/>
    <w:rsid w:val="00295F15"/>
    <w:rsid w:val="00296019"/>
    <w:rsid w:val="0029628E"/>
    <w:rsid w:val="00297150"/>
    <w:rsid w:val="002972C2"/>
    <w:rsid w:val="00297373"/>
    <w:rsid w:val="002A0C01"/>
    <w:rsid w:val="002A0CC8"/>
    <w:rsid w:val="002A0D37"/>
    <w:rsid w:val="002A1606"/>
    <w:rsid w:val="002A23D8"/>
    <w:rsid w:val="002A2900"/>
    <w:rsid w:val="002A29F2"/>
    <w:rsid w:val="002A304F"/>
    <w:rsid w:val="002A354B"/>
    <w:rsid w:val="002A3F73"/>
    <w:rsid w:val="002A3FA6"/>
    <w:rsid w:val="002A4C4F"/>
    <w:rsid w:val="002A537D"/>
    <w:rsid w:val="002A575F"/>
    <w:rsid w:val="002A5DE6"/>
    <w:rsid w:val="002A6063"/>
    <w:rsid w:val="002A6E3C"/>
    <w:rsid w:val="002A7A4E"/>
    <w:rsid w:val="002B0324"/>
    <w:rsid w:val="002B035A"/>
    <w:rsid w:val="002B1031"/>
    <w:rsid w:val="002B106A"/>
    <w:rsid w:val="002B1D59"/>
    <w:rsid w:val="002B2A89"/>
    <w:rsid w:val="002B2E69"/>
    <w:rsid w:val="002B32A8"/>
    <w:rsid w:val="002B3565"/>
    <w:rsid w:val="002B3685"/>
    <w:rsid w:val="002B37B1"/>
    <w:rsid w:val="002B457D"/>
    <w:rsid w:val="002B4CA7"/>
    <w:rsid w:val="002B53F4"/>
    <w:rsid w:val="002B5898"/>
    <w:rsid w:val="002B756D"/>
    <w:rsid w:val="002B7963"/>
    <w:rsid w:val="002B7A2A"/>
    <w:rsid w:val="002C1272"/>
    <w:rsid w:val="002C14C9"/>
    <w:rsid w:val="002C2161"/>
    <w:rsid w:val="002C22CA"/>
    <w:rsid w:val="002C298E"/>
    <w:rsid w:val="002C2B17"/>
    <w:rsid w:val="002C35B4"/>
    <w:rsid w:val="002C50FD"/>
    <w:rsid w:val="002C5F64"/>
    <w:rsid w:val="002C77F5"/>
    <w:rsid w:val="002C7C23"/>
    <w:rsid w:val="002D0221"/>
    <w:rsid w:val="002D0741"/>
    <w:rsid w:val="002D1A06"/>
    <w:rsid w:val="002D1A71"/>
    <w:rsid w:val="002D1C60"/>
    <w:rsid w:val="002D2D6A"/>
    <w:rsid w:val="002D35DD"/>
    <w:rsid w:val="002D3B49"/>
    <w:rsid w:val="002D4124"/>
    <w:rsid w:val="002D4783"/>
    <w:rsid w:val="002D4CD0"/>
    <w:rsid w:val="002D4D08"/>
    <w:rsid w:val="002D5D46"/>
    <w:rsid w:val="002D6451"/>
    <w:rsid w:val="002D7F7A"/>
    <w:rsid w:val="002E24F5"/>
    <w:rsid w:val="002E302E"/>
    <w:rsid w:val="002E5361"/>
    <w:rsid w:val="002E53AD"/>
    <w:rsid w:val="002E58B7"/>
    <w:rsid w:val="002E5D2B"/>
    <w:rsid w:val="002E6F7D"/>
    <w:rsid w:val="002E6FA3"/>
    <w:rsid w:val="002E71DF"/>
    <w:rsid w:val="002E7DB1"/>
    <w:rsid w:val="002E7DD3"/>
    <w:rsid w:val="002F0B72"/>
    <w:rsid w:val="002F0C40"/>
    <w:rsid w:val="002F0C65"/>
    <w:rsid w:val="002F15F9"/>
    <w:rsid w:val="002F1983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544F"/>
    <w:rsid w:val="002F59E3"/>
    <w:rsid w:val="002F5CED"/>
    <w:rsid w:val="002F603A"/>
    <w:rsid w:val="002F6471"/>
    <w:rsid w:val="002F6840"/>
    <w:rsid w:val="00300127"/>
    <w:rsid w:val="00300752"/>
    <w:rsid w:val="0030090F"/>
    <w:rsid w:val="00300D2F"/>
    <w:rsid w:val="0030204A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99E"/>
    <w:rsid w:val="00322F94"/>
    <w:rsid w:val="00322FC1"/>
    <w:rsid w:val="0032352E"/>
    <w:rsid w:val="00324D26"/>
    <w:rsid w:val="003261FF"/>
    <w:rsid w:val="003277D4"/>
    <w:rsid w:val="00327D01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E55"/>
    <w:rsid w:val="00335788"/>
    <w:rsid w:val="003365AC"/>
    <w:rsid w:val="003379C5"/>
    <w:rsid w:val="00337D0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74C"/>
    <w:rsid w:val="00345519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71CC"/>
    <w:rsid w:val="00357509"/>
    <w:rsid w:val="00357812"/>
    <w:rsid w:val="00357B5D"/>
    <w:rsid w:val="00360AAC"/>
    <w:rsid w:val="0036263D"/>
    <w:rsid w:val="00362E01"/>
    <w:rsid w:val="003636FF"/>
    <w:rsid w:val="00363770"/>
    <w:rsid w:val="00363EC2"/>
    <w:rsid w:val="003642EC"/>
    <w:rsid w:val="003651F3"/>
    <w:rsid w:val="0036581A"/>
    <w:rsid w:val="00366622"/>
    <w:rsid w:val="003668ED"/>
    <w:rsid w:val="0036695E"/>
    <w:rsid w:val="00366999"/>
    <w:rsid w:val="00366AA3"/>
    <w:rsid w:val="0036792B"/>
    <w:rsid w:val="0037070E"/>
    <w:rsid w:val="00370929"/>
    <w:rsid w:val="00370F17"/>
    <w:rsid w:val="00371B32"/>
    <w:rsid w:val="00371C36"/>
    <w:rsid w:val="00371FB3"/>
    <w:rsid w:val="0037299B"/>
    <w:rsid w:val="00373249"/>
    <w:rsid w:val="003733AB"/>
    <w:rsid w:val="00373896"/>
    <w:rsid w:val="00373E55"/>
    <w:rsid w:val="0037496B"/>
    <w:rsid w:val="0037544D"/>
    <w:rsid w:val="003754BB"/>
    <w:rsid w:val="00375984"/>
    <w:rsid w:val="00375A51"/>
    <w:rsid w:val="00375C82"/>
    <w:rsid w:val="00376EED"/>
    <w:rsid w:val="00377577"/>
    <w:rsid w:val="003801D1"/>
    <w:rsid w:val="003801F5"/>
    <w:rsid w:val="00380697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5514"/>
    <w:rsid w:val="00385689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FB9"/>
    <w:rsid w:val="003C1A0B"/>
    <w:rsid w:val="003C2C96"/>
    <w:rsid w:val="003C2FB9"/>
    <w:rsid w:val="003C3DF8"/>
    <w:rsid w:val="003C47B6"/>
    <w:rsid w:val="003C49D5"/>
    <w:rsid w:val="003C4E9E"/>
    <w:rsid w:val="003C5336"/>
    <w:rsid w:val="003C56BF"/>
    <w:rsid w:val="003C622A"/>
    <w:rsid w:val="003C6E59"/>
    <w:rsid w:val="003C71FA"/>
    <w:rsid w:val="003C730E"/>
    <w:rsid w:val="003C788A"/>
    <w:rsid w:val="003C7D45"/>
    <w:rsid w:val="003D04C5"/>
    <w:rsid w:val="003D05FB"/>
    <w:rsid w:val="003D0D97"/>
    <w:rsid w:val="003D165B"/>
    <w:rsid w:val="003D1855"/>
    <w:rsid w:val="003D2ABD"/>
    <w:rsid w:val="003D36CF"/>
    <w:rsid w:val="003D47BF"/>
    <w:rsid w:val="003D55EF"/>
    <w:rsid w:val="003D5741"/>
    <w:rsid w:val="003D5BE8"/>
    <w:rsid w:val="003D5BEA"/>
    <w:rsid w:val="003D6F7E"/>
    <w:rsid w:val="003D7087"/>
    <w:rsid w:val="003E0430"/>
    <w:rsid w:val="003E1400"/>
    <w:rsid w:val="003E1747"/>
    <w:rsid w:val="003E1F3E"/>
    <w:rsid w:val="003E271F"/>
    <w:rsid w:val="003E28A9"/>
    <w:rsid w:val="003E41AF"/>
    <w:rsid w:val="003E4B2A"/>
    <w:rsid w:val="003E53F4"/>
    <w:rsid w:val="003E5DD0"/>
    <w:rsid w:val="003E6FC4"/>
    <w:rsid w:val="003E75AB"/>
    <w:rsid w:val="003E79C1"/>
    <w:rsid w:val="003F0812"/>
    <w:rsid w:val="003F0C23"/>
    <w:rsid w:val="003F1987"/>
    <w:rsid w:val="003F26FE"/>
    <w:rsid w:val="003F295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5B87"/>
    <w:rsid w:val="003F68F5"/>
    <w:rsid w:val="003F6961"/>
    <w:rsid w:val="003F6DBE"/>
    <w:rsid w:val="003F704F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7B1"/>
    <w:rsid w:val="004129B5"/>
    <w:rsid w:val="00412AA2"/>
    <w:rsid w:val="00412B56"/>
    <w:rsid w:val="0041331E"/>
    <w:rsid w:val="004138EC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7238"/>
    <w:rsid w:val="00417D8D"/>
    <w:rsid w:val="00417EFE"/>
    <w:rsid w:val="0042003C"/>
    <w:rsid w:val="0042179E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B21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92"/>
    <w:rsid w:val="00435062"/>
    <w:rsid w:val="004357A1"/>
    <w:rsid w:val="00435A40"/>
    <w:rsid w:val="00435F33"/>
    <w:rsid w:val="004365A8"/>
    <w:rsid w:val="00441303"/>
    <w:rsid w:val="00441357"/>
    <w:rsid w:val="00441911"/>
    <w:rsid w:val="00441917"/>
    <w:rsid w:val="00441E01"/>
    <w:rsid w:val="004423E5"/>
    <w:rsid w:val="0044273F"/>
    <w:rsid w:val="00442B4B"/>
    <w:rsid w:val="004436DE"/>
    <w:rsid w:val="004437F8"/>
    <w:rsid w:val="00444C28"/>
    <w:rsid w:val="00445180"/>
    <w:rsid w:val="00445943"/>
    <w:rsid w:val="00445A5B"/>
    <w:rsid w:val="00445CE7"/>
    <w:rsid w:val="00445CF6"/>
    <w:rsid w:val="00445D1B"/>
    <w:rsid w:val="00446242"/>
    <w:rsid w:val="0044631C"/>
    <w:rsid w:val="0044669C"/>
    <w:rsid w:val="004478B8"/>
    <w:rsid w:val="004478EF"/>
    <w:rsid w:val="004500AB"/>
    <w:rsid w:val="00450111"/>
    <w:rsid w:val="0045085D"/>
    <w:rsid w:val="00450B63"/>
    <w:rsid w:val="00451758"/>
    <w:rsid w:val="00451B5B"/>
    <w:rsid w:val="00451DD5"/>
    <w:rsid w:val="00452AA7"/>
    <w:rsid w:val="00452C76"/>
    <w:rsid w:val="00453D68"/>
    <w:rsid w:val="00454183"/>
    <w:rsid w:val="00454611"/>
    <w:rsid w:val="00454E03"/>
    <w:rsid w:val="00455491"/>
    <w:rsid w:val="004562BA"/>
    <w:rsid w:val="0045658E"/>
    <w:rsid w:val="00456642"/>
    <w:rsid w:val="00457CCA"/>
    <w:rsid w:val="004600E4"/>
    <w:rsid w:val="004608C3"/>
    <w:rsid w:val="00460A98"/>
    <w:rsid w:val="00460DA3"/>
    <w:rsid w:val="00460F9F"/>
    <w:rsid w:val="00462C03"/>
    <w:rsid w:val="00462FEA"/>
    <w:rsid w:val="004631B2"/>
    <w:rsid w:val="0046320D"/>
    <w:rsid w:val="0046367C"/>
    <w:rsid w:val="004637E0"/>
    <w:rsid w:val="0046420C"/>
    <w:rsid w:val="00464B51"/>
    <w:rsid w:val="0046536A"/>
    <w:rsid w:val="004653C8"/>
    <w:rsid w:val="00465455"/>
    <w:rsid w:val="00465E82"/>
    <w:rsid w:val="00466344"/>
    <w:rsid w:val="00466C29"/>
    <w:rsid w:val="004700F7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B59"/>
    <w:rsid w:val="004753A6"/>
    <w:rsid w:val="00475A14"/>
    <w:rsid w:val="00475A8D"/>
    <w:rsid w:val="00475F6B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8"/>
    <w:rsid w:val="00482AA0"/>
    <w:rsid w:val="00483577"/>
    <w:rsid w:val="0048404C"/>
    <w:rsid w:val="0048478A"/>
    <w:rsid w:val="00484843"/>
    <w:rsid w:val="00484BDA"/>
    <w:rsid w:val="00485695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E54"/>
    <w:rsid w:val="00490F2F"/>
    <w:rsid w:val="00492C1C"/>
    <w:rsid w:val="00492CD0"/>
    <w:rsid w:val="00493AE3"/>
    <w:rsid w:val="00494013"/>
    <w:rsid w:val="0049414A"/>
    <w:rsid w:val="00494F0B"/>
    <w:rsid w:val="004956E4"/>
    <w:rsid w:val="004956FF"/>
    <w:rsid w:val="00495940"/>
    <w:rsid w:val="00495A8A"/>
    <w:rsid w:val="004964CB"/>
    <w:rsid w:val="00496E42"/>
    <w:rsid w:val="00497139"/>
    <w:rsid w:val="004973C7"/>
    <w:rsid w:val="00497929"/>
    <w:rsid w:val="00497FC5"/>
    <w:rsid w:val="004A01E5"/>
    <w:rsid w:val="004A1CD8"/>
    <w:rsid w:val="004A1EA3"/>
    <w:rsid w:val="004A1EFE"/>
    <w:rsid w:val="004A230A"/>
    <w:rsid w:val="004A2EF3"/>
    <w:rsid w:val="004A368F"/>
    <w:rsid w:val="004A4E36"/>
    <w:rsid w:val="004A4FF1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A64"/>
    <w:rsid w:val="004B1E48"/>
    <w:rsid w:val="004B34D9"/>
    <w:rsid w:val="004B385E"/>
    <w:rsid w:val="004B3A2F"/>
    <w:rsid w:val="004B3D18"/>
    <w:rsid w:val="004B3FC9"/>
    <w:rsid w:val="004B433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8F2"/>
    <w:rsid w:val="004C69C9"/>
    <w:rsid w:val="004C6C40"/>
    <w:rsid w:val="004C7541"/>
    <w:rsid w:val="004C7BEE"/>
    <w:rsid w:val="004C7EBC"/>
    <w:rsid w:val="004D06F9"/>
    <w:rsid w:val="004D10B0"/>
    <w:rsid w:val="004D2E64"/>
    <w:rsid w:val="004D2F63"/>
    <w:rsid w:val="004D32FD"/>
    <w:rsid w:val="004D3EBD"/>
    <w:rsid w:val="004D4A29"/>
    <w:rsid w:val="004D4ABE"/>
    <w:rsid w:val="004D4E8A"/>
    <w:rsid w:val="004D52BC"/>
    <w:rsid w:val="004D58DF"/>
    <w:rsid w:val="004D5A60"/>
    <w:rsid w:val="004D5BAB"/>
    <w:rsid w:val="004D722D"/>
    <w:rsid w:val="004D78C0"/>
    <w:rsid w:val="004D7B24"/>
    <w:rsid w:val="004E0150"/>
    <w:rsid w:val="004E03ED"/>
    <w:rsid w:val="004E0919"/>
    <w:rsid w:val="004E164D"/>
    <w:rsid w:val="004E1916"/>
    <w:rsid w:val="004E2379"/>
    <w:rsid w:val="004E23CC"/>
    <w:rsid w:val="004E2719"/>
    <w:rsid w:val="004E2D8A"/>
    <w:rsid w:val="004E3022"/>
    <w:rsid w:val="004E36BF"/>
    <w:rsid w:val="004E3ACB"/>
    <w:rsid w:val="004E3F1E"/>
    <w:rsid w:val="004E3F2D"/>
    <w:rsid w:val="004E3F37"/>
    <w:rsid w:val="004E46F6"/>
    <w:rsid w:val="004E4F7F"/>
    <w:rsid w:val="004E6D67"/>
    <w:rsid w:val="004E6DD4"/>
    <w:rsid w:val="004E7022"/>
    <w:rsid w:val="004E72C2"/>
    <w:rsid w:val="004E76B9"/>
    <w:rsid w:val="004F0CF0"/>
    <w:rsid w:val="004F0FF5"/>
    <w:rsid w:val="004F1E9F"/>
    <w:rsid w:val="004F2490"/>
    <w:rsid w:val="004F24AA"/>
    <w:rsid w:val="004F2ABE"/>
    <w:rsid w:val="004F3812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C1"/>
    <w:rsid w:val="005107C5"/>
    <w:rsid w:val="005110E9"/>
    <w:rsid w:val="00511696"/>
    <w:rsid w:val="00511728"/>
    <w:rsid w:val="00511EB7"/>
    <w:rsid w:val="005131F5"/>
    <w:rsid w:val="00514046"/>
    <w:rsid w:val="00514414"/>
    <w:rsid w:val="00514924"/>
    <w:rsid w:val="0051605A"/>
    <w:rsid w:val="00516723"/>
    <w:rsid w:val="005169CE"/>
    <w:rsid w:val="00517B50"/>
    <w:rsid w:val="005204D9"/>
    <w:rsid w:val="00520F30"/>
    <w:rsid w:val="00521B09"/>
    <w:rsid w:val="0052292B"/>
    <w:rsid w:val="00522CA1"/>
    <w:rsid w:val="00523CB1"/>
    <w:rsid w:val="00524C37"/>
    <w:rsid w:val="005252BE"/>
    <w:rsid w:val="0052585C"/>
    <w:rsid w:val="00525E02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1625"/>
    <w:rsid w:val="00531810"/>
    <w:rsid w:val="00531B24"/>
    <w:rsid w:val="00531CC4"/>
    <w:rsid w:val="00531EE1"/>
    <w:rsid w:val="00532607"/>
    <w:rsid w:val="005328E4"/>
    <w:rsid w:val="00532CEB"/>
    <w:rsid w:val="00532E7B"/>
    <w:rsid w:val="00533FFA"/>
    <w:rsid w:val="0053403F"/>
    <w:rsid w:val="00535A54"/>
    <w:rsid w:val="00535D4D"/>
    <w:rsid w:val="00535F82"/>
    <w:rsid w:val="005362A4"/>
    <w:rsid w:val="005365AC"/>
    <w:rsid w:val="00537778"/>
    <w:rsid w:val="005377C7"/>
    <w:rsid w:val="00537A16"/>
    <w:rsid w:val="00540B18"/>
    <w:rsid w:val="00540BE4"/>
    <w:rsid w:val="005417CC"/>
    <w:rsid w:val="005438B1"/>
    <w:rsid w:val="00543B2F"/>
    <w:rsid w:val="00544A95"/>
    <w:rsid w:val="005450C5"/>
    <w:rsid w:val="00545D38"/>
    <w:rsid w:val="00545EE8"/>
    <w:rsid w:val="00545FC4"/>
    <w:rsid w:val="0054603A"/>
    <w:rsid w:val="00546D8D"/>
    <w:rsid w:val="0054751B"/>
    <w:rsid w:val="00547785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DE5"/>
    <w:rsid w:val="0055663F"/>
    <w:rsid w:val="00556CD6"/>
    <w:rsid w:val="00556DA7"/>
    <w:rsid w:val="00556DE0"/>
    <w:rsid w:val="0056014A"/>
    <w:rsid w:val="00560490"/>
    <w:rsid w:val="00561538"/>
    <w:rsid w:val="005615CD"/>
    <w:rsid w:val="00562E13"/>
    <w:rsid w:val="00563703"/>
    <w:rsid w:val="00563B39"/>
    <w:rsid w:val="00564076"/>
    <w:rsid w:val="005640E5"/>
    <w:rsid w:val="005642CA"/>
    <w:rsid w:val="00565250"/>
    <w:rsid w:val="00566B28"/>
    <w:rsid w:val="00566F5F"/>
    <w:rsid w:val="005701CB"/>
    <w:rsid w:val="005703A6"/>
    <w:rsid w:val="0057056B"/>
    <w:rsid w:val="00570E06"/>
    <w:rsid w:val="00571929"/>
    <w:rsid w:val="0057262C"/>
    <w:rsid w:val="00572769"/>
    <w:rsid w:val="00572A06"/>
    <w:rsid w:val="00572B30"/>
    <w:rsid w:val="00573B75"/>
    <w:rsid w:val="005749D0"/>
    <w:rsid w:val="0057500E"/>
    <w:rsid w:val="0057581E"/>
    <w:rsid w:val="005758C5"/>
    <w:rsid w:val="00575B72"/>
    <w:rsid w:val="00575DF0"/>
    <w:rsid w:val="00576552"/>
    <w:rsid w:val="005766A1"/>
    <w:rsid w:val="00576993"/>
    <w:rsid w:val="00576A83"/>
    <w:rsid w:val="00576D56"/>
    <w:rsid w:val="00576F3A"/>
    <w:rsid w:val="00577902"/>
    <w:rsid w:val="00577AC1"/>
    <w:rsid w:val="00577DD8"/>
    <w:rsid w:val="00580345"/>
    <w:rsid w:val="00581AAD"/>
    <w:rsid w:val="00581EDF"/>
    <w:rsid w:val="00582196"/>
    <w:rsid w:val="00582573"/>
    <w:rsid w:val="005828AA"/>
    <w:rsid w:val="00582ECF"/>
    <w:rsid w:val="00583DA7"/>
    <w:rsid w:val="00584044"/>
    <w:rsid w:val="00584414"/>
    <w:rsid w:val="00584C3C"/>
    <w:rsid w:val="00585343"/>
    <w:rsid w:val="00585451"/>
    <w:rsid w:val="005857AE"/>
    <w:rsid w:val="00586A9F"/>
    <w:rsid w:val="00587E6B"/>
    <w:rsid w:val="00587F50"/>
    <w:rsid w:val="00590A6B"/>
    <w:rsid w:val="00590A9F"/>
    <w:rsid w:val="00590B8D"/>
    <w:rsid w:val="00591BD4"/>
    <w:rsid w:val="00592258"/>
    <w:rsid w:val="00593711"/>
    <w:rsid w:val="00593CE0"/>
    <w:rsid w:val="00593ED3"/>
    <w:rsid w:val="005946A3"/>
    <w:rsid w:val="00594D91"/>
    <w:rsid w:val="00594E58"/>
    <w:rsid w:val="00594EB2"/>
    <w:rsid w:val="005953F9"/>
    <w:rsid w:val="00595DE6"/>
    <w:rsid w:val="00595FF9"/>
    <w:rsid w:val="00596722"/>
    <w:rsid w:val="00597C87"/>
    <w:rsid w:val="005A00D0"/>
    <w:rsid w:val="005A0581"/>
    <w:rsid w:val="005A0AA6"/>
    <w:rsid w:val="005A18D6"/>
    <w:rsid w:val="005A18ED"/>
    <w:rsid w:val="005A392C"/>
    <w:rsid w:val="005A4BF2"/>
    <w:rsid w:val="005A4D46"/>
    <w:rsid w:val="005A4D97"/>
    <w:rsid w:val="005A6AAD"/>
    <w:rsid w:val="005A76F5"/>
    <w:rsid w:val="005A7E23"/>
    <w:rsid w:val="005B0F35"/>
    <w:rsid w:val="005B0F45"/>
    <w:rsid w:val="005B1069"/>
    <w:rsid w:val="005B1654"/>
    <w:rsid w:val="005B17EB"/>
    <w:rsid w:val="005B276C"/>
    <w:rsid w:val="005B28B6"/>
    <w:rsid w:val="005B2CEA"/>
    <w:rsid w:val="005B3F1F"/>
    <w:rsid w:val="005B5A11"/>
    <w:rsid w:val="005B5A18"/>
    <w:rsid w:val="005B5F01"/>
    <w:rsid w:val="005B65E0"/>
    <w:rsid w:val="005B6A16"/>
    <w:rsid w:val="005B7026"/>
    <w:rsid w:val="005B7565"/>
    <w:rsid w:val="005B7B54"/>
    <w:rsid w:val="005C06C0"/>
    <w:rsid w:val="005C06F0"/>
    <w:rsid w:val="005C0907"/>
    <w:rsid w:val="005C0B6C"/>
    <w:rsid w:val="005C1342"/>
    <w:rsid w:val="005C14F5"/>
    <w:rsid w:val="005C18A3"/>
    <w:rsid w:val="005C2E64"/>
    <w:rsid w:val="005C301D"/>
    <w:rsid w:val="005C311B"/>
    <w:rsid w:val="005C3239"/>
    <w:rsid w:val="005C32A6"/>
    <w:rsid w:val="005C3BB8"/>
    <w:rsid w:val="005C3D09"/>
    <w:rsid w:val="005C451E"/>
    <w:rsid w:val="005C52F4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813"/>
    <w:rsid w:val="005D106E"/>
    <w:rsid w:val="005D1453"/>
    <w:rsid w:val="005D1619"/>
    <w:rsid w:val="005D1649"/>
    <w:rsid w:val="005D2183"/>
    <w:rsid w:val="005D3730"/>
    <w:rsid w:val="005D45BD"/>
    <w:rsid w:val="005D465A"/>
    <w:rsid w:val="005D5BB7"/>
    <w:rsid w:val="005D5DB6"/>
    <w:rsid w:val="005D6136"/>
    <w:rsid w:val="005D61D6"/>
    <w:rsid w:val="005D645D"/>
    <w:rsid w:val="005D655F"/>
    <w:rsid w:val="005D6C08"/>
    <w:rsid w:val="005D6CDB"/>
    <w:rsid w:val="005D7886"/>
    <w:rsid w:val="005E09F2"/>
    <w:rsid w:val="005E0DBB"/>
    <w:rsid w:val="005E1D94"/>
    <w:rsid w:val="005E2097"/>
    <w:rsid w:val="005E2719"/>
    <w:rsid w:val="005E2BAE"/>
    <w:rsid w:val="005E2F3D"/>
    <w:rsid w:val="005E355F"/>
    <w:rsid w:val="005E437F"/>
    <w:rsid w:val="005E4918"/>
    <w:rsid w:val="005E5097"/>
    <w:rsid w:val="005E5595"/>
    <w:rsid w:val="005E58A7"/>
    <w:rsid w:val="005E5BC4"/>
    <w:rsid w:val="005E5D24"/>
    <w:rsid w:val="005E612C"/>
    <w:rsid w:val="005E7006"/>
    <w:rsid w:val="005E7087"/>
    <w:rsid w:val="005E731A"/>
    <w:rsid w:val="005E763F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733A"/>
    <w:rsid w:val="00600970"/>
    <w:rsid w:val="00600A1B"/>
    <w:rsid w:val="00602984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A02"/>
    <w:rsid w:val="00614D31"/>
    <w:rsid w:val="00614D3F"/>
    <w:rsid w:val="00615672"/>
    <w:rsid w:val="0061649B"/>
    <w:rsid w:val="00616AA5"/>
    <w:rsid w:val="0061770F"/>
    <w:rsid w:val="006179B9"/>
    <w:rsid w:val="0062028B"/>
    <w:rsid w:val="00620656"/>
    <w:rsid w:val="0062099A"/>
    <w:rsid w:val="00620A5E"/>
    <w:rsid w:val="00620EEA"/>
    <w:rsid w:val="00622383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3A32"/>
    <w:rsid w:val="00633C91"/>
    <w:rsid w:val="006341DD"/>
    <w:rsid w:val="0063454B"/>
    <w:rsid w:val="00634FE1"/>
    <w:rsid w:val="00635778"/>
    <w:rsid w:val="0063625A"/>
    <w:rsid w:val="0063639E"/>
    <w:rsid w:val="00636421"/>
    <w:rsid w:val="00636FD3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2EEC"/>
    <w:rsid w:val="00643ADA"/>
    <w:rsid w:val="006444B9"/>
    <w:rsid w:val="00644AF0"/>
    <w:rsid w:val="00644B23"/>
    <w:rsid w:val="00645185"/>
    <w:rsid w:val="00645A14"/>
    <w:rsid w:val="006462E5"/>
    <w:rsid w:val="00646751"/>
    <w:rsid w:val="00646D31"/>
    <w:rsid w:val="006472D7"/>
    <w:rsid w:val="00647852"/>
    <w:rsid w:val="006500D6"/>
    <w:rsid w:val="00651A6F"/>
    <w:rsid w:val="0065217A"/>
    <w:rsid w:val="0065264A"/>
    <w:rsid w:val="00652EA6"/>
    <w:rsid w:val="00652FB0"/>
    <w:rsid w:val="006530A6"/>
    <w:rsid w:val="006533AC"/>
    <w:rsid w:val="00653548"/>
    <w:rsid w:val="00653BC5"/>
    <w:rsid w:val="00653FBC"/>
    <w:rsid w:val="00654037"/>
    <w:rsid w:val="00654A05"/>
    <w:rsid w:val="00654BA5"/>
    <w:rsid w:val="00655AEB"/>
    <w:rsid w:val="0065684B"/>
    <w:rsid w:val="00656852"/>
    <w:rsid w:val="006569B1"/>
    <w:rsid w:val="006570A3"/>
    <w:rsid w:val="006572AA"/>
    <w:rsid w:val="00657B60"/>
    <w:rsid w:val="00657E93"/>
    <w:rsid w:val="00660D80"/>
    <w:rsid w:val="00661316"/>
    <w:rsid w:val="00661B38"/>
    <w:rsid w:val="00662E2D"/>
    <w:rsid w:val="00664053"/>
    <w:rsid w:val="00664B55"/>
    <w:rsid w:val="00665233"/>
    <w:rsid w:val="00665A68"/>
    <w:rsid w:val="00665B9E"/>
    <w:rsid w:val="00665B9F"/>
    <w:rsid w:val="00666809"/>
    <w:rsid w:val="006668B5"/>
    <w:rsid w:val="00666A2D"/>
    <w:rsid w:val="006704FA"/>
    <w:rsid w:val="006705C4"/>
    <w:rsid w:val="00670BFD"/>
    <w:rsid w:val="00671272"/>
    <w:rsid w:val="00671A4E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5247"/>
    <w:rsid w:val="00675608"/>
    <w:rsid w:val="00675CDB"/>
    <w:rsid w:val="00676F4D"/>
    <w:rsid w:val="00677560"/>
    <w:rsid w:val="00677B77"/>
    <w:rsid w:val="00680170"/>
    <w:rsid w:val="0068039F"/>
    <w:rsid w:val="00680421"/>
    <w:rsid w:val="00680BFA"/>
    <w:rsid w:val="00680DA4"/>
    <w:rsid w:val="00680FF4"/>
    <w:rsid w:val="00681210"/>
    <w:rsid w:val="006820CC"/>
    <w:rsid w:val="0068240B"/>
    <w:rsid w:val="0068283D"/>
    <w:rsid w:val="00683E44"/>
    <w:rsid w:val="00684856"/>
    <w:rsid w:val="006848C1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82D"/>
    <w:rsid w:val="006970D2"/>
    <w:rsid w:val="00697179"/>
    <w:rsid w:val="006A05CC"/>
    <w:rsid w:val="006A1349"/>
    <w:rsid w:val="006A2399"/>
    <w:rsid w:val="006A2BDF"/>
    <w:rsid w:val="006A3017"/>
    <w:rsid w:val="006A367B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BE"/>
    <w:rsid w:val="006A70F7"/>
    <w:rsid w:val="006A74AC"/>
    <w:rsid w:val="006A7C0F"/>
    <w:rsid w:val="006B0078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1046"/>
    <w:rsid w:val="006C14EB"/>
    <w:rsid w:val="006C1DBA"/>
    <w:rsid w:val="006C236E"/>
    <w:rsid w:val="006C29ED"/>
    <w:rsid w:val="006C2ACA"/>
    <w:rsid w:val="006C2E7F"/>
    <w:rsid w:val="006C2F49"/>
    <w:rsid w:val="006C2FFB"/>
    <w:rsid w:val="006C327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BAE"/>
    <w:rsid w:val="006C7CE8"/>
    <w:rsid w:val="006D00F7"/>
    <w:rsid w:val="006D07C1"/>
    <w:rsid w:val="006D1087"/>
    <w:rsid w:val="006D1DA4"/>
    <w:rsid w:val="006D1E7E"/>
    <w:rsid w:val="006D1F53"/>
    <w:rsid w:val="006D30B2"/>
    <w:rsid w:val="006D3139"/>
    <w:rsid w:val="006D40CD"/>
    <w:rsid w:val="006D4F9E"/>
    <w:rsid w:val="006D6019"/>
    <w:rsid w:val="006D660C"/>
    <w:rsid w:val="006D6739"/>
    <w:rsid w:val="006D71BB"/>
    <w:rsid w:val="006D7B16"/>
    <w:rsid w:val="006D7E86"/>
    <w:rsid w:val="006E1063"/>
    <w:rsid w:val="006E2256"/>
    <w:rsid w:val="006E2C93"/>
    <w:rsid w:val="006E3581"/>
    <w:rsid w:val="006E38D2"/>
    <w:rsid w:val="006E3BC2"/>
    <w:rsid w:val="006E3C66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208E"/>
    <w:rsid w:val="00702A7B"/>
    <w:rsid w:val="00703295"/>
    <w:rsid w:val="00703A33"/>
    <w:rsid w:val="00704084"/>
    <w:rsid w:val="00704F24"/>
    <w:rsid w:val="00705599"/>
    <w:rsid w:val="007057A4"/>
    <w:rsid w:val="00705BE1"/>
    <w:rsid w:val="00705EA6"/>
    <w:rsid w:val="00706D07"/>
    <w:rsid w:val="007072CD"/>
    <w:rsid w:val="007073DD"/>
    <w:rsid w:val="00707CBE"/>
    <w:rsid w:val="00707DB3"/>
    <w:rsid w:val="0071022D"/>
    <w:rsid w:val="0071037D"/>
    <w:rsid w:val="00710DDC"/>
    <w:rsid w:val="00711230"/>
    <w:rsid w:val="007113DA"/>
    <w:rsid w:val="00711F53"/>
    <w:rsid w:val="00712C00"/>
    <w:rsid w:val="00713552"/>
    <w:rsid w:val="00713934"/>
    <w:rsid w:val="007148A6"/>
    <w:rsid w:val="00714C34"/>
    <w:rsid w:val="00715528"/>
    <w:rsid w:val="007156A1"/>
    <w:rsid w:val="00716170"/>
    <w:rsid w:val="00716C34"/>
    <w:rsid w:val="00717D0D"/>
    <w:rsid w:val="00720108"/>
    <w:rsid w:val="007208DD"/>
    <w:rsid w:val="00720A30"/>
    <w:rsid w:val="00720EB4"/>
    <w:rsid w:val="007211AE"/>
    <w:rsid w:val="007218E4"/>
    <w:rsid w:val="00721B01"/>
    <w:rsid w:val="007222D6"/>
    <w:rsid w:val="007226C9"/>
    <w:rsid w:val="007233EE"/>
    <w:rsid w:val="0072357C"/>
    <w:rsid w:val="00723FDE"/>
    <w:rsid w:val="007240E6"/>
    <w:rsid w:val="007243F8"/>
    <w:rsid w:val="007246FB"/>
    <w:rsid w:val="007247A4"/>
    <w:rsid w:val="0072503E"/>
    <w:rsid w:val="00725206"/>
    <w:rsid w:val="007253E8"/>
    <w:rsid w:val="00725843"/>
    <w:rsid w:val="007270CE"/>
    <w:rsid w:val="00727A43"/>
    <w:rsid w:val="00727AD6"/>
    <w:rsid w:val="007300FB"/>
    <w:rsid w:val="007302BF"/>
    <w:rsid w:val="0073072B"/>
    <w:rsid w:val="00730B57"/>
    <w:rsid w:val="007310A6"/>
    <w:rsid w:val="00731347"/>
    <w:rsid w:val="00731371"/>
    <w:rsid w:val="00731AE4"/>
    <w:rsid w:val="0073270B"/>
    <w:rsid w:val="0073272E"/>
    <w:rsid w:val="007328F3"/>
    <w:rsid w:val="0073315B"/>
    <w:rsid w:val="0073332D"/>
    <w:rsid w:val="00733D32"/>
    <w:rsid w:val="007349FB"/>
    <w:rsid w:val="00734C2D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FBD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51D6"/>
    <w:rsid w:val="0074553D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AA"/>
    <w:rsid w:val="00752B8E"/>
    <w:rsid w:val="007535ED"/>
    <w:rsid w:val="007538E2"/>
    <w:rsid w:val="00754492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3BCE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32A4"/>
    <w:rsid w:val="00783358"/>
    <w:rsid w:val="00784354"/>
    <w:rsid w:val="0078560C"/>
    <w:rsid w:val="007858A9"/>
    <w:rsid w:val="007867D8"/>
    <w:rsid w:val="00786C77"/>
    <w:rsid w:val="007870A1"/>
    <w:rsid w:val="00787A1B"/>
    <w:rsid w:val="00787FE2"/>
    <w:rsid w:val="00790382"/>
    <w:rsid w:val="00792765"/>
    <w:rsid w:val="007938CD"/>
    <w:rsid w:val="00793C23"/>
    <w:rsid w:val="00793C83"/>
    <w:rsid w:val="007947B3"/>
    <w:rsid w:val="00794A9D"/>
    <w:rsid w:val="00794EB1"/>
    <w:rsid w:val="00795AB8"/>
    <w:rsid w:val="00795C99"/>
    <w:rsid w:val="00796920"/>
    <w:rsid w:val="00796FD2"/>
    <w:rsid w:val="007A10A1"/>
    <w:rsid w:val="007A115F"/>
    <w:rsid w:val="007A11D6"/>
    <w:rsid w:val="007A1ACC"/>
    <w:rsid w:val="007A3946"/>
    <w:rsid w:val="007A3EA1"/>
    <w:rsid w:val="007A4710"/>
    <w:rsid w:val="007A4BC3"/>
    <w:rsid w:val="007A50F8"/>
    <w:rsid w:val="007A5491"/>
    <w:rsid w:val="007A54B1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278F"/>
    <w:rsid w:val="007B399E"/>
    <w:rsid w:val="007B3D0A"/>
    <w:rsid w:val="007B4561"/>
    <w:rsid w:val="007B47EF"/>
    <w:rsid w:val="007B5778"/>
    <w:rsid w:val="007C026E"/>
    <w:rsid w:val="007C13CD"/>
    <w:rsid w:val="007C1F4D"/>
    <w:rsid w:val="007C2BBC"/>
    <w:rsid w:val="007C2F3B"/>
    <w:rsid w:val="007C3095"/>
    <w:rsid w:val="007C32E6"/>
    <w:rsid w:val="007C33A0"/>
    <w:rsid w:val="007C342C"/>
    <w:rsid w:val="007C392B"/>
    <w:rsid w:val="007C4211"/>
    <w:rsid w:val="007C43A7"/>
    <w:rsid w:val="007C442C"/>
    <w:rsid w:val="007C4518"/>
    <w:rsid w:val="007C47E3"/>
    <w:rsid w:val="007C4BE1"/>
    <w:rsid w:val="007C51D3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3684"/>
    <w:rsid w:val="007D3C13"/>
    <w:rsid w:val="007D3C25"/>
    <w:rsid w:val="007D4463"/>
    <w:rsid w:val="007D4B14"/>
    <w:rsid w:val="007D4E87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F47"/>
    <w:rsid w:val="007E3F81"/>
    <w:rsid w:val="007E4A40"/>
    <w:rsid w:val="007E5D90"/>
    <w:rsid w:val="007E5F2F"/>
    <w:rsid w:val="007E617C"/>
    <w:rsid w:val="007E6A40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F23"/>
    <w:rsid w:val="007F60F1"/>
    <w:rsid w:val="007F6858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AB8"/>
    <w:rsid w:val="00805CA5"/>
    <w:rsid w:val="00805CE6"/>
    <w:rsid w:val="008072FB"/>
    <w:rsid w:val="008078FF"/>
    <w:rsid w:val="00807EBD"/>
    <w:rsid w:val="0081126F"/>
    <w:rsid w:val="00811387"/>
    <w:rsid w:val="0081205B"/>
    <w:rsid w:val="008122B3"/>
    <w:rsid w:val="00812901"/>
    <w:rsid w:val="0081339A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13B0"/>
    <w:rsid w:val="008213CD"/>
    <w:rsid w:val="00821DB9"/>
    <w:rsid w:val="0082218D"/>
    <w:rsid w:val="00822B89"/>
    <w:rsid w:val="00822DA2"/>
    <w:rsid w:val="00822DFF"/>
    <w:rsid w:val="008230BE"/>
    <w:rsid w:val="0082337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EB9"/>
    <w:rsid w:val="0083548F"/>
    <w:rsid w:val="00835F1C"/>
    <w:rsid w:val="0083619B"/>
    <w:rsid w:val="0083682C"/>
    <w:rsid w:val="00836D09"/>
    <w:rsid w:val="008405E1"/>
    <w:rsid w:val="00841FC2"/>
    <w:rsid w:val="008424CB"/>
    <w:rsid w:val="0084281B"/>
    <w:rsid w:val="00842E54"/>
    <w:rsid w:val="00843238"/>
    <w:rsid w:val="00844AEE"/>
    <w:rsid w:val="0084504B"/>
    <w:rsid w:val="00845A35"/>
    <w:rsid w:val="0084612F"/>
    <w:rsid w:val="00846184"/>
    <w:rsid w:val="0084705C"/>
    <w:rsid w:val="00850638"/>
    <w:rsid w:val="0085105E"/>
    <w:rsid w:val="00851240"/>
    <w:rsid w:val="00851655"/>
    <w:rsid w:val="00851ED5"/>
    <w:rsid w:val="00852128"/>
    <w:rsid w:val="0085275F"/>
    <w:rsid w:val="008531C0"/>
    <w:rsid w:val="0085381B"/>
    <w:rsid w:val="00855005"/>
    <w:rsid w:val="008551EF"/>
    <w:rsid w:val="008565C8"/>
    <w:rsid w:val="00856A53"/>
    <w:rsid w:val="0086014E"/>
    <w:rsid w:val="0086060F"/>
    <w:rsid w:val="008606E5"/>
    <w:rsid w:val="00860F4E"/>
    <w:rsid w:val="008612AC"/>
    <w:rsid w:val="008625B0"/>
    <w:rsid w:val="008625F4"/>
    <w:rsid w:val="008628CB"/>
    <w:rsid w:val="00862BDD"/>
    <w:rsid w:val="00862FE5"/>
    <w:rsid w:val="00863172"/>
    <w:rsid w:val="00863FC6"/>
    <w:rsid w:val="008641BC"/>
    <w:rsid w:val="008642F1"/>
    <w:rsid w:val="00864605"/>
    <w:rsid w:val="00864FA5"/>
    <w:rsid w:val="00865594"/>
    <w:rsid w:val="00865960"/>
    <w:rsid w:val="00866BD4"/>
    <w:rsid w:val="00867B7F"/>
    <w:rsid w:val="00871088"/>
    <w:rsid w:val="00871AE8"/>
    <w:rsid w:val="00872594"/>
    <w:rsid w:val="0087266E"/>
    <w:rsid w:val="008729BA"/>
    <w:rsid w:val="00872FDE"/>
    <w:rsid w:val="00873386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F47"/>
    <w:rsid w:val="0088680D"/>
    <w:rsid w:val="00887E45"/>
    <w:rsid w:val="0089012F"/>
    <w:rsid w:val="00892398"/>
    <w:rsid w:val="00893BBE"/>
    <w:rsid w:val="00894975"/>
    <w:rsid w:val="00894F34"/>
    <w:rsid w:val="008967F2"/>
    <w:rsid w:val="00896A8F"/>
    <w:rsid w:val="00896E0B"/>
    <w:rsid w:val="00897194"/>
    <w:rsid w:val="008974C3"/>
    <w:rsid w:val="00897996"/>
    <w:rsid w:val="008A0049"/>
    <w:rsid w:val="008A0283"/>
    <w:rsid w:val="008A035D"/>
    <w:rsid w:val="008A03ED"/>
    <w:rsid w:val="008A1531"/>
    <w:rsid w:val="008A1DD3"/>
    <w:rsid w:val="008A255C"/>
    <w:rsid w:val="008A4CB2"/>
    <w:rsid w:val="008A514B"/>
    <w:rsid w:val="008A5B13"/>
    <w:rsid w:val="008A5D9F"/>
    <w:rsid w:val="008A5EB6"/>
    <w:rsid w:val="008A663D"/>
    <w:rsid w:val="008A72AE"/>
    <w:rsid w:val="008A74BD"/>
    <w:rsid w:val="008A7782"/>
    <w:rsid w:val="008A7B58"/>
    <w:rsid w:val="008A7BF0"/>
    <w:rsid w:val="008B007B"/>
    <w:rsid w:val="008B01C8"/>
    <w:rsid w:val="008B06DE"/>
    <w:rsid w:val="008B167C"/>
    <w:rsid w:val="008B1A7C"/>
    <w:rsid w:val="008B1EEE"/>
    <w:rsid w:val="008B3011"/>
    <w:rsid w:val="008B37D0"/>
    <w:rsid w:val="008B38EE"/>
    <w:rsid w:val="008B4E2A"/>
    <w:rsid w:val="008B64AE"/>
    <w:rsid w:val="008B6513"/>
    <w:rsid w:val="008B69DD"/>
    <w:rsid w:val="008B6D86"/>
    <w:rsid w:val="008B6E41"/>
    <w:rsid w:val="008C1E3B"/>
    <w:rsid w:val="008C34A6"/>
    <w:rsid w:val="008C3ACB"/>
    <w:rsid w:val="008C41AB"/>
    <w:rsid w:val="008C44C9"/>
    <w:rsid w:val="008C547A"/>
    <w:rsid w:val="008C59E9"/>
    <w:rsid w:val="008C5F29"/>
    <w:rsid w:val="008C60CF"/>
    <w:rsid w:val="008C697C"/>
    <w:rsid w:val="008C6B13"/>
    <w:rsid w:val="008C6C85"/>
    <w:rsid w:val="008C708C"/>
    <w:rsid w:val="008C76E2"/>
    <w:rsid w:val="008C7BAE"/>
    <w:rsid w:val="008D0ACF"/>
    <w:rsid w:val="008D25B8"/>
    <w:rsid w:val="008D2767"/>
    <w:rsid w:val="008D280D"/>
    <w:rsid w:val="008D2989"/>
    <w:rsid w:val="008D3503"/>
    <w:rsid w:val="008D397D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E007A"/>
    <w:rsid w:val="008E066A"/>
    <w:rsid w:val="008E0C15"/>
    <w:rsid w:val="008E0D74"/>
    <w:rsid w:val="008E1B1D"/>
    <w:rsid w:val="008E1E3D"/>
    <w:rsid w:val="008E25EC"/>
    <w:rsid w:val="008E27D4"/>
    <w:rsid w:val="008E2A5C"/>
    <w:rsid w:val="008E30D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60D"/>
    <w:rsid w:val="008F4140"/>
    <w:rsid w:val="008F4558"/>
    <w:rsid w:val="008F4BF8"/>
    <w:rsid w:val="008F5583"/>
    <w:rsid w:val="008F5EE5"/>
    <w:rsid w:val="008F710E"/>
    <w:rsid w:val="008F7B84"/>
    <w:rsid w:val="008F7FD2"/>
    <w:rsid w:val="008F7F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65EA"/>
    <w:rsid w:val="0090741D"/>
    <w:rsid w:val="00907518"/>
    <w:rsid w:val="009106A8"/>
    <w:rsid w:val="00911864"/>
    <w:rsid w:val="00911B3B"/>
    <w:rsid w:val="00912616"/>
    <w:rsid w:val="0091267F"/>
    <w:rsid w:val="0091268C"/>
    <w:rsid w:val="009128DB"/>
    <w:rsid w:val="00912EC4"/>
    <w:rsid w:val="009148D0"/>
    <w:rsid w:val="00914D6E"/>
    <w:rsid w:val="009161D1"/>
    <w:rsid w:val="009164E6"/>
    <w:rsid w:val="00917CC3"/>
    <w:rsid w:val="00920EEA"/>
    <w:rsid w:val="00920F5B"/>
    <w:rsid w:val="00921280"/>
    <w:rsid w:val="00921843"/>
    <w:rsid w:val="00922D7C"/>
    <w:rsid w:val="00923026"/>
    <w:rsid w:val="009241BC"/>
    <w:rsid w:val="00924939"/>
    <w:rsid w:val="00924AF3"/>
    <w:rsid w:val="00925853"/>
    <w:rsid w:val="00925854"/>
    <w:rsid w:val="009262FF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3F29"/>
    <w:rsid w:val="00934C40"/>
    <w:rsid w:val="009356C8"/>
    <w:rsid w:val="00935B0B"/>
    <w:rsid w:val="009364DB"/>
    <w:rsid w:val="00936C1E"/>
    <w:rsid w:val="00937236"/>
    <w:rsid w:val="00937819"/>
    <w:rsid w:val="009400A5"/>
    <w:rsid w:val="00940D41"/>
    <w:rsid w:val="009411DE"/>
    <w:rsid w:val="00941216"/>
    <w:rsid w:val="00941F1A"/>
    <w:rsid w:val="009425A1"/>
    <w:rsid w:val="0094285C"/>
    <w:rsid w:val="00943CC7"/>
    <w:rsid w:val="00944D7D"/>
    <w:rsid w:val="009451E4"/>
    <w:rsid w:val="00945416"/>
    <w:rsid w:val="0094632E"/>
    <w:rsid w:val="00946AE2"/>
    <w:rsid w:val="00946D97"/>
    <w:rsid w:val="00947447"/>
    <w:rsid w:val="00947B07"/>
    <w:rsid w:val="00950C0F"/>
    <w:rsid w:val="00950D6C"/>
    <w:rsid w:val="00950DFF"/>
    <w:rsid w:val="00950F40"/>
    <w:rsid w:val="009513BB"/>
    <w:rsid w:val="009514CF"/>
    <w:rsid w:val="00952E92"/>
    <w:rsid w:val="00952F1B"/>
    <w:rsid w:val="00953276"/>
    <w:rsid w:val="009532BA"/>
    <w:rsid w:val="00953E64"/>
    <w:rsid w:val="00954997"/>
    <w:rsid w:val="00955386"/>
    <w:rsid w:val="0095692F"/>
    <w:rsid w:val="009578BA"/>
    <w:rsid w:val="00960283"/>
    <w:rsid w:val="009603B5"/>
    <w:rsid w:val="0096164A"/>
    <w:rsid w:val="009619F5"/>
    <w:rsid w:val="00962604"/>
    <w:rsid w:val="009627CB"/>
    <w:rsid w:val="00962CD2"/>
    <w:rsid w:val="009631B1"/>
    <w:rsid w:val="00963D45"/>
    <w:rsid w:val="0096489B"/>
    <w:rsid w:val="0096544C"/>
    <w:rsid w:val="0096620C"/>
    <w:rsid w:val="00966533"/>
    <w:rsid w:val="009669EA"/>
    <w:rsid w:val="009675D2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59CC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45AF"/>
    <w:rsid w:val="00985553"/>
    <w:rsid w:val="00985AAF"/>
    <w:rsid w:val="0098680F"/>
    <w:rsid w:val="00986B1D"/>
    <w:rsid w:val="00987239"/>
    <w:rsid w:val="00987580"/>
    <w:rsid w:val="00987881"/>
    <w:rsid w:val="009878C3"/>
    <w:rsid w:val="00987FE2"/>
    <w:rsid w:val="00990166"/>
    <w:rsid w:val="009903A6"/>
    <w:rsid w:val="00990DE0"/>
    <w:rsid w:val="009916A5"/>
    <w:rsid w:val="00992192"/>
    <w:rsid w:val="00992643"/>
    <w:rsid w:val="00993579"/>
    <w:rsid w:val="0099367D"/>
    <w:rsid w:val="00993C31"/>
    <w:rsid w:val="00993C3C"/>
    <w:rsid w:val="00993DFE"/>
    <w:rsid w:val="00994DA8"/>
    <w:rsid w:val="00995B67"/>
    <w:rsid w:val="00996B44"/>
    <w:rsid w:val="00996D1D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55E2"/>
    <w:rsid w:val="009A5800"/>
    <w:rsid w:val="009A6B37"/>
    <w:rsid w:val="009A6ED8"/>
    <w:rsid w:val="009B05A7"/>
    <w:rsid w:val="009B0BD9"/>
    <w:rsid w:val="009B1699"/>
    <w:rsid w:val="009B20EA"/>
    <w:rsid w:val="009B249C"/>
    <w:rsid w:val="009B31B9"/>
    <w:rsid w:val="009B3B36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9A3"/>
    <w:rsid w:val="009B7BC1"/>
    <w:rsid w:val="009C0240"/>
    <w:rsid w:val="009C031B"/>
    <w:rsid w:val="009C0909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C8D"/>
    <w:rsid w:val="009D5E68"/>
    <w:rsid w:val="009D5EC8"/>
    <w:rsid w:val="009D64DD"/>
    <w:rsid w:val="009D6648"/>
    <w:rsid w:val="009D772B"/>
    <w:rsid w:val="009E03C9"/>
    <w:rsid w:val="009E22F0"/>
    <w:rsid w:val="009E2D31"/>
    <w:rsid w:val="009E328E"/>
    <w:rsid w:val="009E3919"/>
    <w:rsid w:val="009E3B19"/>
    <w:rsid w:val="009E3F5B"/>
    <w:rsid w:val="009E40F5"/>
    <w:rsid w:val="009E4293"/>
    <w:rsid w:val="009E4CF0"/>
    <w:rsid w:val="009E57CC"/>
    <w:rsid w:val="009E58AE"/>
    <w:rsid w:val="009E5BD7"/>
    <w:rsid w:val="009E76FF"/>
    <w:rsid w:val="009E7707"/>
    <w:rsid w:val="009E7B86"/>
    <w:rsid w:val="009F01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AD"/>
    <w:rsid w:val="009F60F5"/>
    <w:rsid w:val="009F61FF"/>
    <w:rsid w:val="009F63CA"/>
    <w:rsid w:val="009F6C87"/>
    <w:rsid w:val="009F6DB5"/>
    <w:rsid w:val="009F747E"/>
    <w:rsid w:val="00A00F59"/>
    <w:rsid w:val="00A0104D"/>
    <w:rsid w:val="00A01101"/>
    <w:rsid w:val="00A01A75"/>
    <w:rsid w:val="00A02637"/>
    <w:rsid w:val="00A03AEA"/>
    <w:rsid w:val="00A05243"/>
    <w:rsid w:val="00A0524E"/>
    <w:rsid w:val="00A05774"/>
    <w:rsid w:val="00A06734"/>
    <w:rsid w:val="00A06B1F"/>
    <w:rsid w:val="00A0709E"/>
    <w:rsid w:val="00A07952"/>
    <w:rsid w:val="00A07995"/>
    <w:rsid w:val="00A100A2"/>
    <w:rsid w:val="00A1058D"/>
    <w:rsid w:val="00A110CD"/>
    <w:rsid w:val="00A11202"/>
    <w:rsid w:val="00A1121D"/>
    <w:rsid w:val="00A11807"/>
    <w:rsid w:val="00A122D1"/>
    <w:rsid w:val="00A132A0"/>
    <w:rsid w:val="00A1351F"/>
    <w:rsid w:val="00A13F7E"/>
    <w:rsid w:val="00A140E7"/>
    <w:rsid w:val="00A14936"/>
    <w:rsid w:val="00A155B5"/>
    <w:rsid w:val="00A1560C"/>
    <w:rsid w:val="00A162C3"/>
    <w:rsid w:val="00A16892"/>
    <w:rsid w:val="00A1697C"/>
    <w:rsid w:val="00A16B49"/>
    <w:rsid w:val="00A1799A"/>
    <w:rsid w:val="00A17A6A"/>
    <w:rsid w:val="00A2011D"/>
    <w:rsid w:val="00A2057A"/>
    <w:rsid w:val="00A2100B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C12"/>
    <w:rsid w:val="00A32E9C"/>
    <w:rsid w:val="00A33216"/>
    <w:rsid w:val="00A3383B"/>
    <w:rsid w:val="00A339AC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40357"/>
    <w:rsid w:val="00A4126A"/>
    <w:rsid w:val="00A41641"/>
    <w:rsid w:val="00A419F1"/>
    <w:rsid w:val="00A41F96"/>
    <w:rsid w:val="00A421DB"/>
    <w:rsid w:val="00A42C2C"/>
    <w:rsid w:val="00A434F9"/>
    <w:rsid w:val="00A4380B"/>
    <w:rsid w:val="00A4382C"/>
    <w:rsid w:val="00A43EF9"/>
    <w:rsid w:val="00A441A2"/>
    <w:rsid w:val="00A4513B"/>
    <w:rsid w:val="00A452AB"/>
    <w:rsid w:val="00A452DD"/>
    <w:rsid w:val="00A46190"/>
    <w:rsid w:val="00A466F9"/>
    <w:rsid w:val="00A467B8"/>
    <w:rsid w:val="00A47023"/>
    <w:rsid w:val="00A47114"/>
    <w:rsid w:val="00A47200"/>
    <w:rsid w:val="00A47BCC"/>
    <w:rsid w:val="00A50D6E"/>
    <w:rsid w:val="00A5120A"/>
    <w:rsid w:val="00A52091"/>
    <w:rsid w:val="00A52513"/>
    <w:rsid w:val="00A52560"/>
    <w:rsid w:val="00A5256C"/>
    <w:rsid w:val="00A5282E"/>
    <w:rsid w:val="00A52932"/>
    <w:rsid w:val="00A52B43"/>
    <w:rsid w:val="00A536A1"/>
    <w:rsid w:val="00A5382D"/>
    <w:rsid w:val="00A5390C"/>
    <w:rsid w:val="00A54582"/>
    <w:rsid w:val="00A545D6"/>
    <w:rsid w:val="00A54EC4"/>
    <w:rsid w:val="00A55E1A"/>
    <w:rsid w:val="00A55FC1"/>
    <w:rsid w:val="00A55FFE"/>
    <w:rsid w:val="00A56CE0"/>
    <w:rsid w:val="00A57A70"/>
    <w:rsid w:val="00A57FED"/>
    <w:rsid w:val="00A60562"/>
    <w:rsid w:val="00A61944"/>
    <w:rsid w:val="00A6197B"/>
    <w:rsid w:val="00A61CA2"/>
    <w:rsid w:val="00A61E1F"/>
    <w:rsid w:val="00A61F66"/>
    <w:rsid w:val="00A62B9A"/>
    <w:rsid w:val="00A63CEC"/>
    <w:rsid w:val="00A6497F"/>
    <w:rsid w:val="00A65039"/>
    <w:rsid w:val="00A652AC"/>
    <w:rsid w:val="00A65642"/>
    <w:rsid w:val="00A659EB"/>
    <w:rsid w:val="00A65F25"/>
    <w:rsid w:val="00A663DD"/>
    <w:rsid w:val="00A71AC2"/>
    <w:rsid w:val="00A722E3"/>
    <w:rsid w:val="00A72383"/>
    <w:rsid w:val="00A72BF1"/>
    <w:rsid w:val="00A73213"/>
    <w:rsid w:val="00A73509"/>
    <w:rsid w:val="00A73B41"/>
    <w:rsid w:val="00A7412A"/>
    <w:rsid w:val="00A7489D"/>
    <w:rsid w:val="00A74EE8"/>
    <w:rsid w:val="00A758F6"/>
    <w:rsid w:val="00A760E6"/>
    <w:rsid w:val="00A768BE"/>
    <w:rsid w:val="00A768FA"/>
    <w:rsid w:val="00A76CEB"/>
    <w:rsid w:val="00A774FB"/>
    <w:rsid w:val="00A77D00"/>
    <w:rsid w:val="00A77FC5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44C8"/>
    <w:rsid w:val="00A84652"/>
    <w:rsid w:val="00A854FC"/>
    <w:rsid w:val="00A857EE"/>
    <w:rsid w:val="00A85AEB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C7"/>
    <w:rsid w:val="00A93005"/>
    <w:rsid w:val="00A93750"/>
    <w:rsid w:val="00A938B4"/>
    <w:rsid w:val="00A93A03"/>
    <w:rsid w:val="00A93C78"/>
    <w:rsid w:val="00A94023"/>
    <w:rsid w:val="00A94134"/>
    <w:rsid w:val="00A94F3C"/>
    <w:rsid w:val="00A956E1"/>
    <w:rsid w:val="00A9629C"/>
    <w:rsid w:val="00A9676B"/>
    <w:rsid w:val="00A96FC9"/>
    <w:rsid w:val="00AA04C3"/>
    <w:rsid w:val="00AA0593"/>
    <w:rsid w:val="00AA0B7C"/>
    <w:rsid w:val="00AA0DCA"/>
    <w:rsid w:val="00AA19F9"/>
    <w:rsid w:val="00AA1A4E"/>
    <w:rsid w:val="00AA1C47"/>
    <w:rsid w:val="00AA2F67"/>
    <w:rsid w:val="00AA2FDD"/>
    <w:rsid w:val="00AA30F1"/>
    <w:rsid w:val="00AA3200"/>
    <w:rsid w:val="00AA3342"/>
    <w:rsid w:val="00AA394C"/>
    <w:rsid w:val="00AA3B2D"/>
    <w:rsid w:val="00AA43B2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B0E94"/>
    <w:rsid w:val="00AB108F"/>
    <w:rsid w:val="00AB1727"/>
    <w:rsid w:val="00AB1D44"/>
    <w:rsid w:val="00AB4833"/>
    <w:rsid w:val="00AB4A58"/>
    <w:rsid w:val="00AB4D35"/>
    <w:rsid w:val="00AB53BE"/>
    <w:rsid w:val="00AB5E5C"/>
    <w:rsid w:val="00AB5FF6"/>
    <w:rsid w:val="00AB6BB4"/>
    <w:rsid w:val="00AB6C3F"/>
    <w:rsid w:val="00AB79E9"/>
    <w:rsid w:val="00AC05FC"/>
    <w:rsid w:val="00AC0ED1"/>
    <w:rsid w:val="00AC114A"/>
    <w:rsid w:val="00AC2217"/>
    <w:rsid w:val="00AC239E"/>
    <w:rsid w:val="00AC2C55"/>
    <w:rsid w:val="00AC31A6"/>
    <w:rsid w:val="00AC35CC"/>
    <w:rsid w:val="00AC3EC6"/>
    <w:rsid w:val="00AC41E9"/>
    <w:rsid w:val="00AC4226"/>
    <w:rsid w:val="00AC4BC1"/>
    <w:rsid w:val="00AC5BD6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14AD"/>
    <w:rsid w:val="00AD28BB"/>
    <w:rsid w:val="00AD29FB"/>
    <w:rsid w:val="00AD2EE7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AE7"/>
    <w:rsid w:val="00AE6CF0"/>
    <w:rsid w:val="00AE723E"/>
    <w:rsid w:val="00AE78A5"/>
    <w:rsid w:val="00AF0EB4"/>
    <w:rsid w:val="00AF108B"/>
    <w:rsid w:val="00AF123D"/>
    <w:rsid w:val="00AF1477"/>
    <w:rsid w:val="00AF2437"/>
    <w:rsid w:val="00AF2A88"/>
    <w:rsid w:val="00AF34B6"/>
    <w:rsid w:val="00AF37EF"/>
    <w:rsid w:val="00AF5612"/>
    <w:rsid w:val="00AF57B6"/>
    <w:rsid w:val="00AF5C5B"/>
    <w:rsid w:val="00AF5DB7"/>
    <w:rsid w:val="00AF66AB"/>
    <w:rsid w:val="00AF7033"/>
    <w:rsid w:val="00AF737C"/>
    <w:rsid w:val="00AF7559"/>
    <w:rsid w:val="00B0074A"/>
    <w:rsid w:val="00B00989"/>
    <w:rsid w:val="00B00A8D"/>
    <w:rsid w:val="00B01371"/>
    <w:rsid w:val="00B02E29"/>
    <w:rsid w:val="00B0304E"/>
    <w:rsid w:val="00B03933"/>
    <w:rsid w:val="00B0420B"/>
    <w:rsid w:val="00B04BB4"/>
    <w:rsid w:val="00B04E38"/>
    <w:rsid w:val="00B054DE"/>
    <w:rsid w:val="00B05C51"/>
    <w:rsid w:val="00B06878"/>
    <w:rsid w:val="00B076C9"/>
    <w:rsid w:val="00B10427"/>
    <w:rsid w:val="00B1056F"/>
    <w:rsid w:val="00B1372E"/>
    <w:rsid w:val="00B13986"/>
    <w:rsid w:val="00B13A7C"/>
    <w:rsid w:val="00B1425E"/>
    <w:rsid w:val="00B14DE1"/>
    <w:rsid w:val="00B15C4E"/>
    <w:rsid w:val="00B16DAB"/>
    <w:rsid w:val="00B20ABD"/>
    <w:rsid w:val="00B20F39"/>
    <w:rsid w:val="00B213FE"/>
    <w:rsid w:val="00B21C3D"/>
    <w:rsid w:val="00B2352D"/>
    <w:rsid w:val="00B24C18"/>
    <w:rsid w:val="00B24D6D"/>
    <w:rsid w:val="00B24E04"/>
    <w:rsid w:val="00B26220"/>
    <w:rsid w:val="00B26B5D"/>
    <w:rsid w:val="00B26FD3"/>
    <w:rsid w:val="00B26FD5"/>
    <w:rsid w:val="00B27AB8"/>
    <w:rsid w:val="00B3034F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6251"/>
    <w:rsid w:val="00B36351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205B"/>
    <w:rsid w:val="00B42409"/>
    <w:rsid w:val="00B436D9"/>
    <w:rsid w:val="00B44373"/>
    <w:rsid w:val="00B446F9"/>
    <w:rsid w:val="00B4486B"/>
    <w:rsid w:val="00B44D7B"/>
    <w:rsid w:val="00B45551"/>
    <w:rsid w:val="00B45600"/>
    <w:rsid w:val="00B45BCE"/>
    <w:rsid w:val="00B46388"/>
    <w:rsid w:val="00B469B0"/>
    <w:rsid w:val="00B469D8"/>
    <w:rsid w:val="00B4726E"/>
    <w:rsid w:val="00B4730E"/>
    <w:rsid w:val="00B47820"/>
    <w:rsid w:val="00B47865"/>
    <w:rsid w:val="00B5060D"/>
    <w:rsid w:val="00B510FD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F68"/>
    <w:rsid w:val="00B6636F"/>
    <w:rsid w:val="00B6663F"/>
    <w:rsid w:val="00B6667B"/>
    <w:rsid w:val="00B672BA"/>
    <w:rsid w:val="00B67E10"/>
    <w:rsid w:val="00B705C0"/>
    <w:rsid w:val="00B70B30"/>
    <w:rsid w:val="00B71D82"/>
    <w:rsid w:val="00B720D6"/>
    <w:rsid w:val="00B728A7"/>
    <w:rsid w:val="00B73601"/>
    <w:rsid w:val="00B738D3"/>
    <w:rsid w:val="00B768D1"/>
    <w:rsid w:val="00B76A14"/>
    <w:rsid w:val="00B76FE4"/>
    <w:rsid w:val="00B7766D"/>
    <w:rsid w:val="00B77853"/>
    <w:rsid w:val="00B80510"/>
    <w:rsid w:val="00B80E4A"/>
    <w:rsid w:val="00B811F3"/>
    <w:rsid w:val="00B812E0"/>
    <w:rsid w:val="00B81A1B"/>
    <w:rsid w:val="00B824AC"/>
    <w:rsid w:val="00B832C3"/>
    <w:rsid w:val="00B83853"/>
    <w:rsid w:val="00B83F7B"/>
    <w:rsid w:val="00B84369"/>
    <w:rsid w:val="00B849B4"/>
    <w:rsid w:val="00B85FA7"/>
    <w:rsid w:val="00B85FF6"/>
    <w:rsid w:val="00B86D87"/>
    <w:rsid w:val="00B8709E"/>
    <w:rsid w:val="00B875EE"/>
    <w:rsid w:val="00B876A0"/>
    <w:rsid w:val="00B87786"/>
    <w:rsid w:val="00B87D6E"/>
    <w:rsid w:val="00B87DD2"/>
    <w:rsid w:val="00B87FBE"/>
    <w:rsid w:val="00B9001E"/>
    <w:rsid w:val="00B9235A"/>
    <w:rsid w:val="00B9323A"/>
    <w:rsid w:val="00B941C9"/>
    <w:rsid w:val="00B944C5"/>
    <w:rsid w:val="00B94E92"/>
    <w:rsid w:val="00B94EC4"/>
    <w:rsid w:val="00B956BB"/>
    <w:rsid w:val="00B959FD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F08"/>
    <w:rsid w:val="00BB0212"/>
    <w:rsid w:val="00BB0614"/>
    <w:rsid w:val="00BB06EB"/>
    <w:rsid w:val="00BB14A3"/>
    <w:rsid w:val="00BB209F"/>
    <w:rsid w:val="00BB241A"/>
    <w:rsid w:val="00BB2424"/>
    <w:rsid w:val="00BB2864"/>
    <w:rsid w:val="00BB2A01"/>
    <w:rsid w:val="00BB2C2E"/>
    <w:rsid w:val="00BB30F4"/>
    <w:rsid w:val="00BB320F"/>
    <w:rsid w:val="00BB408F"/>
    <w:rsid w:val="00BB4F02"/>
    <w:rsid w:val="00BB4F23"/>
    <w:rsid w:val="00BB4F30"/>
    <w:rsid w:val="00BB51A1"/>
    <w:rsid w:val="00BB56E3"/>
    <w:rsid w:val="00BB57D9"/>
    <w:rsid w:val="00BB5AD4"/>
    <w:rsid w:val="00BB7EF7"/>
    <w:rsid w:val="00BC0301"/>
    <w:rsid w:val="00BC06A2"/>
    <w:rsid w:val="00BC07A2"/>
    <w:rsid w:val="00BC117E"/>
    <w:rsid w:val="00BC12A2"/>
    <w:rsid w:val="00BC1879"/>
    <w:rsid w:val="00BC1BB1"/>
    <w:rsid w:val="00BC1CE4"/>
    <w:rsid w:val="00BC27BA"/>
    <w:rsid w:val="00BC2F5D"/>
    <w:rsid w:val="00BC2F8A"/>
    <w:rsid w:val="00BC5B97"/>
    <w:rsid w:val="00BC5BA0"/>
    <w:rsid w:val="00BC6919"/>
    <w:rsid w:val="00BC7009"/>
    <w:rsid w:val="00BC7539"/>
    <w:rsid w:val="00BC7664"/>
    <w:rsid w:val="00BC77C9"/>
    <w:rsid w:val="00BC790D"/>
    <w:rsid w:val="00BC7CB0"/>
    <w:rsid w:val="00BD0F4B"/>
    <w:rsid w:val="00BD1766"/>
    <w:rsid w:val="00BD3625"/>
    <w:rsid w:val="00BD3778"/>
    <w:rsid w:val="00BD452D"/>
    <w:rsid w:val="00BD4C64"/>
    <w:rsid w:val="00BD5B01"/>
    <w:rsid w:val="00BD5B39"/>
    <w:rsid w:val="00BD5B71"/>
    <w:rsid w:val="00BD5BC2"/>
    <w:rsid w:val="00BD6BB6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10C"/>
    <w:rsid w:val="00BF00F4"/>
    <w:rsid w:val="00BF0A3D"/>
    <w:rsid w:val="00BF3151"/>
    <w:rsid w:val="00BF408B"/>
    <w:rsid w:val="00BF47A7"/>
    <w:rsid w:val="00BF5446"/>
    <w:rsid w:val="00BF59D0"/>
    <w:rsid w:val="00C02032"/>
    <w:rsid w:val="00C032E5"/>
    <w:rsid w:val="00C045ED"/>
    <w:rsid w:val="00C05BDA"/>
    <w:rsid w:val="00C05DCC"/>
    <w:rsid w:val="00C0613F"/>
    <w:rsid w:val="00C06512"/>
    <w:rsid w:val="00C071C3"/>
    <w:rsid w:val="00C07990"/>
    <w:rsid w:val="00C07B05"/>
    <w:rsid w:val="00C100B0"/>
    <w:rsid w:val="00C11C42"/>
    <w:rsid w:val="00C125C6"/>
    <w:rsid w:val="00C13C3A"/>
    <w:rsid w:val="00C14AF5"/>
    <w:rsid w:val="00C15128"/>
    <w:rsid w:val="00C15DDB"/>
    <w:rsid w:val="00C1600C"/>
    <w:rsid w:val="00C162DA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1926"/>
    <w:rsid w:val="00C219E3"/>
    <w:rsid w:val="00C22288"/>
    <w:rsid w:val="00C22514"/>
    <w:rsid w:val="00C22775"/>
    <w:rsid w:val="00C23AC1"/>
    <w:rsid w:val="00C249B3"/>
    <w:rsid w:val="00C25327"/>
    <w:rsid w:val="00C2561D"/>
    <w:rsid w:val="00C25703"/>
    <w:rsid w:val="00C25E94"/>
    <w:rsid w:val="00C262F9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17FC"/>
    <w:rsid w:val="00C31CB4"/>
    <w:rsid w:val="00C31DEF"/>
    <w:rsid w:val="00C321F9"/>
    <w:rsid w:val="00C3430C"/>
    <w:rsid w:val="00C34949"/>
    <w:rsid w:val="00C34B4C"/>
    <w:rsid w:val="00C34E7C"/>
    <w:rsid w:val="00C351C0"/>
    <w:rsid w:val="00C35826"/>
    <w:rsid w:val="00C35895"/>
    <w:rsid w:val="00C35AE1"/>
    <w:rsid w:val="00C365E7"/>
    <w:rsid w:val="00C36683"/>
    <w:rsid w:val="00C36A89"/>
    <w:rsid w:val="00C37381"/>
    <w:rsid w:val="00C40139"/>
    <w:rsid w:val="00C40902"/>
    <w:rsid w:val="00C40A36"/>
    <w:rsid w:val="00C4168A"/>
    <w:rsid w:val="00C41B9A"/>
    <w:rsid w:val="00C42EAE"/>
    <w:rsid w:val="00C434F4"/>
    <w:rsid w:val="00C437EB"/>
    <w:rsid w:val="00C43F7F"/>
    <w:rsid w:val="00C446AF"/>
    <w:rsid w:val="00C449B9"/>
    <w:rsid w:val="00C44B51"/>
    <w:rsid w:val="00C45A59"/>
    <w:rsid w:val="00C45B0A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4BE8"/>
    <w:rsid w:val="00C55275"/>
    <w:rsid w:val="00C5569C"/>
    <w:rsid w:val="00C55A1A"/>
    <w:rsid w:val="00C55CB4"/>
    <w:rsid w:val="00C55DA7"/>
    <w:rsid w:val="00C560F5"/>
    <w:rsid w:val="00C563CB"/>
    <w:rsid w:val="00C5648A"/>
    <w:rsid w:val="00C56C41"/>
    <w:rsid w:val="00C56D2A"/>
    <w:rsid w:val="00C57117"/>
    <w:rsid w:val="00C57325"/>
    <w:rsid w:val="00C575AE"/>
    <w:rsid w:val="00C57E5F"/>
    <w:rsid w:val="00C602A0"/>
    <w:rsid w:val="00C60CD7"/>
    <w:rsid w:val="00C60D6E"/>
    <w:rsid w:val="00C61723"/>
    <w:rsid w:val="00C61864"/>
    <w:rsid w:val="00C61F20"/>
    <w:rsid w:val="00C62A67"/>
    <w:rsid w:val="00C62D73"/>
    <w:rsid w:val="00C6307C"/>
    <w:rsid w:val="00C6467F"/>
    <w:rsid w:val="00C646C9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FCC"/>
    <w:rsid w:val="00C724C0"/>
    <w:rsid w:val="00C72801"/>
    <w:rsid w:val="00C72D93"/>
    <w:rsid w:val="00C72E9A"/>
    <w:rsid w:val="00C7302D"/>
    <w:rsid w:val="00C7411E"/>
    <w:rsid w:val="00C74436"/>
    <w:rsid w:val="00C74D15"/>
    <w:rsid w:val="00C770B9"/>
    <w:rsid w:val="00C77ADC"/>
    <w:rsid w:val="00C77C77"/>
    <w:rsid w:val="00C8013B"/>
    <w:rsid w:val="00C80FEA"/>
    <w:rsid w:val="00C815A0"/>
    <w:rsid w:val="00C81927"/>
    <w:rsid w:val="00C81E25"/>
    <w:rsid w:val="00C82709"/>
    <w:rsid w:val="00C8271E"/>
    <w:rsid w:val="00C832C3"/>
    <w:rsid w:val="00C83322"/>
    <w:rsid w:val="00C83452"/>
    <w:rsid w:val="00C83497"/>
    <w:rsid w:val="00C83547"/>
    <w:rsid w:val="00C84029"/>
    <w:rsid w:val="00C851DC"/>
    <w:rsid w:val="00C85FDD"/>
    <w:rsid w:val="00C8608C"/>
    <w:rsid w:val="00C86934"/>
    <w:rsid w:val="00C86FBD"/>
    <w:rsid w:val="00C872B7"/>
    <w:rsid w:val="00C87C51"/>
    <w:rsid w:val="00C90099"/>
    <w:rsid w:val="00C90773"/>
    <w:rsid w:val="00C90A64"/>
    <w:rsid w:val="00C90EB1"/>
    <w:rsid w:val="00C90F45"/>
    <w:rsid w:val="00C91732"/>
    <w:rsid w:val="00C922A0"/>
    <w:rsid w:val="00C92549"/>
    <w:rsid w:val="00C938B7"/>
    <w:rsid w:val="00C93BB9"/>
    <w:rsid w:val="00C93C6B"/>
    <w:rsid w:val="00C93D42"/>
    <w:rsid w:val="00C95462"/>
    <w:rsid w:val="00C958FF"/>
    <w:rsid w:val="00C95C39"/>
    <w:rsid w:val="00C964F9"/>
    <w:rsid w:val="00C96FF7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61C9"/>
    <w:rsid w:val="00CA63A3"/>
    <w:rsid w:val="00CA6CF8"/>
    <w:rsid w:val="00CA75CC"/>
    <w:rsid w:val="00CA7C61"/>
    <w:rsid w:val="00CB0144"/>
    <w:rsid w:val="00CB0482"/>
    <w:rsid w:val="00CB079B"/>
    <w:rsid w:val="00CB1744"/>
    <w:rsid w:val="00CB1885"/>
    <w:rsid w:val="00CB2936"/>
    <w:rsid w:val="00CB298C"/>
    <w:rsid w:val="00CB2AC7"/>
    <w:rsid w:val="00CB3580"/>
    <w:rsid w:val="00CB50F9"/>
    <w:rsid w:val="00CB51A1"/>
    <w:rsid w:val="00CB610F"/>
    <w:rsid w:val="00CB6BCE"/>
    <w:rsid w:val="00CB71ED"/>
    <w:rsid w:val="00CB731D"/>
    <w:rsid w:val="00CB7361"/>
    <w:rsid w:val="00CB765D"/>
    <w:rsid w:val="00CC0A9E"/>
    <w:rsid w:val="00CC120B"/>
    <w:rsid w:val="00CC1A32"/>
    <w:rsid w:val="00CC2004"/>
    <w:rsid w:val="00CC2551"/>
    <w:rsid w:val="00CC272B"/>
    <w:rsid w:val="00CC2791"/>
    <w:rsid w:val="00CC2D2F"/>
    <w:rsid w:val="00CC33D0"/>
    <w:rsid w:val="00CC3C9C"/>
    <w:rsid w:val="00CC3FB6"/>
    <w:rsid w:val="00CC4376"/>
    <w:rsid w:val="00CC43BA"/>
    <w:rsid w:val="00CC4942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5FC8"/>
    <w:rsid w:val="00CE7192"/>
    <w:rsid w:val="00CE7D2C"/>
    <w:rsid w:val="00CF09AA"/>
    <w:rsid w:val="00CF0EFC"/>
    <w:rsid w:val="00CF0F2F"/>
    <w:rsid w:val="00CF13EA"/>
    <w:rsid w:val="00CF1E66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102E"/>
    <w:rsid w:val="00D1187B"/>
    <w:rsid w:val="00D11D21"/>
    <w:rsid w:val="00D11D58"/>
    <w:rsid w:val="00D149D8"/>
    <w:rsid w:val="00D14C69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2297"/>
    <w:rsid w:val="00D227B6"/>
    <w:rsid w:val="00D23A4B"/>
    <w:rsid w:val="00D243FB"/>
    <w:rsid w:val="00D24F75"/>
    <w:rsid w:val="00D26138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07B"/>
    <w:rsid w:val="00D34C7D"/>
    <w:rsid w:val="00D34F0D"/>
    <w:rsid w:val="00D35483"/>
    <w:rsid w:val="00D35FD0"/>
    <w:rsid w:val="00D36592"/>
    <w:rsid w:val="00D401B6"/>
    <w:rsid w:val="00D4082F"/>
    <w:rsid w:val="00D408FC"/>
    <w:rsid w:val="00D40E3D"/>
    <w:rsid w:val="00D41502"/>
    <w:rsid w:val="00D41833"/>
    <w:rsid w:val="00D41EFF"/>
    <w:rsid w:val="00D426CF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7F9D"/>
    <w:rsid w:val="00D505B7"/>
    <w:rsid w:val="00D50666"/>
    <w:rsid w:val="00D5070E"/>
    <w:rsid w:val="00D50D54"/>
    <w:rsid w:val="00D50E47"/>
    <w:rsid w:val="00D51ADA"/>
    <w:rsid w:val="00D52236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CD9"/>
    <w:rsid w:val="00D55ECC"/>
    <w:rsid w:val="00D56446"/>
    <w:rsid w:val="00D57085"/>
    <w:rsid w:val="00D57C74"/>
    <w:rsid w:val="00D61261"/>
    <w:rsid w:val="00D61332"/>
    <w:rsid w:val="00D6147C"/>
    <w:rsid w:val="00D62420"/>
    <w:rsid w:val="00D627E0"/>
    <w:rsid w:val="00D62C52"/>
    <w:rsid w:val="00D630A8"/>
    <w:rsid w:val="00D6385B"/>
    <w:rsid w:val="00D6395F"/>
    <w:rsid w:val="00D64B86"/>
    <w:rsid w:val="00D65474"/>
    <w:rsid w:val="00D65516"/>
    <w:rsid w:val="00D65644"/>
    <w:rsid w:val="00D65DD4"/>
    <w:rsid w:val="00D674E3"/>
    <w:rsid w:val="00D67C08"/>
    <w:rsid w:val="00D71CF0"/>
    <w:rsid w:val="00D723E2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D5"/>
    <w:rsid w:val="00D819F9"/>
    <w:rsid w:val="00D81F80"/>
    <w:rsid w:val="00D81F86"/>
    <w:rsid w:val="00D82795"/>
    <w:rsid w:val="00D83726"/>
    <w:rsid w:val="00D84092"/>
    <w:rsid w:val="00D84F36"/>
    <w:rsid w:val="00D85CDF"/>
    <w:rsid w:val="00D863C8"/>
    <w:rsid w:val="00D8667D"/>
    <w:rsid w:val="00D8691B"/>
    <w:rsid w:val="00D870C7"/>
    <w:rsid w:val="00D87833"/>
    <w:rsid w:val="00D87AAF"/>
    <w:rsid w:val="00D87E7B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6BB"/>
    <w:rsid w:val="00DA28B4"/>
    <w:rsid w:val="00DA2947"/>
    <w:rsid w:val="00DA2A3E"/>
    <w:rsid w:val="00DA2F43"/>
    <w:rsid w:val="00DA339D"/>
    <w:rsid w:val="00DA3730"/>
    <w:rsid w:val="00DA375F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C3A"/>
    <w:rsid w:val="00DA6044"/>
    <w:rsid w:val="00DA797D"/>
    <w:rsid w:val="00DB0693"/>
    <w:rsid w:val="00DB07CC"/>
    <w:rsid w:val="00DB0AD6"/>
    <w:rsid w:val="00DB0CBA"/>
    <w:rsid w:val="00DB0F83"/>
    <w:rsid w:val="00DB192F"/>
    <w:rsid w:val="00DB2279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970"/>
    <w:rsid w:val="00DD258E"/>
    <w:rsid w:val="00DD2F67"/>
    <w:rsid w:val="00DD3D66"/>
    <w:rsid w:val="00DD4F95"/>
    <w:rsid w:val="00DD593A"/>
    <w:rsid w:val="00DD6175"/>
    <w:rsid w:val="00DD6F4E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8E6"/>
    <w:rsid w:val="00DE4972"/>
    <w:rsid w:val="00DE4AA0"/>
    <w:rsid w:val="00DE567C"/>
    <w:rsid w:val="00DE5B3B"/>
    <w:rsid w:val="00DE5F8E"/>
    <w:rsid w:val="00DE616F"/>
    <w:rsid w:val="00DE6A40"/>
    <w:rsid w:val="00DE6B6D"/>
    <w:rsid w:val="00DE71C6"/>
    <w:rsid w:val="00DF08EE"/>
    <w:rsid w:val="00DF0C6F"/>
    <w:rsid w:val="00DF1593"/>
    <w:rsid w:val="00DF1E3C"/>
    <w:rsid w:val="00DF2197"/>
    <w:rsid w:val="00DF29AF"/>
    <w:rsid w:val="00DF361B"/>
    <w:rsid w:val="00DF4451"/>
    <w:rsid w:val="00DF4B0A"/>
    <w:rsid w:val="00DF4EA4"/>
    <w:rsid w:val="00DF56D7"/>
    <w:rsid w:val="00DF5E42"/>
    <w:rsid w:val="00DF6F29"/>
    <w:rsid w:val="00DF74FD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48FF"/>
    <w:rsid w:val="00E05013"/>
    <w:rsid w:val="00E0577B"/>
    <w:rsid w:val="00E06C53"/>
    <w:rsid w:val="00E07C75"/>
    <w:rsid w:val="00E106CB"/>
    <w:rsid w:val="00E10DBD"/>
    <w:rsid w:val="00E1113F"/>
    <w:rsid w:val="00E11187"/>
    <w:rsid w:val="00E111B5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6895"/>
    <w:rsid w:val="00E169A6"/>
    <w:rsid w:val="00E16C3B"/>
    <w:rsid w:val="00E20356"/>
    <w:rsid w:val="00E20EC5"/>
    <w:rsid w:val="00E210A3"/>
    <w:rsid w:val="00E21472"/>
    <w:rsid w:val="00E2151B"/>
    <w:rsid w:val="00E21CC7"/>
    <w:rsid w:val="00E22807"/>
    <w:rsid w:val="00E229E2"/>
    <w:rsid w:val="00E243CF"/>
    <w:rsid w:val="00E25781"/>
    <w:rsid w:val="00E25826"/>
    <w:rsid w:val="00E26013"/>
    <w:rsid w:val="00E262D6"/>
    <w:rsid w:val="00E2682C"/>
    <w:rsid w:val="00E26EED"/>
    <w:rsid w:val="00E273A6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8CF"/>
    <w:rsid w:val="00E42A6B"/>
    <w:rsid w:val="00E42E67"/>
    <w:rsid w:val="00E42FD5"/>
    <w:rsid w:val="00E440D2"/>
    <w:rsid w:val="00E447A1"/>
    <w:rsid w:val="00E4571D"/>
    <w:rsid w:val="00E4581A"/>
    <w:rsid w:val="00E45FF0"/>
    <w:rsid w:val="00E4606E"/>
    <w:rsid w:val="00E463F3"/>
    <w:rsid w:val="00E46A5C"/>
    <w:rsid w:val="00E471D3"/>
    <w:rsid w:val="00E47E07"/>
    <w:rsid w:val="00E50D7B"/>
    <w:rsid w:val="00E51A59"/>
    <w:rsid w:val="00E51A5F"/>
    <w:rsid w:val="00E51BA6"/>
    <w:rsid w:val="00E52037"/>
    <w:rsid w:val="00E530E3"/>
    <w:rsid w:val="00E54C88"/>
    <w:rsid w:val="00E54FA4"/>
    <w:rsid w:val="00E55556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6179"/>
    <w:rsid w:val="00E670F0"/>
    <w:rsid w:val="00E67BA1"/>
    <w:rsid w:val="00E67D1C"/>
    <w:rsid w:val="00E7033E"/>
    <w:rsid w:val="00E70AA5"/>
    <w:rsid w:val="00E7105F"/>
    <w:rsid w:val="00E71753"/>
    <w:rsid w:val="00E734AD"/>
    <w:rsid w:val="00E73C52"/>
    <w:rsid w:val="00E74BD6"/>
    <w:rsid w:val="00E750AA"/>
    <w:rsid w:val="00E754F7"/>
    <w:rsid w:val="00E75702"/>
    <w:rsid w:val="00E761C4"/>
    <w:rsid w:val="00E768F7"/>
    <w:rsid w:val="00E77C64"/>
    <w:rsid w:val="00E77E98"/>
    <w:rsid w:val="00E8004D"/>
    <w:rsid w:val="00E800A5"/>
    <w:rsid w:val="00E800BA"/>
    <w:rsid w:val="00E8016E"/>
    <w:rsid w:val="00E8077B"/>
    <w:rsid w:val="00E808D2"/>
    <w:rsid w:val="00E80E63"/>
    <w:rsid w:val="00E80EC6"/>
    <w:rsid w:val="00E80F5F"/>
    <w:rsid w:val="00E810FD"/>
    <w:rsid w:val="00E81121"/>
    <w:rsid w:val="00E811DE"/>
    <w:rsid w:val="00E81773"/>
    <w:rsid w:val="00E827DF"/>
    <w:rsid w:val="00E8295D"/>
    <w:rsid w:val="00E82C4E"/>
    <w:rsid w:val="00E82CC2"/>
    <w:rsid w:val="00E847FA"/>
    <w:rsid w:val="00E85166"/>
    <w:rsid w:val="00E85848"/>
    <w:rsid w:val="00E85DFD"/>
    <w:rsid w:val="00E85E0D"/>
    <w:rsid w:val="00E864C2"/>
    <w:rsid w:val="00E86D85"/>
    <w:rsid w:val="00E87942"/>
    <w:rsid w:val="00E87D5E"/>
    <w:rsid w:val="00E91639"/>
    <w:rsid w:val="00E916B8"/>
    <w:rsid w:val="00E91DF3"/>
    <w:rsid w:val="00E9268C"/>
    <w:rsid w:val="00E927AE"/>
    <w:rsid w:val="00E92ABA"/>
    <w:rsid w:val="00E92ACB"/>
    <w:rsid w:val="00E92F89"/>
    <w:rsid w:val="00E9395F"/>
    <w:rsid w:val="00E93B5A"/>
    <w:rsid w:val="00E93C0C"/>
    <w:rsid w:val="00E9407C"/>
    <w:rsid w:val="00E94853"/>
    <w:rsid w:val="00E9485F"/>
    <w:rsid w:val="00E94C50"/>
    <w:rsid w:val="00E95A06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ACB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8CA"/>
    <w:rsid w:val="00EA6CD8"/>
    <w:rsid w:val="00EA6FE6"/>
    <w:rsid w:val="00EA7277"/>
    <w:rsid w:val="00EA778D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328E"/>
    <w:rsid w:val="00EB3453"/>
    <w:rsid w:val="00EB48BC"/>
    <w:rsid w:val="00EB553E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4599"/>
    <w:rsid w:val="00EC4615"/>
    <w:rsid w:val="00EC4E80"/>
    <w:rsid w:val="00EC4EF2"/>
    <w:rsid w:val="00EC4F5B"/>
    <w:rsid w:val="00EC53CE"/>
    <w:rsid w:val="00EC551B"/>
    <w:rsid w:val="00EC57DD"/>
    <w:rsid w:val="00EC5CBD"/>
    <w:rsid w:val="00EC6333"/>
    <w:rsid w:val="00EC6AC9"/>
    <w:rsid w:val="00ED0A91"/>
    <w:rsid w:val="00ED1ADB"/>
    <w:rsid w:val="00ED1B93"/>
    <w:rsid w:val="00ED1D89"/>
    <w:rsid w:val="00ED1F45"/>
    <w:rsid w:val="00ED2168"/>
    <w:rsid w:val="00ED3297"/>
    <w:rsid w:val="00ED4080"/>
    <w:rsid w:val="00ED4133"/>
    <w:rsid w:val="00ED4679"/>
    <w:rsid w:val="00ED46F6"/>
    <w:rsid w:val="00ED4704"/>
    <w:rsid w:val="00ED5B2E"/>
    <w:rsid w:val="00ED7911"/>
    <w:rsid w:val="00ED7F60"/>
    <w:rsid w:val="00EE1346"/>
    <w:rsid w:val="00EE1528"/>
    <w:rsid w:val="00EE2521"/>
    <w:rsid w:val="00EE27CC"/>
    <w:rsid w:val="00EE2AD7"/>
    <w:rsid w:val="00EE335B"/>
    <w:rsid w:val="00EE3901"/>
    <w:rsid w:val="00EE3B22"/>
    <w:rsid w:val="00EE446F"/>
    <w:rsid w:val="00EE51B8"/>
    <w:rsid w:val="00EE642C"/>
    <w:rsid w:val="00EE6A15"/>
    <w:rsid w:val="00EE6AA5"/>
    <w:rsid w:val="00EE6FF7"/>
    <w:rsid w:val="00EE7016"/>
    <w:rsid w:val="00EE729A"/>
    <w:rsid w:val="00EF00EF"/>
    <w:rsid w:val="00EF0216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6FF"/>
    <w:rsid w:val="00F02C4D"/>
    <w:rsid w:val="00F032A5"/>
    <w:rsid w:val="00F03528"/>
    <w:rsid w:val="00F037C9"/>
    <w:rsid w:val="00F0388D"/>
    <w:rsid w:val="00F04F93"/>
    <w:rsid w:val="00F055D2"/>
    <w:rsid w:val="00F056BF"/>
    <w:rsid w:val="00F05CE8"/>
    <w:rsid w:val="00F06361"/>
    <w:rsid w:val="00F06689"/>
    <w:rsid w:val="00F0719D"/>
    <w:rsid w:val="00F07494"/>
    <w:rsid w:val="00F07B2C"/>
    <w:rsid w:val="00F1089A"/>
    <w:rsid w:val="00F11013"/>
    <w:rsid w:val="00F11843"/>
    <w:rsid w:val="00F11CD7"/>
    <w:rsid w:val="00F11CF6"/>
    <w:rsid w:val="00F11F3D"/>
    <w:rsid w:val="00F12632"/>
    <w:rsid w:val="00F12F55"/>
    <w:rsid w:val="00F1489A"/>
    <w:rsid w:val="00F14951"/>
    <w:rsid w:val="00F14F33"/>
    <w:rsid w:val="00F1556A"/>
    <w:rsid w:val="00F15BEA"/>
    <w:rsid w:val="00F160B7"/>
    <w:rsid w:val="00F16A7B"/>
    <w:rsid w:val="00F172C0"/>
    <w:rsid w:val="00F174BD"/>
    <w:rsid w:val="00F17A22"/>
    <w:rsid w:val="00F17C20"/>
    <w:rsid w:val="00F17DD4"/>
    <w:rsid w:val="00F215C5"/>
    <w:rsid w:val="00F21B01"/>
    <w:rsid w:val="00F21FEC"/>
    <w:rsid w:val="00F22367"/>
    <w:rsid w:val="00F234F8"/>
    <w:rsid w:val="00F24BD6"/>
    <w:rsid w:val="00F2671C"/>
    <w:rsid w:val="00F26724"/>
    <w:rsid w:val="00F2696F"/>
    <w:rsid w:val="00F27AA2"/>
    <w:rsid w:val="00F30352"/>
    <w:rsid w:val="00F30E3D"/>
    <w:rsid w:val="00F32655"/>
    <w:rsid w:val="00F32C92"/>
    <w:rsid w:val="00F32E5F"/>
    <w:rsid w:val="00F331BC"/>
    <w:rsid w:val="00F342FE"/>
    <w:rsid w:val="00F34650"/>
    <w:rsid w:val="00F347B3"/>
    <w:rsid w:val="00F3554E"/>
    <w:rsid w:val="00F366E4"/>
    <w:rsid w:val="00F36C6A"/>
    <w:rsid w:val="00F3717D"/>
    <w:rsid w:val="00F37878"/>
    <w:rsid w:val="00F378E3"/>
    <w:rsid w:val="00F37AC3"/>
    <w:rsid w:val="00F4017D"/>
    <w:rsid w:val="00F401DF"/>
    <w:rsid w:val="00F402DD"/>
    <w:rsid w:val="00F4060F"/>
    <w:rsid w:val="00F4085B"/>
    <w:rsid w:val="00F40D38"/>
    <w:rsid w:val="00F42441"/>
    <w:rsid w:val="00F428D0"/>
    <w:rsid w:val="00F42B9C"/>
    <w:rsid w:val="00F42CAF"/>
    <w:rsid w:val="00F43827"/>
    <w:rsid w:val="00F43EC4"/>
    <w:rsid w:val="00F4474D"/>
    <w:rsid w:val="00F46A29"/>
    <w:rsid w:val="00F46D98"/>
    <w:rsid w:val="00F47608"/>
    <w:rsid w:val="00F479BB"/>
    <w:rsid w:val="00F47CE2"/>
    <w:rsid w:val="00F50412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4BEE"/>
    <w:rsid w:val="00F5554E"/>
    <w:rsid w:val="00F55685"/>
    <w:rsid w:val="00F55BC9"/>
    <w:rsid w:val="00F56144"/>
    <w:rsid w:val="00F56992"/>
    <w:rsid w:val="00F56D8E"/>
    <w:rsid w:val="00F56E93"/>
    <w:rsid w:val="00F57373"/>
    <w:rsid w:val="00F57610"/>
    <w:rsid w:val="00F577F2"/>
    <w:rsid w:val="00F579A7"/>
    <w:rsid w:val="00F60012"/>
    <w:rsid w:val="00F60167"/>
    <w:rsid w:val="00F601C4"/>
    <w:rsid w:val="00F603FD"/>
    <w:rsid w:val="00F608BD"/>
    <w:rsid w:val="00F619C2"/>
    <w:rsid w:val="00F61AD1"/>
    <w:rsid w:val="00F6301A"/>
    <w:rsid w:val="00F6329D"/>
    <w:rsid w:val="00F632ED"/>
    <w:rsid w:val="00F6375E"/>
    <w:rsid w:val="00F63CC1"/>
    <w:rsid w:val="00F63DF7"/>
    <w:rsid w:val="00F64232"/>
    <w:rsid w:val="00F647F6"/>
    <w:rsid w:val="00F65212"/>
    <w:rsid w:val="00F65673"/>
    <w:rsid w:val="00F65686"/>
    <w:rsid w:val="00F65939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B5F"/>
    <w:rsid w:val="00F72C81"/>
    <w:rsid w:val="00F73583"/>
    <w:rsid w:val="00F73C7E"/>
    <w:rsid w:val="00F74304"/>
    <w:rsid w:val="00F7442B"/>
    <w:rsid w:val="00F7498D"/>
    <w:rsid w:val="00F75F7B"/>
    <w:rsid w:val="00F76619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C18"/>
    <w:rsid w:val="00F861EC"/>
    <w:rsid w:val="00F86AA3"/>
    <w:rsid w:val="00F86D31"/>
    <w:rsid w:val="00F87A5C"/>
    <w:rsid w:val="00F90BB5"/>
    <w:rsid w:val="00F938D7"/>
    <w:rsid w:val="00F9427E"/>
    <w:rsid w:val="00F94310"/>
    <w:rsid w:val="00F94555"/>
    <w:rsid w:val="00F94FE6"/>
    <w:rsid w:val="00F95326"/>
    <w:rsid w:val="00F9571B"/>
    <w:rsid w:val="00F96DBD"/>
    <w:rsid w:val="00F9783D"/>
    <w:rsid w:val="00F97A50"/>
    <w:rsid w:val="00FA021B"/>
    <w:rsid w:val="00FA0B49"/>
    <w:rsid w:val="00FA0E2B"/>
    <w:rsid w:val="00FA164E"/>
    <w:rsid w:val="00FA1C94"/>
    <w:rsid w:val="00FA1D8D"/>
    <w:rsid w:val="00FA1F1C"/>
    <w:rsid w:val="00FA25E9"/>
    <w:rsid w:val="00FA264A"/>
    <w:rsid w:val="00FA264D"/>
    <w:rsid w:val="00FA2DA3"/>
    <w:rsid w:val="00FA39E9"/>
    <w:rsid w:val="00FA3B9E"/>
    <w:rsid w:val="00FA4430"/>
    <w:rsid w:val="00FA5A42"/>
    <w:rsid w:val="00FA5D4B"/>
    <w:rsid w:val="00FA6076"/>
    <w:rsid w:val="00FA62F6"/>
    <w:rsid w:val="00FA6A28"/>
    <w:rsid w:val="00FA6D30"/>
    <w:rsid w:val="00FA733A"/>
    <w:rsid w:val="00FA7BE9"/>
    <w:rsid w:val="00FB06BE"/>
    <w:rsid w:val="00FB12D6"/>
    <w:rsid w:val="00FB1777"/>
    <w:rsid w:val="00FB1ADF"/>
    <w:rsid w:val="00FB1CCB"/>
    <w:rsid w:val="00FB1D9A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8CA"/>
    <w:rsid w:val="00FB7E06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952"/>
    <w:rsid w:val="00FC4E26"/>
    <w:rsid w:val="00FC4F10"/>
    <w:rsid w:val="00FC523A"/>
    <w:rsid w:val="00FC65B5"/>
    <w:rsid w:val="00FD2D32"/>
    <w:rsid w:val="00FD34BF"/>
    <w:rsid w:val="00FD3D67"/>
    <w:rsid w:val="00FD3DFA"/>
    <w:rsid w:val="00FD4580"/>
    <w:rsid w:val="00FD4F84"/>
    <w:rsid w:val="00FD5004"/>
    <w:rsid w:val="00FD631D"/>
    <w:rsid w:val="00FD646A"/>
    <w:rsid w:val="00FD69C3"/>
    <w:rsid w:val="00FD7C14"/>
    <w:rsid w:val="00FE0EE8"/>
    <w:rsid w:val="00FE0F64"/>
    <w:rsid w:val="00FE0F81"/>
    <w:rsid w:val="00FE14F0"/>
    <w:rsid w:val="00FE156D"/>
    <w:rsid w:val="00FE1634"/>
    <w:rsid w:val="00FE17B5"/>
    <w:rsid w:val="00FE23FA"/>
    <w:rsid w:val="00FE2441"/>
    <w:rsid w:val="00FE30C3"/>
    <w:rsid w:val="00FE321F"/>
    <w:rsid w:val="00FE39F8"/>
    <w:rsid w:val="00FE3AAF"/>
    <w:rsid w:val="00FE48DE"/>
    <w:rsid w:val="00FE595E"/>
    <w:rsid w:val="00FE5F78"/>
    <w:rsid w:val="00FE63E5"/>
    <w:rsid w:val="00FE6634"/>
    <w:rsid w:val="00FE6846"/>
    <w:rsid w:val="00FE694A"/>
    <w:rsid w:val="00FE6C25"/>
    <w:rsid w:val="00FE6C35"/>
    <w:rsid w:val="00FE7A26"/>
    <w:rsid w:val="00FF0151"/>
    <w:rsid w:val="00FF055C"/>
    <w:rsid w:val="00FF05D8"/>
    <w:rsid w:val="00FF08A8"/>
    <w:rsid w:val="00FF1074"/>
    <w:rsid w:val="00FF13BD"/>
    <w:rsid w:val="00FF1FC3"/>
    <w:rsid w:val="00FF25BD"/>
    <w:rsid w:val="00FF26CD"/>
    <w:rsid w:val="00FF275A"/>
    <w:rsid w:val="00FF2AE0"/>
    <w:rsid w:val="00FF2AE1"/>
    <w:rsid w:val="00FF3869"/>
    <w:rsid w:val="00FF4BED"/>
    <w:rsid w:val="00FF50F8"/>
    <w:rsid w:val="00FF51CA"/>
    <w:rsid w:val="00FF5934"/>
    <w:rsid w:val="00FF5E19"/>
    <w:rsid w:val="00FF6258"/>
    <w:rsid w:val="00FF6B87"/>
    <w:rsid w:val="00FF6DD2"/>
    <w:rsid w:val="00FF6FC1"/>
    <w:rsid w:val="00FF7B21"/>
    <w:rsid w:val="00FF7C3D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  <w:tblBorders>
        <w:top w:val="single" w:sz="4" w:space="0" w:color="A29ED4" w:themeColor="accent4" w:themeTint="99"/>
        <w:left w:val="single" w:sz="4" w:space="0" w:color="A29ED4" w:themeColor="accent4" w:themeTint="99"/>
        <w:bottom w:val="single" w:sz="4" w:space="0" w:color="A29ED4" w:themeColor="accent4" w:themeTint="99"/>
        <w:right w:val="single" w:sz="4" w:space="0" w:color="A29ED4" w:themeColor="accent4" w:themeTint="99"/>
        <w:insideH w:val="single" w:sz="4" w:space="0" w:color="A29E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EF0" w:themeFill="accent4" w:themeFillTint="33"/>
      </w:tcPr>
    </w:tblStylePr>
    <w:tblStylePr w:type="band1Horz">
      <w:tblPr/>
      <w:tcPr>
        <w:shd w:val="clear" w:color="auto" w:fill="E0DEF0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3.emf"/><Relationship Id="rId26" Type="http://schemas.openxmlformats.org/officeDocument/2006/relationships/image" Target="media/image11.emf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wa.gov.au/government/media-statements/Cook%20Labor%20Government/Lithium-Industry-Support-Program-to-protect-critical-WA-jobs-20241127" TargetMode="External"/><Relationship Id="rId25" Type="http://schemas.openxmlformats.org/officeDocument/2006/relationships/image" Target="media/image10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mp.wa.gov.au/News/Guidelines-for-nickel-royalty-32080.aspx" TargetMode="External"/><Relationship Id="rId20" Type="http://schemas.openxmlformats.org/officeDocument/2006/relationships/image" Target="media/image5.emf"/><Relationship Id="rId29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8.emf"/><Relationship Id="rId28" Type="http://schemas.openxmlformats.org/officeDocument/2006/relationships/image" Target="media/image13.emf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31" Type="http://schemas.openxmlformats.org/officeDocument/2006/relationships/image" Target="media/image16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7.emf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84896FD490042997D976E5095ECCB" ma:contentTypeVersion="4" ma:contentTypeDescription="Create a new document." ma:contentTypeScope="" ma:versionID="2e2147b730070ef0e30f7eb1d69ed501">
  <xsd:schema xmlns:xsd="http://www.w3.org/2001/XMLSchema" xmlns:xs="http://www.w3.org/2001/XMLSchema" xmlns:p="http://schemas.microsoft.com/office/2006/metadata/properties" xmlns:ns2="60dec224-0643-4fa8-b9de-2859d9bae27e" targetNamespace="http://schemas.microsoft.com/office/2006/metadata/properties" ma:root="true" ma:fieldsID="221da7d979572795302f164442fdbc3e" ns2:_="">
    <xsd:import namespace="60dec224-0643-4fa8-b9de-2859d9bae2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ec224-0643-4fa8-b9de-2859d9bae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0C7752-DE39-483F-83DF-20ED4FA32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ec224-0643-4fa8-b9de-2859d9bae2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2733</Words>
  <Characters>14377</Characters>
  <Application>Microsoft Office Word</Application>
  <DocSecurity>0</DocSecurity>
  <Lines>410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Battery and Critical Minerals Profile - MASTER</vt:lpstr>
    </vt:vector>
  </TitlesOfParts>
  <Company>Department of Mines and Petroleum</Company>
  <LinksUpToDate>false</LinksUpToDate>
  <CharactersWithSpaces>16873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FOO, Lee Mei</cp:lastModifiedBy>
  <cp:revision>2</cp:revision>
  <cp:lastPrinted>2020-11-17T23:38:00Z</cp:lastPrinted>
  <dcterms:created xsi:type="dcterms:W3CDTF">2025-10-02T02:38:00Z</dcterms:created>
  <dcterms:modified xsi:type="dcterms:W3CDTF">2025-10-02T02:38:00Z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0x01010060884896FD490042997D976E5095ECCB</vt:lpwstr>
  </property>
  <property fmtid="{D5CDD505-2E9C-101B-9397-08002B2CF9AE}" pid="3" name="DataStore">
    <vt:lpwstr>Central</vt:lpwstr>
  </property>
</Properties>
</file>