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2030A" w14:textId="2D05FEFF" w:rsidR="00233755" w:rsidRPr="00C03076" w:rsidRDefault="00233755" w:rsidP="380E47D5">
      <w:pPr>
        <w:pStyle w:val="Heading1"/>
        <w:spacing w:before="0" w:after="240"/>
        <w:rPr>
          <w:sz w:val="28"/>
        </w:rPr>
        <w:sectPr w:rsidR="00233755" w:rsidRPr="00C03076" w:rsidSect="00233755">
          <w:headerReference w:type="default" r:id="rId11"/>
          <w:footerReference w:type="default" r:id="rId12"/>
          <w:footerReference w:type="first" r:id="rId13"/>
          <w:pgSz w:w="11907" w:h="16840" w:code="9"/>
          <w:pgMar w:top="1701" w:right="425" w:bottom="567" w:left="567" w:header="709" w:footer="709" w:gutter="0"/>
          <w:cols w:space="708"/>
          <w:docGrid w:linePitch="360"/>
        </w:sectPr>
      </w:pPr>
      <w:bookmarkStart w:id="0" w:name="_Hlk212564119"/>
      <w:bookmarkEnd w:id="0"/>
      <w:r w:rsidRPr="380E47D5">
        <w:rPr>
          <w:sz w:val="28"/>
        </w:rPr>
        <w:t xml:space="preserve">Western Australia Economic Profile – </w:t>
      </w:r>
      <w:r w:rsidR="658410F9" w:rsidRPr="0085163E">
        <w:rPr>
          <w:sz w:val="28"/>
        </w:rPr>
        <w:t>October</w:t>
      </w:r>
      <w:r w:rsidR="658410F9" w:rsidRPr="380E47D5">
        <w:rPr>
          <w:color w:val="FF0000"/>
          <w:sz w:val="28"/>
        </w:rPr>
        <w:t xml:space="preserve"> </w:t>
      </w:r>
      <w:r w:rsidRPr="380E47D5">
        <w:rPr>
          <w:sz w:val="28"/>
        </w:rPr>
        <w:t>2025</w:t>
      </w:r>
    </w:p>
    <w:p w14:paraId="59EB7E7B" w14:textId="77777777" w:rsidR="00233755" w:rsidRPr="00A00E7D" w:rsidRDefault="00233755" w:rsidP="00233755">
      <w:pPr>
        <w:pStyle w:val="Heading2"/>
        <w:spacing w:before="0" w:after="120"/>
        <w:rPr>
          <w:color w:val="004C3D"/>
          <w:sz w:val="22"/>
          <w:szCs w:val="22"/>
        </w:rPr>
      </w:pPr>
      <w:r w:rsidRPr="00A00E7D">
        <w:rPr>
          <w:color w:val="004C3D"/>
          <w:sz w:val="24"/>
          <w:szCs w:val="24"/>
        </w:rPr>
        <w:t>Western Australia – Economic conditions</w:t>
      </w:r>
    </w:p>
    <w:p w14:paraId="211FCE79" w14:textId="7281FAD0" w:rsidR="00C0330E" w:rsidRPr="0085163E" w:rsidRDefault="00C0330E" w:rsidP="380E47D5">
      <w:pPr>
        <w:spacing w:after="120"/>
        <w:ind w:right="227"/>
        <w:jc w:val="both"/>
        <w:rPr>
          <w:rFonts w:ascii="Arial" w:hAnsi="Arial" w:cs="Arial"/>
          <w:sz w:val="20"/>
          <w:szCs w:val="20"/>
        </w:rPr>
      </w:pPr>
      <w:bookmarkStart w:id="1" w:name="_Hlk197087024"/>
      <w:r w:rsidRPr="0085163E">
        <w:rPr>
          <w:rFonts w:ascii="Arial" w:hAnsi="Arial" w:cs="Arial"/>
          <w:sz w:val="20"/>
          <w:szCs w:val="20"/>
        </w:rPr>
        <w:t xml:space="preserve">The main updates in </w:t>
      </w:r>
      <w:r w:rsidR="008A031F" w:rsidRPr="0085163E">
        <w:rPr>
          <w:rFonts w:ascii="Arial" w:hAnsi="Arial" w:cs="Arial"/>
          <w:sz w:val="20"/>
          <w:szCs w:val="20"/>
        </w:rPr>
        <w:t>this month’s</w:t>
      </w:r>
      <w:r w:rsidRPr="0085163E">
        <w:rPr>
          <w:rFonts w:ascii="Arial" w:hAnsi="Arial" w:cs="Arial"/>
          <w:sz w:val="20"/>
          <w:szCs w:val="20"/>
        </w:rPr>
        <w:t xml:space="preserve"> Economic Profile relate to the release of data on </w:t>
      </w:r>
      <w:r w:rsidR="00FC66D7" w:rsidRPr="0085163E">
        <w:rPr>
          <w:rFonts w:ascii="Arial" w:hAnsi="Arial" w:cs="Arial"/>
          <w:sz w:val="20"/>
          <w:szCs w:val="20"/>
        </w:rPr>
        <w:t xml:space="preserve">the </w:t>
      </w:r>
      <w:r w:rsidR="00962ED3" w:rsidRPr="0085163E">
        <w:rPr>
          <w:rFonts w:ascii="Arial" w:hAnsi="Arial" w:cs="Arial"/>
          <w:sz w:val="20"/>
          <w:szCs w:val="20"/>
        </w:rPr>
        <w:t>labour market</w:t>
      </w:r>
      <w:r w:rsidR="005315CB" w:rsidRPr="0085163E">
        <w:rPr>
          <w:rFonts w:ascii="Arial" w:hAnsi="Arial" w:cs="Arial"/>
          <w:sz w:val="20"/>
          <w:szCs w:val="20"/>
        </w:rPr>
        <w:t>,</w:t>
      </w:r>
      <w:r w:rsidR="00962ED3" w:rsidRPr="0085163E">
        <w:rPr>
          <w:rFonts w:ascii="Arial" w:hAnsi="Arial" w:cs="Arial"/>
          <w:sz w:val="20"/>
          <w:szCs w:val="20"/>
        </w:rPr>
        <w:t xml:space="preserve"> the </w:t>
      </w:r>
      <w:r w:rsidR="00FC66D7" w:rsidRPr="0085163E">
        <w:rPr>
          <w:rFonts w:ascii="Arial" w:hAnsi="Arial" w:cs="Arial"/>
          <w:sz w:val="20"/>
          <w:szCs w:val="20"/>
        </w:rPr>
        <w:t xml:space="preserve">consumer price index </w:t>
      </w:r>
      <w:r w:rsidR="007E51E7" w:rsidRPr="0085163E">
        <w:rPr>
          <w:rFonts w:ascii="Arial" w:hAnsi="Arial" w:cs="Arial"/>
          <w:sz w:val="20"/>
          <w:szCs w:val="20"/>
        </w:rPr>
        <w:t>(CPI)</w:t>
      </w:r>
      <w:r w:rsidR="00CD5C15" w:rsidRPr="0085163E">
        <w:rPr>
          <w:rFonts w:ascii="Arial" w:hAnsi="Arial" w:cs="Arial"/>
          <w:sz w:val="20"/>
          <w:szCs w:val="20"/>
        </w:rPr>
        <w:t xml:space="preserve"> for the </w:t>
      </w:r>
      <w:r w:rsidR="008C6EEA" w:rsidRPr="0085163E">
        <w:rPr>
          <w:rFonts w:ascii="Arial" w:hAnsi="Arial" w:cs="Arial"/>
          <w:sz w:val="20"/>
          <w:szCs w:val="20"/>
        </w:rPr>
        <w:t xml:space="preserve">September </w:t>
      </w:r>
      <w:r w:rsidR="00CD5C15" w:rsidRPr="0085163E">
        <w:rPr>
          <w:rFonts w:ascii="Arial" w:hAnsi="Arial" w:cs="Arial"/>
          <w:sz w:val="20"/>
          <w:szCs w:val="20"/>
        </w:rPr>
        <w:t>quarter 2025</w:t>
      </w:r>
      <w:r w:rsidR="00AD010A" w:rsidRPr="0085163E">
        <w:rPr>
          <w:rFonts w:ascii="Arial" w:hAnsi="Arial" w:cs="Arial"/>
          <w:sz w:val="20"/>
          <w:szCs w:val="20"/>
        </w:rPr>
        <w:t xml:space="preserve">, and the Reserve Bank of Australia (RBA) </w:t>
      </w:r>
      <w:r w:rsidR="00E94CA9" w:rsidRPr="0085163E">
        <w:rPr>
          <w:rFonts w:ascii="Arial" w:hAnsi="Arial" w:cs="Arial"/>
          <w:sz w:val="20"/>
          <w:szCs w:val="20"/>
        </w:rPr>
        <w:t xml:space="preserve">Monetary Policy Board’s </w:t>
      </w:r>
      <w:r w:rsidR="000E1392" w:rsidRPr="0085163E">
        <w:rPr>
          <w:rFonts w:ascii="Arial" w:hAnsi="Arial" w:cs="Arial"/>
          <w:sz w:val="20"/>
          <w:szCs w:val="20"/>
        </w:rPr>
        <w:t>decision</w:t>
      </w:r>
      <w:r w:rsidR="00CD5C15" w:rsidRPr="0085163E">
        <w:rPr>
          <w:rFonts w:ascii="Arial" w:hAnsi="Arial" w:cs="Arial"/>
          <w:sz w:val="20"/>
          <w:szCs w:val="20"/>
        </w:rPr>
        <w:t xml:space="preserve"> on </w:t>
      </w:r>
      <w:r w:rsidR="000E1392" w:rsidRPr="0085163E">
        <w:rPr>
          <w:rFonts w:ascii="Arial" w:hAnsi="Arial" w:cs="Arial"/>
          <w:sz w:val="20"/>
          <w:szCs w:val="20"/>
        </w:rPr>
        <w:t>4 November 2025</w:t>
      </w:r>
      <w:r w:rsidR="00CD5C15" w:rsidRPr="0085163E">
        <w:rPr>
          <w:rFonts w:ascii="Arial" w:hAnsi="Arial" w:cs="Arial"/>
          <w:sz w:val="20"/>
          <w:szCs w:val="20"/>
        </w:rPr>
        <w:t>.</w:t>
      </w:r>
    </w:p>
    <w:p w14:paraId="08FC72C9" w14:textId="3784FCEA" w:rsidR="002B2C27" w:rsidRPr="000D27DE" w:rsidRDefault="008E6089" w:rsidP="000D27DE">
      <w:pPr>
        <w:spacing w:after="120"/>
        <w:ind w:right="227"/>
        <w:jc w:val="both"/>
        <w:rPr>
          <w:rFonts w:asciiTheme="majorHAnsi" w:eastAsiaTheme="majorEastAsia" w:hAnsiTheme="majorHAnsi" w:cstheme="majorBidi"/>
          <w:b/>
          <w:bCs/>
          <w:color w:val="00997A"/>
          <w:sz w:val="20"/>
          <w:szCs w:val="20"/>
        </w:rPr>
      </w:pPr>
      <w:r w:rsidRPr="000D27DE">
        <w:rPr>
          <w:rFonts w:asciiTheme="majorHAnsi" w:eastAsiaTheme="majorEastAsia" w:hAnsiTheme="majorHAnsi" w:cstheme="majorBidi"/>
          <w:b/>
          <w:bCs/>
          <w:color w:val="00997A"/>
          <w:sz w:val="20"/>
          <w:szCs w:val="20"/>
        </w:rPr>
        <w:t>Labour market</w:t>
      </w:r>
    </w:p>
    <w:p w14:paraId="6E3B583C" w14:textId="0306779C" w:rsidR="00B8673B" w:rsidRPr="0085163E" w:rsidRDefault="00571840" w:rsidP="008E6089">
      <w:pPr>
        <w:spacing w:after="120"/>
        <w:ind w:right="227"/>
        <w:jc w:val="both"/>
        <w:rPr>
          <w:rFonts w:ascii="Arial" w:hAnsi="Arial" w:cs="Arial"/>
          <w:sz w:val="20"/>
          <w:szCs w:val="20"/>
        </w:rPr>
      </w:pPr>
      <w:r w:rsidRPr="0085163E">
        <w:rPr>
          <w:rFonts w:ascii="Arial" w:hAnsi="Arial" w:cs="Arial"/>
          <w:sz w:val="20"/>
          <w:szCs w:val="20"/>
        </w:rPr>
        <w:t>T</w:t>
      </w:r>
      <w:r w:rsidR="00D56A43" w:rsidRPr="0085163E">
        <w:rPr>
          <w:rFonts w:ascii="Arial" w:hAnsi="Arial" w:cs="Arial"/>
          <w:sz w:val="20"/>
          <w:szCs w:val="20"/>
        </w:rPr>
        <w:t xml:space="preserve">he balance of data over the past </w:t>
      </w:r>
      <w:r w:rsidR="00DE051E" w:rsidRPr="0085163E">
        <w:rPr>
          <w:rFonts w:ascii="Arial" w:hAnsi="Arial" w:cs="Arial"/>
          <w:sz w:val="20"/>
          <w:szCs w:val="20"/>
        </w:rPr>
        <w:t>few months</w:t>
      </w:r>
      <w:r w:rsidR="00D56A43" w:rsidRPr="0085163E">
        <w:rPr>
          <w:rFonts w:ascii="Arial" w:hAnsi="Arial" w:cs="Arial"/>
          <w:sz w:val="20"/>
          <w:szCs w:val="20"/>
        </w:rPr>
        <w:t xml:space="preserve"> </w:t>
      </w:r>
      <w:r w:rsidR="00DE051E" w:rsidRPr="0085163E">
        <w:rPr>
          <w:rFonts w:ascii="Arial" w:hAnsi="Arial" w:cs="Arial"/>
          <w:sz w:val="20"/>
          <w:szCs w:val="20"/>
        </w:rPr>
        <w:t>indicates</w:t>
      </w:r>
      <w:r w:rsidR="00D56A43" w:rsidRPr="0085163E">
        <w:rPr>
          <w:rFonts w:ascii="Arial" w:hAnsi="Arial" w:cs="Arial"/>
          <w:sz w:val="20"/>
          <w:szCs w:val="20"/>
        </w:rPr>
        <w:t xml:space="preserve"> that </w:t>
      </w:r>
      <w:r w:rsidR="00DC219D" w:rsidRPr="0085163E">
        <w:rPr>
          <w:rFonts w:ascii="Arial" w:hAnsi="Arial" w:cs="Arial"/>
          <w:sz w:val="20"/>
          <w:szCs w:val="20"/>
        </w:rPr>
        <w:t xml:space="preserve">conditions </w:t>
      </w:r>
      <w:r w:rsidR="00E74C6F" w:rsidRPr="0085163E">
        <w:rPr>
          <w:rFonts w:ascii="Arial" w:hAnsi="Arial" w:cs="Arial"/>
          <w:sz w:val="20"/>
          <w:szCs w:val="20"/>
        </w:rPr>
        <w:t xml:space="preserve">are cooling </w:t>
      </w:r>
      <w:r w:rsidR="00DC219D" w:rsidRPr="0085163E">
        <w:rPr>
          <w:rFonts w:ascii="Arial" w:hAnsi="Arial" w:cs="Arial"/>
          <w:sz w:val="20"/>
          <w:szCs w:val="20"/>
        </w:rPr>
        <w:t xml:space="preserve">in </w:t>
      </w:r>
      <w:r w:rsidR="00D56A43" w:rsidRPr="0085163E">
        <w:rPr>
          <w:rFonts w:ascii="Arial" w:hAnsi="Arial" w:cs="Arial"/>
          <w:sz w:val="20"/>
          <w:szCs w:val="20"/>
        </w:rPr>
        <w:t xml:space="preserve">Western Australia’s labour market. </w:t>
      </w:r>
      <w:r w:rsidR="004E4ACA" w:rsidRPr="0085163E">
        <w:rPr>
          <w:rFonts w:ascii="Arial" w:hAnsi="Arial" w:cs="Arial"/>
          <w:sz w:val="20"/>
          <w:szCs w:val="20"/>
        </w:rPr>
        <w:t xml:space="preserve">Total employment </w:t>
      </w:r>
      <w:r w:rsidR="00806E7D" w:rsidRPr="0085163E">
        <w:rPr>
          <w:rFonts w:ascii="Arial" w:hAnsi="Arial" w:cs="Arial"/>
          <w:sz w:val="20"/>
          <w:szCs w:val="20"/>
        </w:rPr>
        <w:t xml:space="preserve">in </w:t>
      </w:r>
      <w:r w:rsidR="00283B40" w:rsidRPr="0085163E">
        <w:rPr>
          <w:rFonts w:ascii="Arial" w:hAnsi="Arial" w:cs="Arial"/>
          <w:sz w:val="20"/>
          <w:szCs w:val="20"/>
        </w:rPr>
        <w:t xml:space="preserve">Western Australia in </w:t>
      </w:r>
      <w:r w:rsidR="00806E7D" w:rsidRPr="0085163E">
        <w:rPr>
          <w:rFonts w:ascii="Arial" w:hAnsi="Arial" w:cs="Arial"/>
          <w:sz w:val="20"/>
          <w:szCs w:val="20"/>
        </w:rPr>
        <w:t>September 2025 was around the same level as it was in December 2024</w:t>
      </w:r>
      <w:r w:rsidR="009A5E9A" w:rsidRPr="0085163E">
        <w:rPr>
          <w:rFonts w:ascii="Arial" w:hAnsi="Arial" w:cs="Arial"/>
          <w:sz w:val="20"/>
          <w:szCs w:val="20"/>
        </w:rPr>
        <w:t>, although the share of full</w:t>
      </w:r>
      <w:r w:rsidR="009A5E9A" w:rsidRPr="0085163E">
        <w:rPr>
          <w:rFonts w:ascii="Arial" w:hAnsi="Arial" w:cs="Arial"/>
          <w:sz w:val="20"/>
          <w:szCs w:val="20"/>
        </w:rPr>
        <w:noBreakHyphen/>
        <w:t xml:space="preserve">time employment has increased slightly, contributing to </w:t>
      </w:r>
      <w:r w:rsidR="000305DE" w:rsidRPr="0085163E">
        <w:rPr>
          <w:rFonts w:ascii="Arial" w:hAnsi="Arial" w:cs="Arial"/>
          <w:sz w:val="20"/>
          <w:szCs w:val="20"/>
        </w:rPr>
        <w:t xml:space="preserve">growth in total hours worked across the </w:t>
      </w:r>
      <w:r w:rsidR="000D2CE3" w:rsidRPr="0085163E">
        <w:rPr>
          <w:rFonts w:ascii="Arial" w:hAnsi="Arial" w:cs="Arial"/>
          <w:sz w:val="20"/>
          <w:szCs w:val="20"/>
        </w:rPr>
        <w:t xml:space="preserve">labour force. There was </w:t>
      </w:r>
      <w:r w:rsidR="00283B40" w:rsidRPr="0085163E">
        <w:rPr>
          <w:rFonts w:ascii="Arial" w:hAnsi="Arial" w:cs="Arial"/>
          <w:sz w:val="20"/>
          <w:szCs w:val="20"/>
        </w:rPr>
        <w:t xml:space="preserve">also a jump in </w:t>
      </w:r>
      <w:r w:rsidR="00DF0757" w:rsidRPr="0085163E">
        <w:rPr>
          <w:rFonts w:ascii="Arial" w:hAnsi="Arial" w:cs="Arial"/>
          <w:sz w:val="20"/>
          <w:szCs w:val="20"/>
        </w:rPr>
        <w:t xml:space="preserve">September 2025 in </w:t>
      </w:r>
      <w:r w:rsidR="004A4AFE" w:rsidRPr="0085163E">
        <w:rPr>
          <w:rFonts w:ascii="Arial" w:hAnsi="Arial" w:cs="Arial"/>
          <w:sz w:val="20"/>
          <w:szCs w:val="20"/>
        </w:rPr>
        <w:t>both</w:t>
      </w:r>
      <w:r w:rsidR="00DF0757" w:rsidRPr="0085163E">
        <w:rPr>
          <w:rFonts w:ascii="Arial" w:hAnsi="Arial" w:cs="Arial"/>
          <w:sz w:val="20"/>
          <w:szCs w:val="20"/>
        </w:rPr>
        <w:t xml:space="preserve"> Western Australia’s</w:t>
      </w:r>
      <w:r w:rsidR="004A4AFE" w:rsidRPr="0085163E">
        <w:rPr>
          <w:rFonts w:ascii="Arial" w:hAnsi="Arial" w:cs="Arial"/>
          <w:sz w:val="20"/>
          <w:szCs w:val="20"/>
        </w:rPr>
        <w:t xml:space="preserve"> unemployment </w:t>
      </w:r>
      <w:r w:rsidR="00DF0757" w:rsidRPr="0085163E">
        <w:rPr>
          <w:rFonts w:ascii="Arial" w:hAnsi="Arial" w:cs="Arial"/>
          <w:sz w:val="20"/>
          <w:szCs w:val="20"/>
        </w:rPr>
        <w:t xml:space="preserve">rate (from 3.9 per cent in August 2025 to 4.3 per cent) and </w:t>
      </w:r>
      <w:r w:rsidR="00CC0140" w:rsidRPr="0085163E">
        <w:rPr>
          <w:rFonts w:ascii="Arial" w:hAnsi="Arial" w:cs="Arial"/>
          <w:sz w:val="20"/>
          <w:szCs w:val="20"/>
        </w:rPr>
        <w:t>underemployment rate (from 4.7 per cent to 5.7 per cent).</w:t>
      </w:r>
      <w:r w:rsidRPr="0085163E">
        <w:rPr>
          <w:rFonts w:ascii="Arial" w:hAnsi="Arial" w:cs="Arial"/>
          <w:sz w:val="20"/>
          <w:szCs w:val="20"/>
        </w:rPr>
        <w:t xml:space="preserve"> While this </w:t>
      </w:r>
      <w:r w:rsidR="00FC4154" w:rsidRPr="0085163E">
        <w:rPr>
          <w:rFonts w:ascii="Arial" w:hAnsi="Arial" w:cs="Arial"/>
          <w:sz w:val="20"/>
          <w:szCs w:val="20"/>
        </w:rPr>
        <w:t>movement</w:t>
      </w:r>
      <w:r w:rsidRPr="0085163E">
        <w:rPr>
          <w:rFonts w:ascii="Arial" w:hAnsi="Arial" w:cs="Arial"/>
          <w:sz w:val="20"/>
          <w:szCs w:val="20"/>
        </w:rPr>
        <w:t xml:space="preserve"> is more an example</w:t>
      </w:r>
      <w:r w:rsidR="00FC4154" w:rsidRPr="0085163E">
        <w:rPr>
          <w:rFonts w:ascii="Arial" w:hAnsi="Arial" w:cs="Arial"/>
          <w:sz w:val="20"/>
          <w:szCs w:val="20"/>
        </w:rPr>
        <w:t xml:space="preserve"> of volatility in the </w:t>
      </w:r>
      <w:r w:rsidRPr="0085163E">
        <w:rPr>
          <w:rFonts w:ascii="Arial" w:hAnsi="Arial" w:cs="Arial"/>
          <w:sz w:val="20"/>
          <w:szCs w:val="20"/>
        </w:rPr>
        <w:t>monthly labour force data</w:t>
      </w:r>
      <w:r w:rsidR="00FC4154" w:rsidRPr="0085163E">
        <w:rPr>
          <w:rFonts w:ascii="Arial" w:hAnsi="Arial" w:cs="Arial"/>
          <w:sz w:val="20"/>
          <w:szCs w:val="20"/>
        </w:rPr>
        <w:t xml:space="preserve">, the </w:t>
      </w:r>
      <w:r w:rsidR="00BC30C8" w:rsidRPr="0085163E">
        <w:rPr>
          <w:rFonts w:ascii="Arial" w:hAnsi="Arial" w:cs="Arial"/>
          <w:sz w:val="20"/>
          <w:szCs w:val="20"/>
        </w:rPr>
        <w:t xml:space="preserve">trend </w:t>
      </w:r>
      <w:r w:rsidR="00FD35E1" w:rsidRPr="0085163E">
        <w:rPr>
          <w:rFonts w:ascii="Arial" w:hAnsi="Arial" w:cs="Arial"/>
          <w:sz w:val="20"/>
          <w:szCs w:val="20"/>
        </w:rPr>
        <w:t>suggests</w:t>
      </w:r>
      <w:r w:rsidR="00BC30C8" w:rsidRPr="0085163E">
        <w:rPr>
          <w:rFonts w:ascii="Arial" w:hAnsi="Arial" w:cs="Arial"/>
          <w:sz w:val="20"/>
          <w:szCs w:val="20"/>
        </w:rPr>
        <w:t xml:space="preserve"> </w:t>
      </w:r>
      <w:r w:rsidR="00FD35E1" w:rsidRPr="0085163E">
        <w:rPr>
          <w:rFonts w:ascii="Arial" w:hAnsi="Arial" w:cs="Arial"/>
          <w:sz w:val="20"/>
          <w:szCs w:val="20"/>
        </w:rPr>
        <w:t xml:space="preserve">the economy is not generating employment at the same rate </w:t>
      </w:r>
      <w:r w:rsidR="00EB0EE0" w:rsidRPr="0085163E">
        <w:rPr>
          <w:rFonts w:ascii="Arial" w:hAnsi="Arial" w:cs="Arial"/>
          <w:sz w:val="20"/>
          <w:szCs w:val="20"/>
        </w:rPr>
        <w:t>as it has been</w:t>
      </w:r>
      <w:r w:rsidR="00B319CD" w:rsidRPr="0085163E">
        <w:rPr>
          <w:rFonts w:ascii="Arial" w:hAnsi="Arial" w:cs="Arial"/>
          <w:sz w:val="20"/>
          <w:szCs w:val="20"/>
        </w:rPr>
        <w:t xml:space="preserve">, and now not at a rate to </w:t>
      </w:r>
      <w:r w:rsidR="0024769F" w:rsidRPr="0085163E">
        <w:rPr>
          <w:rFonts w:ascii="Arial" w:hAnsi="Arial" w:cs="Arial"/>
          <w:sz w:val="20"/>
          <w:szCs w:val="20"/>
        </w:rPr>
        <w:t>prevent increases in</w:t>
      </w:r>
      <w:r w:rsidR="00B319CD" w:rsidRPr="0085163E">
        <w:rPr>
          <w:rFonts w:ascii="Arial" w:hAnsi="Arial" w:cs="Arial"/>
          <w:sz w:val="20"/>
          <w:szCs w:val="20"/>
        </w:rPr>
        <w:t xml:space="preserve"> the unemployment and underemployment rates</w:t>
      </w:r>
      <w:r w:rsidR="0024769F" w:rsidRPr="0085163E">
        <w:rPr>
          <w:rFonts w:ascii="Arial" w:hAnsi="Arial" w:cs="Arial"/>
          <w:sz w:val="20"/>
          <w:szCs w:val="20"/>
        </w:rPr>
        <w:t xml:space="preserve">. </w:t>
      </w:r>
      <w:r w:rsidR="00C63FCA" w:rsidRPr="0085163E">
        <w:rPr>
          <w:rFonts w:ascii="Arial" w:hAnsi="Arial" w:cs="Arial"/>
          <w:sz w:val="20"/>
          <w:szCs w:val="20"/>
        </w:rPr>
        <w:t xml:space="preserve">That said, these rates </w:t>
      </w:r>
      <w:r w:rsidR="00B83361" w:rsidRPr="0085163E">
        <w:rPr>
          <w:rFonts w:ascii="Arial" w:hAnsi="Arial" w:cs="Arial"/>
          <w:sz w:val="20"/>
          <w:szCs w:val="20"/>
        </w:rPr>
        <w:t xml:space="preserve">have not increased significantly and are still at a </w:t>
      </w:r>
      <w:r w:rsidR="00D822C3" w:rsidRPr="0085163E">
        <w:rPr>
          <w:rFonts w:ascii="Arial" w:hAnsi="Arial" w:cs="Arial"/>
          <w:sz w:val="20"/>
          <w:szCs w:val="20"/>
        </w:rPr>
        <w:t>relatively low level</w:t>
      </w:r>
      <w:r w:rsidR="00774B63" w:rsidRPr="0085163E">
        <w:rPr>
          <w:rFonts w:ascii="Arial" w:hAnsi="Arial" w:cs="Arial"/>
          <w:sz w:val="20"/>
          <w:szCs w:val="20"/>
        </w:rPr>
        <w:t>.</w:t>
      </w:r>
      <w:r w:rsidR="00870015" w:rsidRPr="0085163E">
        <w:rPr>
          <w:rFonts w:ascii="Arial" w:hAnsi="Arial" w:cs="Arial"/>
          <w:sz w:val="20"/>
          <w:szCs w:val="20"/>
        </w:rPr>
        <w:t xml:space="preserve"> </w:t>
      </w:r>
      <w:r w:rsidR="00774B63" w:rsidRPr="0085163E">
        <w:rPr>
          <w:rFonts w:ascii="Arial" w:hAnsi="Arial" w:cs="Arial"/>
          <w:sz w:val="20"/>
          <w:szCs w:val="20"/>
        </w:rPr>
        <w:t>T</w:t>
      </w:r>
      <w:r w:rsidR="00870015" w:rsidRPr="0085163E">
        <w:rPr>
          <w:rFonts w:ascii="Arial" w:hAnsi="Arial" w:cs="Arial"/>
          <w:sz w:val="20"/>
          <w:szCs w:val="20"/>
        </w:rPr>
        <w:t>he outlook for employment</w:t>
      </w:r>
      <w:r w:rsidR="00774B63" w:rsidRPr="0085163E">
        <w:rPr>
          <w:rFonts w:ascii="Arial" w:hAnsi="Arial" w:cs="Arial"/>
          <w:sz w:val="20"/>
          <w:szCs w:val="20"/>
        </w:rPr>
        <w:t>, as seen in job vacancies</w:t>
      </w:r>
      <w:r w:rsidR="00111C95" w:rsidRPr="0085163E">
        <w:rPr>
          <w:rFonts w:ascii="Arial" w:hAnsi="Arial" w:cs="Arial"/>
          <w:sz w:val="20"/>
          <w:szCs w:val="20"/>
        </w:rPr>
        <w:t>, appears to still be favourable</w:t>
      </w:r>
      <w:r w:rsidR="00087373" w:rsidRPr="0085163E">
        <w:rPr>
          <w:rFonts w:ascii="Arial" w:hAnsi="Arial" w:cs="Arial"/>
          <w:sz w:val="20"/>
          <w:szCs w:val="20"/>
        </w:rPr>
        <w:t>.</w:t>
      </w:r>
    </w:p>
    <w:p w14:paraId="01152BC6" w14:textId="4C9DD620" w:rsidR="006F6CD1" w:rsidRPr="0085163E" w:rsidRDefault="00362562" w:rsidP="008E6089">
      <w:pPr>
        <w:spacing w:after="120"/>
        <w:ind w:right="227"/>
        <w:jc w:val="both"/>
        <w:rPr>
          <w:rFonts w:ascii="Arial" w:hAnsi="Arial" w:cs="Arial"/>
          <w:sz w:val="20"/>
          <w:szCs w:val="20"/>
        </w:rPr>
      </w:pPr>
      <w:r w:rsidRPr="0085163E">
        <w:rPr>
          <w:rFonts w:ascii="Arial" w:hAnsi="Arial" w:cs="Arial"/>
          <w:sz w:val="20"/>
          <w:szCs w:val="20"/>
        </w:rPr>
        <w:t xml:space="preserve">At a national level, the trends in the labour market are similar. </w:t>
      </w:r>
      <w:r w:rsidR="00B40B64" w:rsidRPr="0085163E">
        <w:rPr>
          <w:rFonts w:ascii="Arial" w:hAnsi="Arial" w:cs="Arial"/>
          <w:sz w:val="20"/>
          <w:szCs w:val="20"/>
        </w:rPr>
        <w:t xml:space="preserve">Australia’s unemployment rate in September 2025 was </w:t>
      </w:r>
      <w:r w:rsidR="00314713" w:rsidRPr="0085163E">
        <w:rPr>
          <w:rFonts w:ascii="Arial" w:hAnsi="Arial" w:cs="Arial"/>
          <w:sz w:val="20"/>
          <w:szCs w:val="20"/>
        </w:rPr>
        <w:t>4.5 per cent and there was little variation across the States and Territories</w:t>
      </w:r>
      <w:r w:rsidR="00EB7D12" w:rsidRPr="0085163E">
        <w:rPr>
          <w:rFonts w:ascii="Arial" w:hAnsi="Arial" w:cs="Arial"/>
          <w:sz w:val="20"/>
          <w:szCs w:val="20"/>
        </w:rPr>
        <w:t>, from 4.2 per cent in Queensland and the two Territories to 4.7 per cent in Victoria.</w:t>
      </w:r>
    </w:p>
    <w:p w14:paraId="166F8A6F" w14:textId="2B8EB3E2" w:rsidR="00233755" w:rsidRPr="000D27DE" w:rsidRDefault="008E6089" w:rsidP="380E47D5">
      <w:pPr>
        <w:spacing w:after="120"/>
        <w:ind w:right="227"/>
        <w:jc w:val="both"/>
        <w:rPr>
          <w:rFonts w:asciiTheme="majorHAnsi" w:eastAsiaTheme="majorEastAsia" w:hAnsiTheme="majorHAnsi" w:cstheme="majorBidi"/>
          <w:b/>
          <w:bCs/>
          <w:color w:val="00997A"/>
          <w:sz w:val="20"/>
          <w:szCs w:val="20"/>
        </w:rPr>
      </w:pPr>
      <w:r w:rsidRPr="000D27DE">
        <w:rPr>
          <w:rFonts w:asciiTheme="majorHAnsi" w:eastAsiaTheme="majorEastAsia" w:hAnsiTheme="majorHAnsi" w:cstheme="majorBidi"/>
          <w:b/>
          <w:bCs/>
          <w:color w:val="00997A"/>
          <w:sz w:val="20"/>
          <w:szCs w:val="20"/>
        </w:rPr>
        <w:t>Consumer price index</w:t>
      </w:r>
      <w:r w:rsidR="00045FED" w:rsidRPr="000D27DE">
        <w:rPr>
          <w:rFonts w:asciiTheme="majorHAnsi" w:eastAsiaTheme="majorEastAsia" w:hAnsiTheme="majorHAnsi" w:cstheme="majorBidi"/>
          <w:b/>
          <w:bCs/>
          <w:color w:val="00997A"/>
          <w:sz w:val="20"/>
          <w:szCs w:val="20"/>
        </w:rPr>
        <w:t xml:space="preserve"> and monetary policy</w:t>
      </w:r>
    </w:p>
    <w:p w14:paraId="59B9C287" w14:textId="42698ACC" w:rsidR="005B2F5D" w:rsidRPr="0085163E" w:rsidRDefault="009E0B2C" w:rsidP="00BF4845">
      <w:pPr>
        <w:spacing w:after="120"/>
        <w:ind w:right="227"/>
        <w:jc w:val="both"/>
        <w:rPr>
          <w:rFonts w:ascii="Arial" w:hAnsi="Arial" w:cs="Arial"/>
          <w:sz w:val="20"/>
          <w:szCs w:val="20"/>
        </w:rPr>
      </w:pPr>
      <w:r w:rsidRPr="0085163E">
        <w:rPr>
          <w:rFonts w:ascii="Arial" w:hAnsi="Arial" w:cs="Arial"/>
          <w:sz w:val="20"/>
          <w:szCs w:val="20"/>
        </w:rPr>
        <w:t xml:space="preserve">The implementation and then exhaustion of electricity rebates have </w:t>
      </w:r>
      <w:r w:rsidR="007E51E7" w:rsidRPr="0085163E">
        <w:rPr>
          <w:rFonts w:ascii="Arial" w:hAnsi="Arial" w:cs="Arial"/>
          <w:sz w:val="20"/>
          <w:szCs w:val="20"/>
        </w:rPr>
        <w:t xml:space="preserve">led to </w:t>
      </w:r>
      <w:r w:rsidR="005649DE" w:rsidRPr="0085163E">
        <w:rPr>
          <w:rFonts w:ascii="Arial" w:hAnsi="Arial" w:cs="Arial"/>
          <w:sz w:val="20"/>
          <w:szCs w:val="20"/>
        </w:rPr>
        <w:t xml:space="preserve">some larger than usual </w:t>
      </w:r>
      <w:r w:rsidR="001E3EF8" w:rsidRPr="0085163E">
        <w:rPr>
          <w:rFonts w:ascii="Arial" w:hAnsi="Arial" w:cs="Arial"/>
          <w:sz w:val="20"/>
          <w:szCs w:val="20"/>
        </w:rPr>
        <w:t>changes</w:t>
      </w:r>
      <w:r w:rsidR="007E51E7" w:rsidRPr="0085163E">
        <w:rPr>
          <w:rFonts w:ascii="Arial" w:hAnsi="Arial" w:cs="Arial"/>
          <w:sz w:val="20"/>
          <w:szCs w:val="20"/>
        </w:rPr>
        <w:t xml:space="preserve"> in the </w:t>
      </w:r>
      <w:r w:rsidR="00070A4E" w:rsidRPr="0085163E">
        <w:rPr>
          <w:rFonts w:ascii="Arial" w:hAnsi="Arial" w:cs="Arial"/>
          <w:sz w:val="20"/>
          <w:szCs w:val="20"/>
        </w:rPr>
        <w:t>annual rate of inflation</w:t>
      </w:r>
      <w:r w:rsidR="007E51E7" w:rsidRPr="0085163E">
        <w:rPr>
          <w:rFonts w:ascii="Arial" w:hAnsi="Arial" w:cs="Arial"/>
          <w:sz w:val="20"/>
          <w:szCs w:val="20"/>
        </w:rPr>
        <w:t xml:space="preserve"> </w:t>
      </w:r>
      <w:r w:rsidR="005649DE" w:rsidRPr="0085163E">
        <w:rPr>
          <w:rFonts w:ascii="Arial" w:hAnsi="Arial" w:cs="Arial"/>
          <w:sz w:val="20"/>
          <w:szCs w:val="20"/>
        </w:rPr>
        <w:t xml:space="preserve">over the past few years, with the September quarter 2025 providing another example. </w:t>
      </w:r>
      <w:r w:rsidR="00AA1AB1" w:rsidRPr="0085163E">
        <w:rPr>
          <w:rFonts w:ascii="Arial" w:hAnsi="Arial" w:cs="Arial"/>
          <w:sz w:val="20"/>
          <w:szCs w:val="20"/>
        </w:rPr>
        <w:t xml:space="preserve">The electricity price index for Perth in September 2025 </w:t>
      </w:r>
      <w:r w:rsidR="00811B12" w:rsidRPr="0085163E">
        <w:rPr>
          <w:rFonts w:ascii="Arial" w:hAnsi="Arial" w:cs="Arial"/>
          <w:sz w:val="20"/>
          <w:szCs w:val="20"/>
        </w:rPr>
        <w:t xml:space="preserve">was around 140 per cent higher than September 2024, largely reflecting that </w:t>
      </w:r>
      <w:r w:rsidR="00BF5D3B" w:rsidRPr="0085163E">
        <w:rPr>
          <w:rFonts w:ascii="Arial" w:hAnsi="Arial" w:cs="Arial"/>
          <w:sz w:val="20"/>
          <w:szCs w:val="20"/>
        </w:rPr>
        <w:t>State Government rebate</w:t>
      </w:r>
      <w:r w:rsidR="00E8767E" w:rsidRPr="0085163E">
        <w:rPr>
          <w:rFonts w:ascii="Arial" w:hAnsi="Arial" w:cs="Arial"/>
          <w:sz w:val="20"/>
          <w:szCs w:val="20"/>
        </w:rPr>
        <w:t>s</w:t>
      </w:r>
      <w:r w:rsidR="00BF5D3B" w:rsidRPr="0085163E">
        <w:rPr>
          <w:rFonts w:ascii="Arial" w:hAnsi="Arial" w:cs="Arial"/>
          <w:sz w:val="20"/>
          <w:szCs w:val="20"/>
        </w:rPr>
        <w:t xml:space="preserve"> that </w:t>
      </w:r>
      <w:r w:rsidR="00E8767E" w:rsidRPr="0085163E">
        <w:rPr>
          <w:rFonts w:ascii="Arial" w:hAnsi="Arial" w:cs="Arial"/>
          <w:sz w:val="20"/>
          <w:szCs w:val="20"/>
        </w:rPr>
        <w:t>were</w:t>
      </w:r>
      <w:r w:rsidR="00BF5D3B" w:rsidRPr="0085163E">
        <w:rPr>
          <w:rFonts w:ascii="Arial" w:hAnsi="Arial" w:cs="Arial"/>
          <w:sz w:val="20"/>
          <w:szCs w:val="20"/>
        </w:rPr>
        <w:t xml:space="preserve"> available one year ago</w:t>
      </w:r>
      <w:r w:rsidR="00E8767E" w:rsidRPr="0085163E">
        <w:rPr>
          <w:rFonts w:ascii="Arial" w:hAnsi="Arial" w:cs="Arial"/>
          <w:sz w:val="20"/>
          <w:szCs w:val="20"/>
        </w:rPr>
        <w:t xml:space="preserve"> </w:t>
      </w:r>
      <w:r w:rsidR="00C92297" w:rsidRPr="0085163E">
        <w:rPr>
          <w:rFonts w:ascii="Arial" w:hAnsi="Arial" w:cs="Arial"/>
          <w:sz w:val="20"/>
          <w:szCs w:val="20"/>
        </w:rPr>
        <w:t>and reduced the price of electricity for consumers, were not available in the most recent quarter</w:t>
      </w:r>
      <w:r w:rsidR="00CA70F0" w:rsidRPr="0085163E">
        <w:rPr>
          <w:rFonts w:ascii="Arial" w:hAnsi="Arial" w:cs="Arial"/>
          <w:sz w:val="20"/>
          <w:szCs w:val="20"/>
        </w:rPr>
        <w:t>.</w:t>
      </w:r>
      <w:r w:rsidR="00984E0B" w:rsidRPr="0085163E">
        <w:rPr>
          <w:rFonts w:ascii="Arial" w:hAnsi="Arial" w:cs="Arial"/>
          <w:sz w:val="20"/>
          <w:szCs w:val="20"/>
        </w:rPr>
        <w:t xml:space="preserve"> </w:t>
      </w:r>
      <w:r w:rsidR="00BF4845" w:rsidRPr="0085163E">
        <w:rPr>
          <w:rFonts w:ascii="Arial" w:hAnsi="Arial" w:cs="Arial"/>
          <w:sz w:val="20"/>
          <w:szCs w:val="20"/>
        </w:rPr>
        <w:t>While t</w:t>
      </w:r>
      <w:r w:rsidR="00984E0B" w:rsidRPr="0085163E">
        <w:rPr>
          <w:rFonts w:ascii="Arial" w:hAnsi="Arial" w:cs="Arial"/>
          <w:sz w:val="20"/>
          <w:szCs w:val="20"/>
        </w:rPr>
        <w:t xml:space="preserve">his was a large reason </w:t>
      </w:r>
      <w:r w:rsidR="00FE6163" w:rsidRPr="0085163E">
        <w:rPr>
          <w:rFonts w:ascii="Arial" w:hAnsi="Arial" w:cs="Arial"/>
          <w:sz w:val="20"/>
          <w:szCs w:val="20"/>
        </w:rPr>
        <w:t>for the year</w:t>
      </w:r>
      <w:r w:rsidR="00FE6163" w:rsidRPr="0085163E">
        <w:rPr>
          <w:rFonts w:ascii="Arial" w:hAnsi="Arial" w:cs="Arial"/>
          <w:sz w:val="20"/>
          <w:szCs w:val="20"/>
        </w:rPr>
        <w:noBreakHyphen/>
        <w:t>on</w:t>
      </w:r>
      <w:r w:rsidR="00FE6163" w:rsidRPr="0085163E">
        <w:rPr>
          <w:rFonts w:ascii="Arial" w:hAnsi="Arial" w:cs="Arial"/>
          <w:sz w:val="20"/>
          <w:szCs w:val="20"/>
        </w:rPr>
        <w:noBreakHyphen/>
        <w:t xml:space="preserve">year change in Perth’s CPI increasing from </w:t>
      </w:r>
      <w:r w:rsidR="00676A33" w:rsidRPr="0085163E">
        <w:rPr>
          <w:rFonts w:ascii="Arial" w:hAnsi="Arial" w:cs="Arial"/>
          <w:sz w:val="20"/>
          <w:szCs w:val="20"/>
        </w:rPr>
        <w:t>2.7 per cent in the June quarter 2025 to 4.5 per cent in the September quarter 2025</w:t>
      </w:r>
      <w:r w:rsidR="00BF4845" w:rsidRPr="0085163E">
        <w:rPr>
          <w:rFonts w:ascii="Arial" w:hAnsi="Arial" w:cs="Arial"/>
          <w:sz w:val="20"/>
          <w:szCs w:val="20"/>
        </w:rPr>
        <w:t>, t</w:t>
      </w:r>
      <w:r w:rsidR="0017498D" w:rsidRPr="0085163E">
        <w:rPr>
          <w:rFonts w:ascii="Arial" w:hAnsi="Arial" w:cs="Arial"/>
          <w:sz w:val="20"/>
          <w:szCs w:val="20"/>
        </w:rPr>
        <w:t xml:space="preserve">here have been other factors </w:t>
      </w:r>
      <w:r w:rsidR="00B308CE" w:rsidRPr="0085163E">
        <w:rPr>
          <w:rFonts w:ascii="Arial" w:hAnsi="Arial" w:cs="Arial"/>
          <w:sz w:val="20"/>
          <w:szCs w:val="20"/>
        </w:rPr>
        <w:t>driving Perth</w:t>
      </w:r>
      <w:r w:rsidR="00BD4B59" w:rsidRPr="0085163E">
        <w:rPr>
          <w:rFonts w:ascii="Arial" w:hAnsi="Arial" w:cs="Arial"/>
          <w:sz w:val="20"/>
          <w:szCs w:val="20"/>
        </w:rPr>
        <w:t xml:space="preserve">’s inflation, which remains high relative to the national rate. </w:t>
      </w:r>
      <w:r w:rsidR="007A6A99" w:rsidRPr="0085163E">
        <w:rPr>
          <w:rFonts w:ascii="Arial" w:hAnsi="Arial" w:cs="Arial"/>
          <w:sz w:val="20"/>
          <w:szCs w:val="20"/>
        </w:rPr>
        <w:t>Over the past year, t</w:t>
      </w:r>
      <w:r w:rsidR="0097311B" w:rsidRPr="0085163E">
        <w:rPr>
          <w:rFonts w:ascii="Arial" w:hAnsi="Arial" w:cs="Arial"/>
          <w:sz w:val="20"/>
          <w:szCs w:val="20"/>
        </w:rPr>
        <w:t>he price index for rents i</w:t>
      </w:r>
      <w:r w:rsidR="007A6A99" w:rsidRPr="0085163E">
        <w:rPr>
          <w:rFonts w:ascii="Arial" w:hAnsi="Arial" w:cs="Arial"/>
          <w:sz w:val="20"/>
          <w:szCs w:val="20"/>
        </w:rPr>
        <w:t xml:space="preserve">ncreased 6.4 per cent, </w:t>
      </w:r>
      <w:r w:rsidR="00846030" w:rsidRPr="0085163E">
        <w:rPr>
          <w:rFonts w:ascii="Arial" w:hAnsi="Arial" w:cs="Arial"/>
          <w:sz w:val="20"/>
          <w:szCs w:val="20"/>
        </w:rPr>
        <w:t>and</w:t>
      </w:r>
      <w:r w:rsidR="007A6A99" w:rsidRPr="0085163E">
        <w:rPr>
          <w:rFonts w:ascii="Arial" w:hAnsi="Arial" w:cs="Arial"/>
          <w:sz w:val="20"/>
          <w:szCs w:val="20"/>
        </w:rPr>
        <w:t xml:space="preserve"> there were relatively high increases in the price indexes for </w:t>
      </w:r>
      <w:r w:rsidR="00771511" w:rsidRPr="0085163E">
        <w:rPr>
          <w:rFonts w:ascii="Arial" w:hAnsi="Arial" w:cs="Arial"/>
          <w:sz w:val="20"/>
          <w:szCs w:val="20"/>
        </w:rPr>
        <w:t>education (</w:t>
      </w:r>
      <w:r w:rsidR="00253195" w:rsidRPr="0085163E">
        <w:rPr>
          <w:rFonts w:ascii="Arial" w:hAnsi="Arial" w:cs="Arial"/>
          <w:sz w:val="20"/>
          <w:szCs w:val="20"/>
        </w:rPr>
        <w:t>5.6 per cent) and health (4.5 per cent).</w:t>
      </w:r>
    </w:p>
    <w:p w14:paraId="742C0DAA" w14:textId="3E0CA71B" w:rsidR="005950A9" w:rsidRPr="0085163E" w:rsidRDefault="00990E84" w:rsidP="380E47D5">
      <w:pPr>
        <w:spacing w:after="120"/>
        <w:ind w:right="227"/>
        <w:jc w:val="both"/>
        <w:rPr>
          <w:rFonts w:ascii="Arial" w:hAnsi="Arial" w:cs="Arial"/>
          <w:sz w:val="20"/>
          <w:szCs w:val="20"/>
        </w:rPr>
      </w:pPr>
      <w:r w:rsidRPr="0085163E">
        <w:rPr>
          <w:rFonts w:ascii="Arial" w:hAnsi="Arial" w:cs="Arial"/>
          <w:sz w:val="20"/>
          <w:szCs w:val="20"/>
        </w:rPr>
        <w:t>At a national level, the year</w:t>
      </w:r>
      <w:r w:rsidRPr="0085163E">
        <w:rPr>
          <w:rFonts w:ascii="Arial" w:hAnsi="Arial" w:cs="Arial"/>
          <w:sz w:val="20"/>
          <w:szCs w:val="20"/>
        </w:rPr>
        <w:noBreakHyphen/>
        <w:t>on</w:t>
      </w:r>
      <w:r w:rsidRPr="0085163E">
        <w:rPr>
          <w:rFonts w:ascii="Arial" w:hAnsi="Arial" w:cs="Arial"/>
          <w:sz w:val="20"/>
          <w:szCs w:val="20"/>
        </w:rPr>
        <w:noBreakHyphen/>
        <w:t xml:space="preserve">year change in Australia’s CPI </w:t>
      </w:r>
      <w:r w:rsidR="00EB00C1" w:rsidRPr="0085163E">
        <w:rPr>
          <w:rFonts w:ascii="Arial" w:hAnsi="Arial" w:cs="Arial"/>
          <w:sz w:val="20"/>
          <w:szCs w:val="20"/>
        </w:rPr>
        <w:t xml:space="preserve">in the September quarter 2025 </w:t>
      </w:r>
      <w:r w:rsidRPr="0085163E">
        <w:rPr>
          <w:rFonts w:ascii="Arial" w:hAnsi="Arial" w:cs="Arial"/>
          <w:sz w:val="20"/>
          <w:szCs w:val="20"/>
        </w:rPr>
        <w:t xml:space="preserve">was </w:t>
      </w:r>
      <w:r w:rsidR="00EB00C1" w:rsidRPr="0085163E">
        <w:rPr>
          <w:rFonts w:ascii="Arial" w:hAnsi="Arial" w:cs="Arial"/>
          <w:sz w:val="20"/>
          <w:szCs w:val="20"/>
        </w:rPr>
        <w:t>3.2 per cent</w:t>
      </w:r>
      <w:r w:rsidR="001F7153" w:rsidRPr="0085163E">
        <w:rPr>
          <w:rFonts w:ascii="Arial" w:hAnsi="Arial" w:cs="Arial"/>
          <w:sz w:val="20"/>
          <w:szCs w:val="20"/>
        </w:rPr>
        <w:t xml:space="preserve">, up from 2.1 per cent in the June quarter 2025. The </w:t>
      </w:r>
      <w:r w:rsidR="007839A8" w:rsidRPr="0085163E">
        <w:rPr>
          <w:rFonts w:ascii="Arial" w:hAnsi="Arial" w:cs="Arial"/>
          <w:sz w:val="20"/>
          <w:szCs w:val="20"/>
        </w:rPr>
        <w:t xml:space="preserve">annual movement in the </w:t>
      </w:r>
      <w:r w:rsidR="001F7153" w:rsidRPr="0085163E">
        <w:rPr>
          <w:rFonts w:ascii="Arial" w:hAnsi="Arial" w:cs="Arial"/>
          <w:sz w:val="20"/>
          <w:szCs w:val="20"/>
        </w:rPr>
        <w:t>trimmed mean measure</w:t>
      </w:r>
      <w:r w:rsidR="00D0464D" w:rsidRPr="0085163E">
        <w:rPr>
          <w:rFonts w:ascii="Arial" w:hAnsi="Arial" w:cs="Arial"/>
          <w:sz w:val="20"/>
          <w:szCs w:val="20"/>
        </w:rPr>
        <w:t xml:space="preserve"> of inflation</w:t>
      </w:r>
      <w:r w:rsidR="00CC085E" w:rsidRPr="0085163E">
        <w:rPr>
          <w:rFonts w:ascii="Arial" w:hAnsi="Arial" w:cs="Arial"/>
          <w:sz w:val="20"/>
          <w:szCs w:val="20"/>
        </w:rPr>
        <w:t>, which excludes the items with the most volatile price movements</w:t>
      </w:r>
      <w:r w:rsidR="00D0464D" w:rsidRPr="0085163E">
        <w:rPr>
          <w:rFonts w:ascii="Arial" w:hAnsi="Arial" w:cs="Arial"/>
          <w:sz w:val="20"/>
          <w:szCs w:val="20"/>
        </w:rPr>
        <w:t xml:space="preserve">, was 3.0 per cent, up from </w:t>
      </w:r>
      <w:r w:rsidR="007839A8" w:rsidRPr="0085163E">
        <w:rPr>
          <w:rFonts w:ascii="Arial" w:hAnsi="Arial" w:cs="Arial"/>
          <w:sz w:val="20"/>
          <w:szCs w:val="20"/>
        </w:rPr>
        <w:t>2.7 per cent from the previous quarter.</w:t>
      </w:r>
      <w:r w:rsidR="005950A9" w:rsidRPr="0085163E">
        <w:rPr>
          <w:rFonts w:ascii="Arial" w:hAnsi="Arial" w:cs="Arial"/>
          <w:sz w:val="20"/>
          <w:szCs w:val="20"/>
        </w:rPr>
        <w:t xml:space="preserve"> </w:t>
      </w:r>
      <w:r w:rsidR="00846030" w:rsidRPr="0085163E">
        <w:rPr>
          <w:rFonts w:ascii="Arial" w:hAnsi="Arial" w:cs="Arial"/>
          <w:sz w:val="20"/>
          <w:szCs w:val="20"/>
        </w:rPr>
        <w:t xml:space="preserve">With underlying inflation </w:t>
      </w:r>
      <w:r w:rsidR="007E1321" w:rsidRPr="0085163E">
        <w:rPr>
          <w:rFonts w:ascii="Arial" w:hAnsi="Arial" w:cs="Arial"/>
          <w:sz w:val="20"/>
          <w:szCs w:val="20"/>
        </w:rPr>
        <w:t>at the top of the RBA’s target band, the Monetary Policy Board decided to keep interest rates on hold at its 3</w:t>
      </w:r>
      <w:r w:rsidR="007E1321" w:rsidRPr="0085163E">
        <w:rPr>
          <w:rFonts w:ascii="Arial" w:hAnsi="Arial" w:cs="Arial"/>
          <w:sz w:val="20"/>
          <w:szCs w:val="20"/>
        </w:rPr>
        <w:noBreakHyphen/>
        <w:t>4 November meeting, noting</w:t>
      </w:r>
      <w:r w:rsidR="00414AEB" w:rsidRPr="0085163E">
        <w:rPr>
          <w:rFonts w:ascii="Arial" w:hAnsi="Arial" w:cs="Arial"/>
          <w:sz w:val="20"/>
          <w:szCs w:val="20"/>
        </w:rPr>
        <w:t xml:space="preserve"> that while </w:t>
      </w:r>
      <w:r w:rsidR="00472CA1" w:rsidRPr="0085163E">
        <w:rPr>
          <w:rFonts w:ascii="Arial" w:hAnsi="Arial" w:cs="Arial"/>
          <w:sz w:val="20"/>
          <w:szCs w:val="20"/>
        </w:rPr>
        <w:t xml:space="preserve">some of the increase in underlying inflation in the September quarter was due to temporary factors, </w:t>
      </w:r>
      <w:r w:rsidR="00A249DF" w:rsidRPr="0085163E">
        <w:rPr>
          <w:rFonts w:ascii="Arial" w:hAnsi="Arial" w:cs="Arial"/>
          <w:sz w:val="20"/>
          <w:szCs w:val="20"/>
        </w:rPr>
        <w:t>there is evidence that inflation is more persistent than previously expected.</w:t>
      </w:r>
    </w:p>
    <w:bookmarkEnd w:id="1"/>
    <w:p w14:paraId="3F3FA29A" w14:textId="77777777" w:rsidR="002B2C27" w:rsidRPr="00465482" w:rsidRDefault="002B2C27" w:rsidP="00233755">
      <w:pPr>
        <w:spacing w:after="120"/>
        <w:ind w:right="227"/>
        <w:jc w:val="both"/>
        <w:rPr>
          <w:color w:val="92D050"/>
          <w:sz w:val="20"/>
          <w:szCs w:val="20"/>
        </w:rPr>
        <w:sectPr w:rsidR="002B2C27" w:rsidRPr="00465482" w:rsidSect="00233755">
          <w:type w:val="continuous"/>
          <w:pgSz w:w="11907" w:h="16840" w:code="9"/>
          <w:pgMar w:top="1701" w:right="425" w:bottom="567" w:left="567" w:header="709" w:footer="709" w:gutter="0"/>
          <w:cols w:space="720"/>
          <w:docGrid w:linePitch="360"/>
        </w:sectPr>
      </w:pPr>
    </w:p>
    <w:p w14:paraId="074DC970" w14:textId="0A11443A" w:rsidR="00233755" w:rsidRPr="00D01324" w:rsidRDefault="00233755" w:rsidP="00233755">
      <w:pPr>
        <w:pStyle w:val="Heading3"/>
        <w:spacing w:before="0" w:after="120"/>
        <w:rPr>
          <w:color w:val="004C3D"/>
          <w:sz w:val="24"/>
          <w:szCs w:val="24"/>
        </w:rPr>
      </w:pPr>
      <w:bookmarkStart w:id="2" w:name="_Contents_of_economic_1"/>
      <w:bookmarkStart w:id="3" w:name="_Contents"/>
      <w:bookmarkEnd w:id="2"/>
      <w:bookmarkEnd w:id="3"/>
      <w:r w:rsidRPr="00D01324">
        <w:rPr>
          <w:color w:val="004C3D"/>
          <w:sz w:val="24"/>
          <w:szCs w:val="24"/>
        </w:rPr>
        <w:t xml:space="preserve">Economic conditions – </w:t>
      </w:r>
      <w:r w:rsidR="00D01324" w:rsidRPr="00D01324">
        <w:rPr>
          <w:color w:val="004C3D"/>
          <w:sz w:val="24"/>
          <w:szCs w:val="24"/>
        </w:rPr>
        <w:t>c</w:t>
      </w:r>
      <w:r w:rsidRPr="00D01324">
        <w:rPr>
          <w:color w:val="004C3D"/>
          <w:sz w:val="24"/>
          <w:szCs w:val="24"/>
        </w:rPr>
        <w:t>ontents</w:t>
      </w:r>
    </w:p>
    <w:p w14:paraId="4E3578D8" w14:textId="77777777" w:rsidR="00233755" w:rsidRPr="00A379C4" w:rsidRDefault="00233755" w:rsidP="00233755">
      <w:pPr>
        <w:pStyle w:val="BodyText"/>
        <w:sectPr w:rsidR="00233755" w:rsidRPr="00A379C4" w:rsidSect="00233755">
          <w:type w:val="continuous"/>
          <w:pgSz w:w="11907" w:h="16840" w:code="9"/>
          <w:pgMar w:top="1701" w:right="425" w:bottom="567" w:left="567" w:header="709" w:footer="709" w:gutter="0"/>
          <w:cols w:space="720"/>
          <w:docGrid w:linePitch="360"/>
        </w:sectPr>
      </w:pPr>
    </w:p>
    <w:p w14:paraId="7469E848" w14:textId="65BA3143" w:rsidR="00233755" w:rsidRPr="002C1E17" w:rsidRDefault="00076F55" w:rsidP="00233755">
      <w:pPr>
        <w:spacing w:after="120"/>
        <w:rPr>
          <w:rStyle w:val="Hyperlink"/>
          <w:b/>
          <w:bCs/>
          <w:sz w:val="20"/>
          <w:szCs w:val="20"/>
        </w:rPr>
      </w:pPr>
      <w:hyperlink w:anchor="_Domestic_economy_-" w:history="1">
        <w:r w:rsidRPr="002C1E17">
          <w:rPr>
            <w:rStyle w:val="Hyperlink"/>
            <w:b/>
            <w:bCs/>
            <w:sz w:val="20"/>
            <w:szCs w:val="20"/>
          </w:rPr>
          <w:t>State final demand</w:t>
        </w:r>
      </w:hyperlink>
    </w:p>
    <w:p w14:paraId="27D679FC" w14:textId="313DB4DD" w:rsidR="00EB3395" w:rsidRPr="002C1E17" w:rsidRDefault="00076F55" w:rsidP="00EB3395">
      <w:pPr>
        <w:spacing w:after="120"/>
        <w:rPr>
          <w:rStyle w:val="Hyperlink"/>
        </w:rPr>
      </w:pPr>
      <w:hyperlink w:anchor="_State_final_demand" w:history="1">
        <w:r w:rsidRPr="002C1E17">
          <w:rPr>
            <w:rStyle w:val="Hyperlink"/>
            <w:b/>
            <w:bCs/>
            <w:sz w:val="20"/>
            <w:szCs w:val="20"/>
          </w:rPr>
          <w:t>State final demand</w:t>
        </w:r>
        <w:r w:rsidR="00EB3395" w:rsidRPr="002C1E17">
          <w:rPr>
            <w:rStyle w:val="Hyperlink"/>
            <w:b/>
            <w:bCs/>
            <w:sz w:val="20"/>
            <w:szCs w:val="20"/>
          </w:rPr>
          <w:t xml:space="preserve"> </w:t>
        </w:r>
        <w:r w:rsidRPr="002C1E17">
          <w:rPr>
            <w:rStyle w:val="Hyperlink"/>
            <w:b/>
            <w:bCs/>
            <w:sz w:val="20"/>
            <w:szCs w:val="20"/>
          </w:rPr>
          <w:t>–</w:t>
        </w:r>
        <w:r w:rsidR="00EB3395" w:rsidRPr="002C1E17">
          <w:rPr>
            <w:rStyle w:val="Hyperlink"/>
            <w:b/>
            <w:bCs/>
            <w:sz w:val="20"/>
            <w:szCs w:val="20"/>
          </w:rPr>
          <w:t xml:space="preserve"> components</w:t>
        </w:r>
      </w:hyperlink>
    </w:p>
    <w:p w14:paraId="1E010EFD" w14:textId="18AF78AC" w:rsidR="00233755" w:rsidRPr="002C1E17" w:rsidRDefault="00076F55" w:rsidP="00233755">
      <w:pPr>
        <w:spacing w:after="120"/>
        <w:rPr>
          <w:rStyle w:val="Hyperlink"/>
        </w:rPr>
      </w:pPr>
      <w:hyperlink w:anchor="_Whole_economy" w:history="1">
        <w:r w:rsidRPr="002C1E17">
          <w:rPr>
            <w:rStyle w:val="Hyperlink"/>
            <w:b/>
            <w:bCs/>
            <w:sz w:val="20"/>
            <w:szCs w:val="20"/>
          </w:rPr>
          <w:t>Gross state product</w:t>
        </w:r>
      </w:hyperlink>
    </w:p>
    <w:p w14:paraId="29A8CB11" w14:textId="77777777" w:rsidR="00233755" w:rsidRPr="006026DF" w:rsidRDefault="00233755" w:rsidP="00233755">
      <w:pPr>
        <w:spacing w:after="120"/>
        <w:rPr>
          <w:rStyle w:val="Hyperlink"/>
          <w:b/>
          <w:bCs/>
          <w:sz w:val="20"/>
          <w:szCs w:val="20"/>
        </w:rPr>
      </w:pPr>
      <w:hyperlink w:anchor="_Commodity_prices_and" w:history="1">
        <w:r w:rsidRPr="006026DF">
          <w:rPr>
            <w:rStyle w:val="Hyperlink"/>
            <w:b/>
            <w:bCs/>
            <w:sz w:val="20"/>
            <w:szCs w:val="20"/>
          </w:rPr>
          <w:t>Commodity prices and exchange rates</w:t>
        </w:r>
      </w:hyperlink>
    </w:p>
    <w:p w14:paraId="4B8305C5" w14:textId="77777777" w:rsidR="00233755" w:rsidRPr="00505196" w:rsidRDefault="00233755" w:rsidP="00233755">
      <w:pPr>
        <w:spacing w:after="120"/>
        <w:rPr>
          <w:rStyle w:val="Hyperlink"/>
        </w:rPr>
      </w:pPr>
      <w:hyperlink w:anchor="_Consumer_prices_and" w:history="1">
        <w:r w:rsidRPr="00505196">
          <w:rPr>
            <w:rStyle w:val="Hyperlink"/>
            <w:b/>
            <w:bCs/>
            <w:sz w:val="20"/>
            <w:szCs w:val="20"/>
          </w:rPr>
          <w:t>Consumer prices and interest rates</w:t>
        </w:r>
      </w:hyperlink>
    </w:p>
    <w:p w14:paraId="7C81320D" w14:textId="77777777" w:rsidR="00233755" w:rsidRPr="00AC781A" w:rsidRDefault="00233755" w:rsidP="00233755">
      <w:pPr>
        <w:spacing w:after="120"/>
        <w:rPr>
          <w:b/>
          <w:bCs/>
          <w:sz w:val="20"/>
          <w:szCs w:val="20"/>
        </w:rPr>
      </w:pPr>
      <w:hyperlink w:anchor="_Labour_market_–" w:history="1">
        <w:r w:rsidRPr="00AC781A">
          <w:rPr>
            <w:rStyle w:val="Hyperlink"/>
            <w:b/>
            <w:bCs/>
            <w:sz w:val="20"/>
            <w:szCs w:val="20"/>
          </w:rPr>
          <w:t>Labour market – employment</w:t>
        </w:r>
      </w:hyperlink>
    </w:p>
    <w:p w14:paraId="036A149D" w14:textId="69E7EC9A" w:rsidR="00233755" w:rsidRDefault="00672861" w:rsidP="00233755">
      <w:pPr>
        <w:spacing w:after="120"/>
        <w:rPr>
          <w:rStyle w:val="Hyperlink"/>
          <w:b/>
          <w:bCs/>
          <w:sz w:val="20"/>
          <w:szCs w:val="20"/>
        </w:rPr>
      </w:pPr>
      <w:hyperlink w:anchor="_Labour_market_–_1" w:history="1">
        <w:r>
          <w:rPr>
            <w:rStyle w:val="Hyperlink"/>
            <w:b/>
            <w:bCs/>
            <w:sz w:val="20"/>
            <w:szCs w:val="20"/>
          </w:rPr>
          <w:t>Labour market – vacancies and spare capacity</w:t>
        </w:r>
      </w:hyperlink>
    </w:p>
    <w:p w14:paraId="17A57021" w14:textId="77777777" w:rsidR="00233755" w:rsidRDefault="00233755" w:rsidP="009F4502"/>
    <w:p w14:paraId="40CB5218" w14:textId="77777777" w:rsidR="00233755" w:rsidRPr="00FC01F7" w:rsidRDefault="00233755" w:rsidP="00233755">
      <w:pPr>
        <w:spacing w:after="120"/>
        <w:rPr>
          <w:rStyle w:val="Hyperlink"/>
          <w:rFonts w:asciiTheme="majorHAnsi" w:hAnsiTheme="majorHAnsi" w:cstheme="majorHAnsi"/>
          <w:b/>
          <w:bCs/>
          <w:i/>
          <w:iCs/>
          <w:color w:val="002060"/>
          <w:sz w:val="20"/>
          <w:szCs w:val="20"/>
          <w:u w:val="none"/>
        </w:rPr>
      </w:pPr>
      <w:hyperlink w:anchor="_Western_Australia_–" w:history="1">
        <w:r w:rsidRPr="00FC01F7">
          <w:rPr>
            <w:rStyle w:val="Hyperlink"/>
            <w:b/>
            <w:bCs/>
            <w:i/>
            <w:iCs/>
            <w:sz w:val="20"/>
            <w:szCs w:val="20"/>
          </w:rPr>
          <w:t xml:space="preserve">Link to </w:t>
        </w:r>
        <w:r w:rsidRPr="00FC01F7">
          <w:rPr>
            <w:rStyle w:val="Hyperlink"/>
            <w:rFonts w:asciiTheme="majorHAnsi" w:hAnsiTheme="majorHAnsi" w:cstheme="majorHAnsi"/>
            <w:b/>
            <w:bCs/>
            <w:i/>
            <w:iCs/>
            <w:sz w:val="20"/>
            <w:szCs w:val="20"/>
          </w:rPr>
          <w:t>Economic structure and industries section</w:t>
        </w:r>
      </w:hyperlink>
    </w:p>
    <w:p w14:paraId="53192DB9" w14:textId="77777777" w:rsidR="00233755" w:rsidRPr="00AC781A" w:rsidRDefault="00233755" w:rsidP="00233755">
      <w:pPr>
        <w:spacing w:after="120"/>
        <w:rPr>
          <w:b/>
          <w:bCs/>
          <w:sz w:val="20"/>
          <w:szCs w:val="20"/>
        </w:rPr>
      </w:pPr>
      <w:r w:rsidRPr="00AC781A">
        <w:rPr>
          <w:b/>
          <w:bCs/>
          <w:sz w:val="20"/>
          <w:szCs w:val="20"/>
        </w:rPr>
        <w:br w:type="column"/>
      </w:r>
      <w:hyperlink w:anchor="_Labour_market_–_2" w:history="1">
        <w:r w:rsidRPr="00AC781A">
          <w:rPr>
            <w:rStyle w:val="Hyperlink"/>
            <w:b/>
            <w:bCs/>
            <w:sz w:val="20"/>
            <w:szCs w:val="20"/>
          </w:rPr>
          <w:t>Labour market – wages</w:t>
        </w:r>
      </w:hyperlink>
    </w:p>
    <w:p w14:paraId="07FBE53B" w14:textId="77777777" w:rsidR="00233755" w:rsidRPr="00AC781A" w:rsidRDefault="00233755" w:rsidP="00233755">
      <w:pPr>
        <w:spacing w:after="120"/>
        <w:rPr>
          <w:b/>
          <w:bCs/>
          <w:sz w:val="20"/>
          <w:szCs w:val="20"/>
        </w:rPr>
      </w:pPr>
      <w:hyperlink w:anchor="_Population" w:history="1">
        <w:r w:rsidRPr="00AC781A">
          <w:rPr>
            <w:rStyle w:val="Hyperlink"/>
            <w:b/>
            <w:bCs/>
            <w:sz w:val="20"/>
            <w:szCs w:val="20"/>
          </w:rPr>
          <w:t>Population</w:t>
        </w:r>
      </w:hyperlink>
    </w:p>
    <w:p w14:paraId="6595C5CC" w14:textId="77777777" w:rsidR="00233755" w:rsidRPr="00AC781A" w:rsidRDefault="00233755" w:rsidP="00233755">
      <w:pPr>
        <w:spacing w:after="120"/>
        <w:rPr>
          <w:b/>
          <w:bCs/>
          <w:sz w:val="20"/>
          <w:szCs w:val="20"/>
        </w:rPr>
      </w:pPr>
      <w:hyperlink w:anchor="_Housing" w:history="1">
        <w:r w:rsidRPr="00AC781A">
          <w:rPr>
            <w:rStyle w:val="Hyperlink"/>
            <w:b/>
            <w:bCs/>
            <w:sz w:val="20"/>
            <w:szCs w:val="20"/>
          </w:rPr>
          <w:t>Housing</w:t>
        </w:r>
      </w:hyperlink>
    </w:p>
    <w:p w14:paraId="3DD21A3F" w14:textId="77777777" w:rsidR="00233755" w:rsidRDefault="00233755" w:rsidP="00233755">
      <w:pPr>
        <w:spacing w:after="120"/>
      </w:pPr>
      <w:hyperlink w:anchor="_Construction" w:history="1">
        <w:r w:rsidRPr="00AC781A">
          <w:rPr>
            <w:rStyle w:val="Hyperlink"/>
            <w:b/>
            <w:bCs/>
            <w:sz w:val="20"/>
            <w:szCs w:val="20"/>
          </w:rPr>
          <w:t>Construction</w:t>
        </w:r>
      </w:hyperlink>
    </w:p>
    <w:p w14:paraId="4045B562" w14:textId="77777777" w:rsidR="00233755" w:rsidRPr="009028F8" w:rsidRDefault="00233755" w:rsidP="00233755">
      <w:pPr>
        <w:spacing w:after="120"/>
        <w:rPr>
          <w:rStyle w:val="Hyperlink"/>
        </w:rPr>
      </w:pPr>
      <w:hyperlink w:anchor="_Regional_economic_conditions" w:history="1">
        <w:r>
          <w:rPr>
            <w:rStyle w:val="Hyperlink"/>
            <w:b/>
            <w:bCs/>
            <w:sz w:val="20"/>
            <w:szCs w:val="20"/>
          </w:rPr>
          <w:t>Regional labour markets and construction</w:t>
        </w:r>
      </w:hyperlink>
    </w:p>
    <w:p w14:paraId="4D4C49EA" w14:textId="77777777" w:rsidR="00233755" w:rsidRPr="00AC781A" w:rsidRDefault="00233755" w:rsidP="00233755">
      <w:pPr>
        <w:spacing w:after="120"/>
        <w:rPr>
          <w:b/>
          <w:bCs/>
          <w:sz w:val="20"/>
          <w:szCs w:val="20"/>
        </w:rPr>
      </w:pPr>
      <w:hyperlink w:anchor="_International_trade_1" w:history="1">
        <w:r w:rsidRPr="00AC781A">
          <w:rPr>
            <w:rStyle w:val="Hyperlink"/>
            <w:b/>
            <w:bCs/>
            <w:sz w:val="20"/>
            <w:szCs w:val="20"/>
          </w:rPr>
          <w:t>International trade</w:t>
        </w:r>
      </w:hyperlink>
    </w:p>
    <w:p w14:paraId="02BC83A2"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0B3D45B" w14:textId="4E302D05" w:rsidR="00C62D14" w:rsidRPr="00A00E7D" w:rsidRDefault="00052D69" w:rsidP="00C62D14">
      <w:pPr>
        <w:pStyle w:val="Heading3"/>
        <w:spacing w:before="0"/>
        <w:rPr>
          <w:bCs/>
          <w:color w:val="004C3D"/>
          <w:sz w:val="24"/>
          <w:szCs w:val="24"/>
        </w:rPr>
        <w:sectPr w:rsidR="00C62D14" w:rsidRPr="00A00E7D" w:rsidSect="00C62D14">
          <w:pgSz w:w="11907" w:h="16840" w:code="9"/>
          <w:pgMar w:top="1701" w:right="425" w:bottom="567" w:left="567" w:header="709" w:footer="709" w:gutter="0"/>
          <w:cols w:space="720"/>
          <w:docGrid w:linePitch="360"/>
        </w:sectPr>
      </w:pPr>
      <w:bookmarkStart w:id="4" w:name="_Whole_of_economy"/>
      <w:bookmarkStart w:id="5" w:name="_Domestic_economy"/>
      <w:bookmarkStart w:id="6" w:name="_Domestic_economy_-"/>
      <w:bookmarkEnd w:id="4"/>
      <w:bookmarkEnd w:id="5"/>
      <w:bookmarkEnd w:id="6"/>
      <w:r w:rsidRPr="00A00E7D">
        <w:rPr>
          <w:bCs/>
          <w:color w:val="004C3D"/>
          <w:sz w:val="24"/>
          <w:szCs w:val="24"/>
        </w:rPr>
        <w:lastRenderedPageBreak/>
        <w:t>State final demand</w:t>
      </w:r>
    </w:p>
    <w:p w14:paraId="6DE68C5C" w14:textId="77777777" w:rsidR="00C62D14" w:rsidRPr="000633F0" w:rsidRDefault="00C62D14" w:rsidP="00C62D14">
      <w:pPr>
        <w:ind w:right="227"/>
        <w:jc w:val="right"/>
        <w:rPr>
          <w:rStyle w:val="Hyperlink"/>
          <w:b/>
          <w:bCs/>
          <w:sz w:val="16"/>
          <w:szCs w:val="16"/>
        </w:rPr>
        <w:sectPr w:rsidR="00C62D14" w:rsidRPr="000633F0" w:rsidSect="00C62D14">
          <w:type w:val="continuous"/>
          <w:pgSz w:w="11907" w:h="16840" w:code="9"/>
          <w:pgMar w:top="1701" w:right="425" w:bottom="567" w:left="567" w:header="709" w:footer="709" w:gutter="0"/>
          <w:cols w:space="720"/>
          <w:docGrid w:linePitch="360"/>
        </w:sectPr>
      </w:pPr>
      <w:hyperlink w:anchor="_Contents" w:history="1">
        <w:r w:rsidRPr="000633F0">
          <w:rPr>
            <w:rStyle w:val="Hyperlink"/>
            <w:b/>
            <w:bCs/>
            <w:sz w:val="16"/>
            <w:szCs w:val="16"/>
          </w:rPr>
          <w:t>Back to contents</w:t>
        </w:r>
      </w:hyperlink>
    </w:p>
    <w:p w14:paraId="40A39571" w14:textId="30E617CA" w:rsidR="00C62D14" w:rsidRPr="00C83366" w:rsidRDefault="00C62D14" w:rsidP="00C62D14">
      <w:pPr>
        <w:pStyle w:val="Heading4"/>
        <w:spacing w:before="0"/>
        <w:rPr>
          <w:i w:val="0"/>
          <w:iCs w:val="0"/>
          <w:color w:val="00997A"/>
          <w:sz w:val="20"/>
          <w:szCs w:val="20"/>
        </w:rPr>
        <w:sectPr w:rsidR="00C62D14" w:rsidRPr="00C83366" w:rsidSect="00C62D14">
          <w:type w:val="continuous"/>
          <w:pgSz w:w="11907" w:h="16840" w:code="9"/>
          <w:pgMar w:top="1701" w:right="425" w:bottom="567" w:left="567" w:header="709" w:footer="709" w:gutter="0"/>
          <w:cols w:space="720"/>
          <w:docGrid w:linePitch="360"/>
        </w:sectPr>
      </w:pPr>
      <w:r w:rsidRPr="00C83366">
        <w:rPr>
          <w:i w:val="0"/>
          <w:iCs w:val="0"/>
          <w:color w:val="00997A"/>
          <w:sz w:val="20"/>
          <w:szCs w:val="20"/>
        </w:rPr>
        <w:t>State and domestic final demand (</w:t>
      </w:r>
      <w:r w:rsidR="002D4377" w:rsidRPr="00C83366">
        <w:rPr>
          <w:i w:val="0"/>
          <w:iCs w:val="0"/>
          <w:color w:val="00997A"/>
          <w:sz w:val="20"/>
          <w:szCs w:val="20"/>
        </w:rPr>
        <w:t>index</w:t>
      </w:r>
      <w:r w:rsidRPr="00C83366">
        <w:rPr>
          <w:i w:val="0"/>
          <w:iCs w:val="0"/>
          <w:color w:val="00997A"/>
          <w:sz w:val="20"/>
          <w:szCs w:val="20"/>
        </w:rPr>
        <w:t>)</w:t>
      </w:r>
    </w:p>
    <w:p w14:paraId="0E923EFD" w14:textId="000A45F4" w:rsidR="00C62D14" w:rsidRPr="000633F0" w:rsidRDefault="24527BA6" w:rsidP="003C6DDF">
      <w:pPr>
        <w:jc w:val="both"/>
        <w:rPr>
          <w:color w:val="000000" w:themeColor="text1"/>
          <w:sz w:val="10"/>
          <w:szCs w:val="10"/>
        </w:rPr>
      </w:pPr>
      <w:r>
        <w:rPr>
          <w:noProof/>
        </w:rPr>
        <w:drawing>
          <wp:inline distT="0" distB="0" distL="0" distR="0" wp14:anchorId="12F62B7C" wp14:editId="126D5CCA">
            <wp:extent cx="3447013" cy="1880351"/>
            <wp:effectExtent l="0" t="0" r="1270" b="5715"/>
            <wp:docPr id="9568935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7013" cy="1880351"/>
                    </a:xfrm>
                    <a:prstGeom prst="rect">
                      <a:avLst/>
                    </a:prstGeom>
                    <a:noFill/>
                    <a:ln>
                      <a:noFill/>
                    </a:ln>
                  </pic:spPr>
                </pic:pic>
              </a:graphicData>
            </a:graphic>
          </wp:inline>
        </w:drawing>
      </w:r>
      <w:r w:rsidR="00C62D14" w:rsidRPr="380E47D5">
        <w:rPr>
          <w:color w:val="000000" w:themeColor="text1"/>
          <w:sz w:val="10"/>
          <w:szCs w:val="10"/>
        </w:rPr>
        <w:t xml:space="preserve">Note – Chain volume measures. </w:t>
      </w:r>
      <w:r w:rsidR="00106140" w:rsidRPr="380E47D5">
        <w:rPr>
          <w:color w:val="000000" w:themeColor="text1"/>
          <w:sz w:val="10"/>
          <w:szCs w:val="10"/>
        </w:rPr>
        <w:t>Seasonally adjusted</w:t>
      </w:r>
      <w:r w:rsidR="00C62D14" w:rsidRPr="380E47D5">
        <w:rPr>
          <w:color w:val="000000" w:themeColor="text1"/>
          <w:sz w:val="10"/>
          <w:szCs w:val="10"/>
        </w:rPr>
        <w:t xml:space="preserve"> series. </w:t>
      </w:r>
      <w:r w:rsidR="002D4377" w:rsidRPr="380E47D5">
        <w:rPr>
          <w:color w:val="000000" w:themeColor="text1"/>
          <w:sz w:val="10"/>
          <w:szCs w:val="10"/>
        </w:rPr>
        <w:t>Quarterly index (</w:t>
      </w:r>
      <w:r w:rsidR="0083199D" w:rsidRPr="380E47D5">
        <w:rPr>
          <w:color w:val="000000" w:themeColor="text1"/>
          <w:sz w:val="10"/>
          <w:szCs w:val="10"/>
        </w:rPr>
        <w:t>June</w:t>
      </w:r>
      <w:r w:rsidR="002D4377" w:rsidRPr="380E47D5">
        <w:rPr>
          <w:color w:val="000000" w:themeColor="text1"/>
          <w:sz w:val="10"/>
          <w:szCs w:val="10"/>
        </w:rPr>
        <w:t xml:space="preserve"> quarter 20</w:t>
      </w:r>
      <w:r w:rsidR="0083199D" w:rsidRPr="380E47D5">
        <w:rPr>
          <w:color w:val="000000" w:themeColor="text1"/>
          <w:sz w:val="10"/>
          <w:szCs w:val="10"/>
        </w:rPr>
        <w:t>19</w:t>
      </w:r>
      <w:r w:rsidR="002D4377" w:rsidRPr="380E47D5">
        <w:rPr>
          <w:color w:val="000000" w:themeColor="text1"/>
          <w:sz w:val="10"/>
          <w:szCs w:val="10"/>
        </w:rPr>
        <w:t xml:space="preserve"> = 100.0)</w:t>
      </w:r>
      <w:r w:rsidR="00C62D14" w:rsidRPr="380E47D5">
        <w:rPr>
          <w:color w:val="000000" w:themeColor="text1"/>
          <w:sz w:val="10"/>
          <w:szCs w:val="10"/>
        </w:rPr>
        <w:t>.</w:t>
      </w:r>
    </w:p>
    <w:p w14:paraId="1B8735D2" w14:textId="77777777" w:rsidR="00C62D14" w:rsidRPr="000633F0" w:rsidRDefault="00C62D14" w:rsidP="00C62D14">
      <w:pPr>
        <w:jc w:val="both"/>
        <w:rPr>
          <w:sz w:val="10"/>
          <w:szCs w:val="10"/>
        </w:rPr>
      </w:pPr>
      <w:r w:rsidRPr="000633F0">
        <w:rPr>
          <w:sz w:val="10"/>
          <w:szCs w:val="10"/>
        </w:rPr>
        <w:t>Source: Based on ABS data.</w:t>
      </w:r>
    </w:p>
    <w:p w14:paraId="2D287ED3" w14:textId="1EB526A5" w:rsidR="00C62D14" w:rsidRPr="000633F0" w:rsidRDefault="00C62D14" w:rsidP="006058E8">
      <w:pPr>
        <w:pStyle w:val="ListParagraph"/>
        <w:numPr>
          <w:ilvl w:val="0"/>
          <w:numId w:val="9"/>
        </w:numPr>
        <w:spacing w:before="40" w:after="40"/>
        <w:ind w:left="357" w:right="227" w:hanging="357"/>
        <w:contextualSpacing w:val="0"/>
        <w:jc w:val="both"/>
        <w:rPr>
          <w:sz w:val="16"/>
          <w:szCs w:val="16"/>
        </w:rPr>
      </w:pPr>
      <w:r w:rsidRPr="007B1AE5">
        <w:br w:type="column"/>
      </w:r>
      <w:r w:rsidRPr="000633F0">
        <w:rPr>
          <w:sz w:val="16"/>
          <w:szCs w:val="16"/>
        </w:rPr>
        <w:t>State final demand (SFD) measures total consumption and investment by the private and public sectors. Domestic final demand (DFD) is the national equivalent to SFD.</w:t>
      </w:r>
    </w:p>
    <w:p w14:paraId="05962DB6" w14:textId="781D502A" w:rsidR="00C62D14" w:rsidRPr="000633F0" w:rsidRDefault="00C62D14" w:rsidP="006058E8">
      <w:pPr>
        <w:pStyle w:val="ListParagraph"/>
        <w:numPr>
          <w:ilvl w:val="0"/>
          <w:numId w:val="9"/>
        </w:numPr>
        <w:spacing w:before="40" w:after="40"/>
        <w:ind w:left="357" w:right="227" w:hanging="357"/>
        <w:contextualSpacing w:val="0"/>
        <w:jc w:val="both"/>
        <w:rPr>
          <w:sz w:val="16"/>
          <w:szCs w:val="16"/>
        </w:rPr>
      </w:pPr>
      <w:r w:rsidRPr="000633F0">
        <w:rPr>
          <w:sz w:val="16"/>
          <w:szCs w:val="16"/>
        </w:rPr>
        <w:t xml:space="preserve">SFD accounts for most of Western Australia’s GSP – </w:t>
      </w:r>
      <w:r w:rsidRPr="007B1076">
        <w:rPr>
          <w:sz w:val="16"/>
          <w:szCs w:val="16"/>
        </w:rPr>
        <w:t>67% ($</w:t>
      </w:r>
      <w:r w:rsidR="007B1076" w:rsidRPr="007B1076">
        <w:rPr>
          <w:sz w:val="16"/>
          <w:szCs w:val="16"/>
        </w:rPr>
        <w:t>305.8</w:t>
      </w:r>
      <w:r w:rsidRPr="007B1076">
        <w:rPr>
          <w:sz w:val="16"/>
          <w:szCs w:val="16"/>
        </w:rPr>
        <w:t xml:space="preserve"> billion) in </w:t>
      </w:r>
      <w:r w:rsidR="007B1076" w:rsidRPr="007B1076">
        <w:rPr>
          <w:sz w:val="16"/>
          <w:szCs w:val="16"/>
        </w:rPr>
        <w:t>2023-24</w:t>
      </w:r>
      <w:r w:rsidRPr="007B1076">
        <w:rPr>
          <w:sz w:val="16"/>
          <w:szCs w:val="16"/>
        </w:rPr>
        <w:t xml:space="preserve"> </w:t>
      </w:r>
      <w:r w:rsidRPr="000633F0">
        <w:rPr>
          <w:sz w:val="16"/>
          <w:szCs w:val="16"/>
        </w:rPr>
        <w:t>– although this share is low compared to other states and territories due to net exports being particularly high for Western Australia.</w:t>
      </w:r>
    </w:p>
    <w:p w14:paraId="6D645669" w14:textId="4DCDF06A" w:rsidR="00C62D14" w:rsidRPr="001D02B1" w:rsidRDefault="00C62D14" w:rsidP="380E47D5">
      <w:pPr>
        <w:pStyle w:val="ListParagraph"/>
        <w:numPr>
          <w:ilvl w:val="0"/>
          <w:numId w:val="9"/>
        </w:numPr>
        <w:spacing w:before="40" w:after="40"/>
        <w:ind w:left="357" w:right="227" w:hanging="357"/>
        <w:jc w:val="both"/>
        <w:rPr>
          <w:color w:val="000000" w:themeColor="text1"/>
          <w:sz w:val="16"/>
          <w:szCs w:val="16"/>
        </w:rPr>
      </w:pPr>
      <w:r w:rsidRPr="380E47D5">
        <w:rPr>
          <w:sz w:val="16"/>
          <w:szCs w:val="16"/>
        </w:rPr>
        <w:t xml:space="preserve">Western Australia’s SFD </w:t>
      </w:r>
      <w:r w:rsidR="00CB7FCD" w:rsidRPr="380E47D5">
        <w:rPr>
          <w:sz w:val="16"/>
          <w:szCs w:val="16"/>
        </w:rPr>
        <w:t xml:space="preserve">growth has outpaced </w:t>
      </w:r>
      <w:r w:rsidRPr="380E47D5">
        <w:rPr>
          <w:sz w:val="16"/>
          <w:szCs w:val="16"/>
        </w:rPr>
        <w:t>Australia’s DFD</w:t>
      </w:r>
      <w:r w:rsidR="00CB7FCD" w:rsidRPr="380E47D5">
        <w:rPr>
          <w:sz w:val="16"/>
          <w:szCs w:val="16"/>
        </w:rPr>
        <w:t xml:space="preserve"> </w:t>
      </w:r>
      <w:r w:rsidR="00D30A66" w:rsidRPr="380E47D5">
        <w:rPr>
          <w:sz w:val="16"/>
          <w:szCs w:val="16"/>
        </w:rPr>
        <w:t xml:space="preserve">growth </w:t>
      </w:r>
      <w:r w:rsidR="00CB7FCD" w:rsidRPr="380E47D5">
        <w:rPr>
          <w:sz w:val="16"/>
          <w:szCs w:val="16"/>
        </w:rPr>
        <w:t xml:space="preserve">since the </w:t>
      </w:r>
      <w:r w:rsidR="000E0341" w:rsidRPr="380E47D5">
        <w:rPr>
          <w:sz w:val="16"/>
          <w:szCs w:val="16"/>
        </w:rPr>
        <w:t xml:space="preserve">onset of the </w:t>
      </w:r>
      <w:r w:rsidR="00CB7FCD" w:rsidRPr="380E47D5">
        <w:rPr>
          <w:sz w:val="16"/>
          <w:szCs w:val="16"/>
        </w:rPr>
        <w:t xml:space="preserve">COVID-19 pandemic in </w:t>
      </w:r>
      <w:r w:rsidR="000E0341" w:rsidRPr="380E47D5">
        <w:rPr>
          <w:sz w:val="16"/>
          <w:szCs w:val="16"/>
        </w:rPr>
        <w:t xml:space="preserve">early </w:t>
      </w:r>
      <w:r w:rsidR="00CB7FCD" w:rsidRPr="380E47D5">
        <w:rPr>
          <w:sz w:val="16"/>
          <w:szCs w:val="16"/>
        </w:rPr>
        <w:t>202</w:t>
      </w:r>
      <w:r w:rsidR="00CB7FCD" w:rsidRPr="380E47D5">
        <w:rPr>
          <w:color w:val="000000" w:themeColor="text1"/>
          <w:sz w:val="16"/>
          <w:szCs w:val="16"/>
        </w:rPr>
        <w:t>0</w:t>
      </w:r>
      <w:r w:rsidRPr="380E47D5">
        <w:rPr>
          <w:color w:val="000000" w:themeColor="text1"/>
          <w:sz w:val="16"/>
          <w:szCs w:val="16"/>
        </w:rPr>
        <w:t>.</w:t>
      </w:r>
      <w:r w:rsidR="00DD7C4E" w:rsidRPr="380E47D5">
        <w:rPr>
          <w:color w:val="000000" w:themeColor="text1"/>
          <w:sz w:val="16"/>
          <w:szCs w:val="16"/>
        </w:rPr>
        <w:t xml:space="preserve"> In the </w:t>
      </w:r>
      <w:r w:rsidR="001D02B1" w:rsidRPr="380E47D5">
        <w:rPr>
          <w:color w:val="000000" w:themeColor="text1"/>
          <w:sz w:val="16"/>
          <w:szCs w:val="16"/>
        </w:rPr>
        <w:t>June</w:t>
      </w:r>
      <w:r w:rsidR="00DD7C4E" w:rsidRPr="380E47D5">
        <w:rPr>
          <w:color w:val="000000" w:themeColor="text1"/>
          <w:sz w:val="16"/>
          <w:szCs w:val="16"/>
        </w:rPr>
        <w:t xml:space="preserve"> quarter 2025, Western Australia’s SFD was </w:t>
      </w:r>
      <w:r w:rsidR="001D02B1" w:rsidRPr="380E47D5">
        <w:rPr>
          <w:color w:val="000000" w:themeColor="text1"/>
          <w:sz w:val="16"/>
          <w:szCs w:val="16"/>
        </w:rPr>
        <w:t>32.5</w:t>
      </w:r>
      <w:r w:rsidR="00DD7C4E" w:rsidRPr="380E47D5">
        <w:rPr>
          <w:color w:val="000000" w:themeColor="text1"/>
          <w:sz w:val="16"/>
          <w:szCs w:val="16"/>
        </w:rPr>
        <w:t xml:space="preserve">% higher than it was in the </w:t>
      </w:r>
      <w:r w:rsidR="001D02B1" w:rsidRPr="380E47D5">
        <w:rPr>
          <w:color w:val="000000" w:themeColor="text1"/>
          <w:sz w:val="16"/>
          <w:szCs w:val="16"/>
        </w:rPr>
        <w:t>June</w:t>
      </w:r>
      <w:r w:rsidR="00DD7C4E" w:rsidRPr="380E47D5">
        <w:rPr>
          <w:color w:val="000000" w:themeColor="text1"/>
          <w:sz w:val="16"/>
          <w:szCs w:val="16"/>
        </w:rPr>
        <w:t xml:space="preserve"> quarter 2020, while Australia’s DFD was </w:t>
      </w:r>
      <w:r w:rsidR="001D02B1" w:rsidRPr="380E47D5">
        <w:rPr>
          <w:color w:val="000000" w:themeColor="text1"/>
          <w:sz w:val="16"/>
          <w:szCs w:val="16"/>
        </w:rPr>
        <w:t>26.6</w:t>
      </w:r>
      <w:r w:rsidR="00DD7C4E" w:rsidRPr="380E47D5">
        <w:rPr>
          <w:color w:val="000000" w:themeColor="text1"/>
          <w:sz w:val="16"/>
          <w:szCs w:val="16"/>
        </w:rPr>
        <w:t>% higher.</w:t>
      </w:r>
    </w:p>
    <w:p w14:paraId="7302447D" w14:textId="72D872A8" w:rsidR="00233755" w:rsidRPr="000633F0" w:rsidRDefault="001F6F3C" w:rsidP="006058E8">
      <w:pPr>
        <w:pStyle w:val="ListParagraph"/>
        <w:numPr>
          <w:ilvl w:val="0"/>
          <w:numId w:val="9"/>
        </w:numPr>
        <w:spacing w:before="40" w:after="40"/>
        <w:ind w:left="357" w:right="159" w:hanging="357"/>
        <w:jc w:val="both"/>
        <w:rPr>
          <w:sz w:val="16"/>
          <w:szCs w:val="16"/>
        </w:rPr>
      </w:pPr>
      <w:r w:rsidRPr="380E47D5">
        <w:rPr>
          <w:color w:val="000000" w:themeColor="text1"/>
          <w:sz w:val="16"/>
          <w:szCs w:val="16"/>
        </w:rPr>
        <w:t xml:space="preserve">Western Australia’s real SFD rose </w:t>
      </w:r>
      <w:r w:rsidR="007E6D76" w:rsidRPr="380E47D5">
        <w:rPr>
          <w:color w:val="000000" w:themeColor="text1"/>
          <w:sz w:val="16"/>
          <w:szCs w:val="16"/>
        </w:rPr>
        <w:t>2.9</w:t>
      </w:r>
      <w:r w:rsidRPr="380E47D5">
        <w:rPr>
          <w:color w:val="000000" w:themeColor="text1"/>
          <w:sz w:val="16"/>
          <w:szCs w:val="16"/>
        </w:rPr>
        <w:t>% in 202</w:t>
      </w:r>
      <w:r w:rsidR="007E6D76" w:rsidRPr="380E47D5">
        <w:rPr>
          <w:color w:val="000000" w:themeColor="text1"/>
          <w:sz w:val="16"/>
          <w:szCs w:val="16"/>
        </w:rPr>
        <w:t>4</w:t>
      </w:r>
      <w:r w:rsidRPr="380E47D5">
        <w:rPr>
          <w:color w:val="000000" w:themeColor="text1"/>
          <w:sz w:val="16"/>
          <w:szCs w:val="16"/>
        </w:rPr>
        <w:t>2</w:t>
      </w:r>
      <w:r w:rsidR="007E6D76" w:rsidRPr="380E47D5">
        <w:rPr>
          <w:color w:val="000000" w:themeColor="text1"/>
          <w:sz w:val="16"/>
          <w:szCs w:val="16"/>
        </w:rPr>
        <w:t>5</w:t>
      </w:r>
      <w:r w:rsidRPr="380E47D5">
        <w:rPr>
          <w:color w:val="000000" w:themeColor="text1"/>
          <w:sz w:val="16"/>
          <w:szCs w:val="16"/>
        </w:rPr>
        <w:t xml:space="preserve">. </w:t>
      </w:r>
      <w:r w:rsidR="00C62D14" w:rsidRPr="380E47D5">
        <w:rPr>
          <w:color w:val="000000" w:themeColor="text1"/>
          <w:sz w:val="16"/>
          <w:szCs w:val="16"/>
        </w:rPr>
        <w:t>The WA Sta</w:t>
      </w:r>
      <w:r w:rsidR="00C62D14" w:rsidRPr="380E47D5">
        <w:rPr>
          <w:sz w:val="16"/>
          <w:szCs w:val="16"/>
        </w:rPr>
        <w:t xml:space="preserve">te Budget 202526 </w:t>
      </w:r>
      <w:r w:rsidR="00D44F16" w:rsidRPr="380E47D5">
        <w:rPr>
          <w:sz w:val="16"/>
          <w:szCs w:val="16"/>
        </w:rPr>
        <w:t>forecasts</w:t>
      </w:r>
      <w:r w:rsidR="00C62D14" w:rsidRPr="380E47D5">
        <w:rPr>
          <w:sz w:val="16"/>
          <w:szCs w:val="16"/>
        </w:rPr>
        <w:t xml:space="preserve"> that Western Australia’s real SFD growth will </w:t>
      </w:r>
      <w:r w:rsidR="00DD7C4E" w:rsidRPr="380E47D5">
        <w:rPr>
          <w:sz w:val="16"/>
          <w:szCs w:val="16"/>
        </w:rPr>
        <w:t>be</w:t>
      </w:r>
      <w:r w:rsidR="00C62D14" w:rsidRPr="380E47D5">
        <w:rPr>
          <w:sz w:val="16"/>
          <w:szCs w:val="16"/>
        </w:rPr>
        <w:t xml:space="preserve"> 2.5% in both 202526 and 2026-27.</w:t>
      </w:r>
    </w:p>
    <w:p w14:paraId="390A6367" w14:textId="77777777" w:rsidR="00233755" w:rsidRPr="00DA2F4F" w:rsidRDefault="00233755" w:rsidP="006058E8">
      <w:pPr>
        <w:pStyle w:val="ListParagraph"/>
        <w:numPr>
          <w:ilvl w:val="0"/>
          <w:numId w:val="9"/>
        </w:numPr>
        <w:rPr>
          <w:sz w:val="16"/>
          <w:szCs w:val="16"/>
        </w:rPr>
        <w:sectPr w:rsidR="00233755" w:rsidRPr="00DA2F4F" w:rsidSect="00233755">
          <w:type w:val="continuous"/>
          <w:pgSz w:w="11907" w:h="16840" w:code="9"/>
          <w:pgMar w:top="1701" w:right="425" w:bottom="567" w:left="567" w:header="709" w:footer="709" w:gutter="0"/>
          <w:cols w:num="2" w:space="113"/>
          <w:docGrid w:linePitch="360"/>
        </w:sectPr>
      </w:pPr>
    </w:p>
    <w:p w14:paraId="5E9437DD" w14:textId="77777777" w:rsidR="00233755" w:rsidRPr="00C83366" w:rsidRDefault="00233755" w:rsidP="00233755">
      <w:pPr>
        <w:pStyle w:val="Heading4"/>
        <w:rPr>
          <w:i w:val="0"/>
          <w:iCs w:val="0"/>
          <w:color w:val="00997A"/>
          <w:sz w:val="20"/>
          <w:szCs w:val="20"/>
        </w:rPr>
        <w:sectPr w:rsidR="00233755" w:rsidRPr="00C83366" w:rsidSect="00233755">
          <w:type w:val="continuous"/>
          <w:pgSz w:w="11907" w:h="16840" w:code="9"/>
          <w:pgMar w:top="1701" w:right="425" w:bottom="567" w:left="567" w:header="709" w:footer="709" w:gutter="0"/>
          <w:cols w:space="720"/>
          <w:docGrid w:linePitch="360"/>
        </w:sectPr>
      </w:pPr>
      <w:r w:rsidRPr="00C83366">
        <w:rPr>
          <w:i w:val="0"/>
          <w:iCs w:val="0"/>
          <w:color w:val="00997A"/>
          <w:sz w:val="20"/>
          <w:szCs w:val="20"/>
        </w:rPr>
        <w:t xml:space="preserve">State final demand by component (contribution to </w:t>
      </w:r>
      <w:r w:rsidRPr="007D6231">
        <w:rPr>
          <w:i w:val="0"/>
          <w:iCs w:val="0"/>
          <w:color w:val="00997A"/>
          <w:sz w:val="20"/>
          <w:szCs w:val="20"/>
        </w:rPr>
        <w:t>change</w:t>
      </w:r>
      <w:r w:rsidRPr="00C83366">
        <w:rPr>
          <w:i w:val="0"/>
          <w:iCs w:val="0"/>
          <w:color w:val="00997A"/>
          <w:sz w:val="20"/>
          <w:szCs w:val="20"/>
        </w:rPr>
        <w:t>)</w:t>
      </w:r>
    </w:p>
    <w:p w14:paraId="77300421" w14:textId="03D91795" w:rsidR="00233755" w:rsidRPr="007B1AE5" w:rsidRDefault="4DE7B868" w:rsidP="00233755">
      <w:r>
        <w:rPr>
          <w:noProof/>
        </w:rPr>
        <w:drawing>
          <wp:inline distT="0" distB="0" distL="0" distR="0" wp14:anchorId="5DD3442D" wp14:editId="3AFE8041">
            <wp:extent cx="3446780" cy="1878969"/>
            <wp:effectExtent l="0" t="0" r="1270" b="6985"/>
            <wp:docPr id="7719935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6780" cy="1878969"/>
                    </a:xfrm>
                    <a:prstGeom prst="rect">
                      <a:avLst/>
                    </a:prstGeom>
                    <a:noFill/>
                    <a:ln>
                      <a:noFill/>
                    </a:ln>
                  </pic:spPr>
                </pic:pic>
              </a:graphicData>
            </a:graphic>
          </wp:inline>
        </w:drawing>
      </w:r>
    </w:p>
    <w:p w14:paraId="081B66F2"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volumes measures. Seasonally adjusted series. Quarter-on-quarter change. </w:t>
      </w:r>
      <w:r>
        <w:rPr>
          <w:sz w:val="10"/>
          <w:szCs w:val="10"/>
        </w:rPr>
        <w:t>p</w:t>
      </w:r>
      <w:r w:rsidRPr="00AF759E">
        <w:rPr>
          <w:sz w:val="10"/>
          <w:szCs w:val="10"/>
        </w:rPr>
        <w:t>p = percentage points. (a)</w:t>
      </w:r>
      <w:r>
        <w:rPr>
          <w:sz w:val="10"/>
          <w:szCs w:val="10"/>
        </w:rPr>
        <w:t> </w:t>
      </w:r>
      <w:r w:rsidRPr="00AF759E">
        <w:rPr>
          <w:sz w:val="10"/>
          <w:szCs w:val="10"/>
        </w:rPr>
        <w:t>Private gross fixed capital formation. (b) General government final consumption expenditure and public gross fixed capital formation.</w:t>
      </w:r>
    </w:p>
    <w:p w14:paraId="1E48F642" w14:textId="77777777" w:rsidR="00233755" w:rsidRPr="00AF759E" w:rsidRDefault="00233755" w:rsidP="00233755">
      <w:pPr>
        <w:jc w:val="both"/>
        <w:rPr>
          <w:sz w:val="10"/>
          <w:szCs w:val="10"/>
        </w:rPr>
      </w:pPr>
      <w:r w:rsidRPr="00AF759E">
        <w:rPr>
          <w:sz w:val="10"/>
          <w:szCs w:val="10"/>
        </w:rPr>
        <w:t>Source: Based on ABS data.</w:t>
      </w:r>
    </w:p>
    <w:p w14:paraId="57EA33B9" w14:textId="70E265C2" w:rsidR="00C62D14" w:rsidRPr="00F24D5B" w:rsidRDefault="00233755" w:rsidP="380E47D5">
      <w:pPr>
        <w:pStyle w:val="ListParagraph"/>
        <w:numPr>
          <w:ilvl w:val="0"/>
          <w:numId w:val="9"/>
        </w:numPr>
        <w:spacing w:before="40" w:after="40"/>
        <w:ind w:left="357" w:right="227" w:hanging="357"/>
        <w:contextualSpacing w:val="0"/>
        <w:jc w:val="both"/>
        <w:rPr>
          <w:color w:val="000000" w:themeColor="text1"/>
          <w:sz w:val="16"/>
          <w:szCs w:val="16"/>
        </w:rPr>
      </w:pPr>
      <w:r>
        <w:br w:type="column"/>
      </w:r>
      <w:r w:rsidR="00C62D14" w:rsidRPr="380E47D5">
        <w:rPr>
          <w:color w:val="000000" w:themeColor="text1"/>
          <w:sz w:val="16"/>
          <w:szCs w:val="16"/>
        </w:rPr>
        <w:t>Western Australia’s real SFD rose 0.</w:t>
      </w:r>
      <w:r w:rsidR="007D6231" w:rsidRPr="380E47D5">
        <w:rPr>
          <w:color w:val="000000" w:themeColor="text1"/>
          <w:sz w:val="16"/>
          <w:szCs w:val="16"/>
        </w:rPr>
        <w:t>5</w:t>
      </w:r>
      <w:r w:rsidR="00C62D14" w:rsidRPr="380E47D5">
        <w:rPr>
          <w:color w:val="000000" w:themeColor="text1"/>
          <w:sz w:val="16"/>
          <w:szCs w:val="16"/>
        </w:rPr>
        <w:t xml:space="preserve">% in the </w:t>
      </w:r>
      <w:r w:rsidR="007D6231" w:rsidRPr="380E47D5">
        <w:rPr>
          <w:color w:val="000000" w:themeColor="text1"/>
          <w:sz w:val="16"/>
          <w:szCs w:val="16"/>
        </w:rPr>
        <w:t>June</w:t>
      </w:r>
      <w:r w:rsidR="00C62D14" w:rsidRPr="380E47D5">
        <w:rPr>
          <w:color w:val="000000" w:themeColor="text1"/>
          <w:sz w:val="16"/>
          <w:szCs w:val="16"/>
        </w:rPr>
        <w:t xml:space="preserve"> quarter 2025, following a </w:t>
      </w:r>
      <w:r w:rsidR="007D6231" w:rsidRPr="380E47D5">
        <w:rPr>
          <w:color w:val="000000" w:themeColor="text1"/>
          <w:sz w:val="16"/>
          <w:szCs w:val="16"/>
        </w:rPr>
        <w:t>0.6</w:t>
      </w:r>
      <w:r w:rsidR="00C62D14" w:rsidRPr="380E47D5">
        <w:rPr>
          <w:color w:val="000000" w:themeColor="text1"/>
          <w:sz w:val="16"/>
          <w:szCs w:val="16"/>
        </w:rPr>
        <w:t xml:space="preserve">% rise in the </w:t>
      </w:r>
      <w:r w:rsidR="007D6231" w:rsidRPr="380E47D5">
        <w:rPr>
          <w:color w:val="000000" w:themeColor="text1"/>
          <w:sz w:val="16"/>
          <w:szCs w:val="16"/>
        </w:rPr>
        <w:t>March</w:t>
      </w:r>
      <w:r w:rsidR="00C62D14" w:rsidRPr="380E47D5">
        <w:rPr>
          <w:color w:val="000000" w:themeColor="text1"/>
          <w:sz w:val="16"/>
          <w:szCs w:val="16"/>
        </w:rPr>
        <w:t xml:space="preserve"> quarter 202</w:t>
      </w:r>
      <w:r w:rsidR="007D6231" w:rsidRPr="380E47D5">
        <w:rPr>
          <w:color w:val="000000" w:themeColor="text1"/>
          <w:sz w:val="16"/>
          <w:szCs w:val="16"/>
        </w:rPr>
        <w:t>5</w:t>
      </w:r>
      <w:r w:rsidR="00C62D14" w:rsidRPr="380E47D5">
        <w:rPr>
          <w:color w:val="000000" w:themeColor="text1"/>
          <w:sz w:val="16"/>
          <w:szCs w:val="16"/>
        </w:rPr>
        <w:t>.</w:t>
      </w:r>
    </w:p>
    <w:p w14:paraId="4ECF2702" w14:textId="2C065DBB" w:rsidR="00C62D14" w:rsidRPr="00F24D5B" w:rsidRDefault="00F14A0E" w:rsidP="380E47D5">
      <w:pPr>
        <w:pStyle w:val="ListParagraph"/>
        <w:numPr>
          <w:ilvl w:val="0"/>
          <w:numId w:val="9"/>
        </w:numPr>
        <w:spacing w:before="40" w:after="40"/>
        <w:ind w:left="357" w:right="227" w:hanging="357"/>
        <w:contextualSpacing w:val="0"/>
        <w:jc w:val="both"/>
        <w:rPr>
          <w:color w:val="000000" w:themeColor="text1"/>
          <w:sz w:val="16"/>
          <w:szCs w:val="16"/>
        </w:rPr>
      </w:pPr>
      <w:r w:rsidRPr="380E47D5">
        <w:rPr>
          <w:color w:val="000000" w:themeColor="text1"/>
          <w:sz w:val="16"/>
          <w:szCs w:val="16"/>
        </w:rPr>
        <w:t xml:space="preserve">The slowing in </w:t>
      </w:r>
      <w:r w:rsidR="00C62D14" w:rsidRPr="380E47D5">
        <w:rPr>
          <w:color w:val="000000" w:themeColor="text1"/>
          <w:sz w:val="16"/>
          <w:szCs w:val="16"/>
        </w:rPr>
        <w:t xml:space="preserve">Western Australia’s real SFD growth in the </w:t>
      </w:r>
      <w:r w:rsidR="007D6231" w:rsidRPr="380E47D5">
        <w:rPr>
          <w:color w:val="000000" w:themeColor="text1"/>
          <w:sz w:val="16"/>
          <w:szCs w:val="16"/>
        </w:rPr>
        <w:t>June</w:t>
      </w:r>
      <w:r w:rsidR="00C62D14" w:rsidRPr="380E47D5">
        <w:rPr>
          <w:color w:val="000000" w:themeColor="text1"/>
          <w:sz w:val="16"/>
          <w:szCs w:val="16"/>
        </w:rPr>
        <w:t xml:space="preserve"> quarter 202</w:t>
      </w:r>
      <w:r w:rsidR="00857EED" w:rsidRPr="380E47D5">
        <w:rPr>
          <w:color w:val="000000" w:themeColor="text1"/>
          <w:sz w:val="16"/>
          <w:szCs w:val="16"/>
        </w:rPr>
        <w:t>5</w:t>
      </w:r>
      <w:r w:rsidR="00C62D14" w:rsidRPr="380E47D5">
        <w:rPr>
          <w:color w:val="000000" w:themeColor="text1"/>
          <w:sz w:val="16"/>
          <w:szCs w:val="16"/>
        </w:rPr>
        <w:t xml:space="preserve"> was driven by:</w:t>
      </w:r>
    </w:p>
    <w:p w14:paraId="5698D024" w14:textId="6A7C5428" w:rsidR="00F14A0E" w:rsidRPr="00F24D5B" w:rsidRDefault="00D74556" w:rsidP="380E47D5">
      <w:pPr>
        <w:pStyle w:val="ListParagraph"/>
        <w:numPr>
          <w:ilvl w:val="0"/>
          <w:numId w:val="10"/>
        </w:numPr>
        <w:spacing w:before="40" w:after="40"/>
        <w:ind w:right="227" w:hanging="357"/>
        <w:contextualSpacing w:val="0"/>
        <w:jc w:val="both"/>
        <w:rPr>
          <w:color w:val="000000" w:themeColor="text1"/>
          <w:sz w:val="16"/>
          <w:szCs w:val="16"/>
        </w:rPr>
      </w:pPr>
      <w:r w:rsidRPr="380E47D5">
        <w:rPr>
          <w:color w:val="000000" w:themeColor="text1"/>
          <w:sz w:val="16"/>
          <w:szCs w:val="16"/>
        </w:rPr>
        <w:t>p</w:t>
      </w:r>
      <w:r w:rsidR="00F14A0E" w:rsidRPr="380E47D5">
        <w:rPr>
          <w:color w:val="000000" w:themeColor="text1"/>
          <w:sz w:val="16"/>
          <w:szCs w:val="16"/>
        </w:rPr>
        <w:t xml:space="preserve">ublic final demand falling </w:t>
      </w:r>
      <w:r w:rsidR="00FA307F" w:rsidRPr="380E47D5">
        <w:rPr>
          <w:color w:val="000000" w:themeColor="text1"/>
          <w:sz w:val="16"/>
          <w:szCs w:val="16"/>
        </w:rPr>
        <w:t>0.9</w:t>
      </w:r>
      <w:r w:rsidR="00F14A0E" w:rsidRPr="380E47D5">
        <w:rPr>
          <w:color w:val="000000" w:themeColor="text1"/>
          <w:sz w:val="16"/>
          <w:szCs w:val="16"/>
        </w:rPr>
        <w:t xml:space="preserve">% following a </w:t>
      </w:r>
      <w:r w:rsidR="00FA307F" w:rsidRPr="380E47D5">
        <w:rPr>
          <w:color w:val="000000" w:themeColor="text1"/>
          <w:sz w:val="16"/>
          <w:szCs w:val="16"/>
        </w:rPr>
        <w:t>fall</w:t>
      </w:r>
      <w:r w:rsidR="00F14A0E" w:rsidRPr="380E47D5">
        <w:rPr>
          <w:color w:val="000000" w:themeColor="text1"/>
          <w:sz w:val="16"/>
          <w:szCs w:val="16"/>
        </w:rPr>
        <w:t xml:space="preserve"> of </w:t>
      </w:r>
      <w:r w:rsidR="00FA307F" w:rsidRPr="380E47D5">
        <w:rPr>
          <w:color w:val="000000" w:themeColor="text1"/>
          <w:sz w:val="16"/>
          <w:szCs w:val="16"/>
        </w:rPr>
        <w:t>0.3</w:t>
      </w:r>
      <w:r w:rsidR="00F14A0E" w:rsidRPr="380E47D5">
        <w:rPr>
          <w:color w:val="000000" w:themeColor="text1"/>
          <w:sz w:val="16"/>
          <w:szCs w:val="16"/>
        </w:rPr>
        <w:t>% in the previous quarter</w:t>
      </w:r>
    </w:p>
    <w:p w14:paraId="5E65F596" w14:textId="52966CCA" w:rsidR="00F14A0E" w:rsidRPr="00F24D5B" w:rsidRDefault="00D74556" w:rsidP="380E47D5">
      <w:pPr>
        <w:pStyle w:val="ListParagraph"/>
        <w:numPr>
          <w:ilvl w:val="0"/>
          <w:numId w:val="10"/>
        </w:numPr>
        <w:spacing w:before="40" w:after="40"/>
        <w:ind w:right="227" w:hanging="357"/>
        <w:contextualSpacing w:val="0"/>
        <w:jc w:val="both"/>
        <w:rPr>
          <w:color w:val="000000" w:themeColor="text1"/>
          <w:sz w:val="16"/>
          <w:szCs w:val="16"/>
        </w:rPr>
      </w:pPr>
      <w:r w:rsidRPr="380E47D5">
        <w:rPr>
          <w:color w:val="000000" w:themeColor="text1"/>
          <w:sz w:val="16"/>
          <w:szCs w:val="16"/>
        </w:rPr>
        <w:t>p</w:t>
      </w:r>
      <w:r w:rsidR="00FA307F" w:rsidRPr="380E47D5">
        <w:rPr>
          <w:color w:val="000000" w:themeColor="text1"/>
          <w:sz w:val="16"/>
          <w:szCs w:val="16"/>
        </w:rPr>
        <w:t>rivate investment falling 0.1% following a 2.3% rise in th</w:t>
      </w:r>
      <w:r w:rsidR="00F14A0E" w:rsidRPr="380E47D5">
        <w:rPr>
          <w:color w:val="000000" w:themeColor="text1"/>
          <w:sz w:val="16"/>
          <w:szCs w:val="16"/>
        </w:rPr>
        <w:t>e previous quarter</w:t>
      </w:r>
      <w:r w:rsidR="002F126D" w:rsidRPr="380E47D5">
        <w:rPr>
          <w:color w:val="000000" w:themeColor="text1"/>
          <w:sz w:val="16"/>
          <w:szCs w:val="16"/>
        </w:rPr>
        <w:t>.</w:t>
      </w:r>
    </w:p>
    <w:p w14:paraId="3EB5E0BF" w14:textId="4F375A1A" w:rsidR="00233755" w:rsidRPr="00F24D5B" w:rsidRDefault="00E41CE3" w:rsidP="380E47D5">
      <w:pPr>
        <w:pStyle w:val="ListParagraph"/>
        <w:numPr>
          <w:ilvl w:val="0"/>
          <w:numId w:val="9"/>
        </w:numPr>
        <w:spacing w:before="40" w:after="40"/>
        <w:ind w:left="357" w:right="227" w:hanging="357"/>
        <w:contextualSpacing w:val="0"/>
        <w:jc w:val="both"/>
        <w:rPr>
          <w:color w:val="000000" w:themeColor="text1"/>
          <w:sz w:val="16"/>
          <w:szCs w:val="16"/>
        </w:rPr>
      </w:pPr>
      <w:r w:rsidRPr="380E47D5">
        <w:rPr>
          <w:color w:val="000000" w:themeColor="text1"/>
          <w:sz w:val="16"/>
          <w:szCs w:val="16"/>
        </w:rPr>
        <w:t xml:space="preserve">Household consumption </w:t>
      </w:r>
      <w:r w:rsidR="00F14A0E" w:rsidRPr="380E47D5">
        <w:rPr>
          <w:color w:val="000000" w:themeColor="text1"/>
          <w:sz w:val="16"/>
          <w:szCs w:val="16"/>
        </w:rPr>
        <w:t xml:space="preserve">was the main contributor to Western Australia’s real SFD growth in the </w:t>
      </w:r>
      <w:r w:rsidR="00A87276" w:rsidRPr="380E47D5">
        <w:rPr>
          <w:color w:val="000000" w:themeColor="text1"/>
          <w:sz w:val="16"/>
          <w:szCs w:val="16"/>
        </w:rPr>
        <w:t>June</w:t>
      </w:r>
      <w:r w:rsidR="00F14A0E" w:rsidRPr="380E47D5">
        <w:rPr>
          <w:color w:val="000000" w:themeColor="text1"/>
          <w:sz w:val="16"/>
          <w:szCs w:val="16"/>
        </w:rPr>
        <w:t xml:space="preserve"> quarter 2025, </w:t>
      </w:r>
      <w:r w:rsidR="00986038" w:rsidRPr="380E47D5">
        <w:rPr>
          <w:color w:val="000000" w:themeColor="text1"/>
          <w:sz w:val="16"/>
          <w:szCs w:val="16"/>
        </w:rPr>
        <w:t xml:space="preserve">with </w:t>
      </w:r>
      <w:r w:rsidR="003F7F13" w:rsidRPr="380E47D5">
        <w:rPr>
          <w:color w:val="000000" w:themeColor="text1"/>
          <w:sz w:val="16"/>
          <w:szCs w:val="16"/>
        </w:rPr>
        <w:t xml:space="preserve">growth in </w:t>
      </w:r>
      <w:r w:rsidR="00A87276" w:rsidRPr="380E47D5">
        <w:rPr>
          <w:color w:val="000000" w:themeColor="text1"/>
          <w:sz w:val="16"/>
          <w:szCs w:val="16"/>
        </w:rPr>
        <w:t xml:space="preserve">household consumption </w:t>
      </w:r>
      <w:r w:rsidR="00A47E34" w:rsidRPr="380E47D5">
        <w:rPr>
          <w:color w:val="000000" w:themeColor="text1"/>
          <w:sz w:val="16"/>
          <w:szCs w:val="16"/>
        </w:rPr>
        <w:t>increasing</w:t>
      </w:r>
      <w:r w:rsidR="00755FE7" w:rsidRPr="380E47D5">
        <w:rPr>
          <w:color w:val="000000" w:themeColor="text1"/>
          <w:sz w:val="16"/>
          <w:szCs w:val="16"/>
        </w:rPr>
        <w:t xml:space="preserve"> t</w:t>
      </w:r>
      <w:r w:rsidR="00986038" w:rsidRPr="380E47D5">
        <w:rPr>
          <w:color w:val="000000" w:themeColor="text1"/>
          <w:sz w:val="16"/>
          <w:szCs w:val="16"/>
        </w:rPr>
        <w:t xml:space="preserve">o </w:t>
      </w:r>
      <w:r w:rsidR="00A87276" w:rsidRPr="380E47D5">
        <w:rPr>
          <w:color w:val="000000" w:themeColor="text1"/>
          <w:sz w:val="16"/>
          <w:szCs w:val="16"/>
        </w:rPr>
        <w:t>1.6</w:t>
      </w:r>
      <w:r w:rsidR="00C62D14" w:rsidRPr="380E47D5">
        <w:rPr>
          <w:color w:val="000000" w:themeColor="text1"/>
          <w:sz w:val="16"/>
          <w:szCs w:val="16"/>
        </w:rPr>
        <w:t>%</w:t>
      </w:r>
      <w:r w:rsidR="00986038" w:rsidRPr="380E47D5">
        <w:rPr>
          <w:color w:val="000000" w:themeColor="text1"/>
          <w:sz w:val="16"/>
          <w:szCs w:val="16"/>
        </w:rPr>
        <w:t xml:space="preserve"> </w:t>
      </w:r>
      <w:r w:rsidR="00755FE7" w:rsidRPr="380E47D5">
        <w:rPr>
          <w:color w:val="000000" w:themeColor="text1"/>
          <w:sz w:val="16"/>
          <w:szCs w:val="16"/>
        </w:rPr>
        <w:t xml:space="preserve">following </w:t>
      </w:r>
      <w:r w:rsidR="00C62D14" w:rsidRPr="380E47D5">
        <w:rPr>
          <w:color w:val="000000" w:themeColor="text1"/>
          <w:sz w:val="16"/>
          <w:szCs w:val="16"/>
        </w:rPr>
        <w:t xml:space="preserve">a </w:t>
      </w:r>
      <w:r w:rsidR="00857EED" w:rsidRPr="380E47D5">
        <w:rPr>
          <w:color w:val="000000" w:themeColor="text1"/>
          <w:sz w:val="16"/>
          <w:szCs w:val="16"/>
        </w:rPr>
        <w:t>rise</w:t>
      </w:r>
      <w:r w:rsidR="00C62D14" w:rsidRPr="380E47D5">
        <w:rPr>
          <w:color w:val="000000" w:themeColor="text1"/>
          <w:sz w:val="16"/>
          <w:szCs w:val="16"/>
        </w:rPr>
        <w:t xml:space="preserve"> </w:t>
      </w:r>
      <w:r w:rsidR="00857EED" w:rsidRPr="380E47D5">
        <w:rPr>
          <w:color w:val="000000" w:themeColor="text1"/>
          <w:sz w:val="16"/>
          <w:szCs w:val="16"/>
        </w:rPr>
        <w:t xml:space="preserve">of </w:t>
      </w:r>
      <w:r w:rsidR="00A87276" w:rsidRPr="380E47D5">
        <w:rPr>
          <w:color w:val="000000" w:themeColor="text1"/>
          <w:sz w:val="16"/>
          <w:szCs w:val="16"/>
        </w:rPr>
        <w:t>0.1</w:t>
      </w:r>
      <w:r w:rsidR="00C62D14" w:rsidRPr="380E47D5">
        <w:rPr>
          <w:color w:val="000000" w:themeColor="text1"/>
          <w:sz w:val="16"/>
          <w:szCs w:val="16"/>
        </w:rPr>
        <w:t>% in the previous quarter</w:t>
      </w:r>
      <w:r w:rsidR="00233755" w:rsidRPr="380E47D5">
        <w:rPr>
          <w:color w:val="000000" w:themeColor="text1"/>
          <w:sz w:val="16"/>
          <w:szCs w:val="16"/>
        </w:rPr>
        <w:t>.</w:t>
      </w:r>
    </w:p>
    <w:p w14:paraId="627BE13E" w14:textId="77777777" w:rsidR="00233755" w:rsidRPr="00C14B33" w:rsidRDefault="00233755" w:rsidP="006058E8">
      <w:pPr>
        <w:pStyle w:val="ListParagraph"/>
        <w:numPr>
          <w:ilvl w:val="0"/>
          <w:numId w:val="9"/>
        </w:numPr>
        <w:jc w:val="both"/>
        <w:rPr>
          <w:sz w:val="16"/>
          <w:szCs w:val="16"/>
        </w:rPr>
        <w:sectPr w:rsidR="00233755" w:rsidRPr="00C14B33" w:rsidSect="00233755">
          <w:type w:val="continuous"/>
          <w:pgSz w:w="11907" w:h="16840" w:code="9"/>
          <w:pgMar w:top="1701" w:right="425" w:bottom="567" w:left="567" w:header="709" w:footer="709" w:gutter="0"/>
          <w:cols w:num="2" w:space="113"/>
          <w:docGrid w:linePitch="360"/>
        </w:sectPr>
      </w:pPr>
    </w:p>
    <w:p w14:paraId="457CF55E" w14:textId="3A2EE369" w:rsidR="00233755" w:rsidRPr="00C83366" w:rsidRDefault="00233755" w:rsidP="380E47D5">
      <w:pPr>
        <w:pStyle w:val="Heading4"/>
        <w:rPr>
          <w:i w:val="0"/>
          <w:iCs w:val="0"/>
          <w:color w:val="00997A"/>
          <w:sz w:val="20"/>
          <w:szCs w:val="20"/>
        </w:rPr>
        <w:sectPr w:rsidR="00233755" w:rsidRPr="00C83366"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Interstate comparison of state final demand by component (contribution to change): </w:t>
      </w:r>
      <w:r w:rsidR="001457B7" w:rsidRPr="004F2122">
        <w:rPr>
          <w:i w:val="0"/>
          <w:iCs w:val="0"/>
          <w:color w:val="00997A"/>
          <w:sz w:val="20"/>
          <w:szCs w:val="20"/>
        </w:rPr>
        <w:t>June</w:t>
      </w:r>
      <w:r w:rsidRPr="004F2122">
        <w:rPr>
          <w:i w:val="0"/>
          <w:iCs w:val="0"/>
          <w:color w:val="00997A"/>
          <w:sz w:val="20"/>
          <w:szCs w:val="20"/>
        </w:rPr>
        <w:t xml:space="preserve"> quarter</w:t>
      </w:r>
      <w:r w:rsidRPr="380E47D5">
        <w:rPr>
          <w:i w:val="0"/>
          <w:iCs w:val="0"/>
          <w:color w:val="00B050"/>
          <w:sz w:val="20"/>
          <w:szCs w:val="20"/>
        </w:rPr>
        <w:t xml:space="preserve"> </w:t>
      </w:r>
      <w:r w:rsidRPr="380E47D5">
        <w:rPr>
          <w:i w:val="0"/>
          <w:iCs w:val="0"/>
          <w:color w:val="00997A"/>
          <w:sz w:val="20"/>
          <w:szCs w:val="20"/>
        </w:rPr>
        <w:t>202</w:t>
      </w:r>
      <w:r w:rsidR="005B333F" w:rsidRPr="380E47D5">
        <w:rPr>
          <w:i w:val="0"/>
          <w:iCs w:val="0"/>
          <w:color w:val="00997A"/>
          <w:sz w:val="20"/>
          <w:szCs w:val="20"/>
        </w:rPr>
        <w:t>5</w:t>
      </w:r>
    </w:p>
    <w:p w14:paraId="65DDFBED" w14:textId="2BD2BADA" w:rsidR="00233755" w:rsidRPr="007B1AE5" w:rsidRDefault="00C75589" w:rsidP="00233755">
      <w:r>
        <w:rPr>
          <w:noProof/>
        </w:rPr>
        <w:drawing>
          <wp:inline distT="0" distB="0" distL="0" distR="0" wp14:anchorId="5F1AA9C7" wp14:editId="324119E9">
            <wp:extent cx="3429000" cy="2102724"/>
            <wp:effectExtent l="0" t="0" r="0" b="0"/>
            <wp:docPr id="10850178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7594" cy="2114126"/>
                    </a:xfrm>
                    <a:prstGeom prst="rect">
                      <a:avLst/>
                    </a:prstGeom>
                    <a:noFill/>
                    <a:ln>
                      <a:noFill/>
                    </a:ln>
                  </pic:spPr>
                </pic:pic>
              </a:graphicData>
            </a:graphic>
          </wp:inline>
        </w:drawing>
      </w:r>
    </w:p>
    <w:p w14:paraId="101698B4" w14:textId="77777777" w:rsidR="00233755" w:rsidRPr="00AF759E" w:rsidRDefault="00233755" w:rsidP="00233755">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 xml:space="preserve">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r>
        <w:rPr>
          <w:sz w:val="10"/>
          <w:szCs w:val="10"/>
        </w:rPr>
        <w:t>(</w:t>
      </w:r>
      <w:r w:rsidRPr="00AF759E">
        <w:rPr>
          <w:sz w:val="10"/>
          <w:szCs w:val="10"/>
        </w:rPr>
        <w:t>a) Private gross fixed capital formation. (b)</w:t>
      </w:r>
      <w:r>
        <w:rPr>
          <w:sz w:val="10"/>
          <w:szCs w:val="10"/>
        </w:rPr>
        <w:t> </w:t>
      </w:r>
      <w:r w:rsidRPr="00AF759E">
        <w:rPr>
          <w:sz w:val="10"/>
          <w:szCs w:val="10"/>
        </w:rPr>
        <w:t>General government final consumption expenditure and public gross fixed capital formation.</w:t>
      </w:r>
    </w:p>
    <w:p w14:paraId="4DECF08E" w14:textId="77777777" w:rsidR="00233755" w:rsidRPr="00AF759E" w:rsidRDefault="00233755" w:rsidP="00233755">
      <w:pPr>
        <w:jc w:val="both"/>
        <w:rPr>
          <w:sz w:val="10"/>
          <w:szCs w:val="10"/>
        </w:rPr>
      </w:pPr>
      <w:r w:rsidRPr="00AF759E">
        <w:rPr>
          <w:sz w:val="10"/>
          <w:szCs w:val="10"/>
        </w:rPr>
        <w:t>Source: Based on ABS data.</w:t>
      </w:r>
    </w:p>
    <w:p w14:paraId="15D55626" w14:textId="19888884" w:rsidR="00233755" w:rsidRPr="00631D9C" w:rsidRDefault="00233755" w:rsidP="380E47D5">
      <w:pPr>
        <w:pStyle w:val="ListParagraph"/>
        <w:numPr>
          <w:ilvl w:val="0"/>
          <w:numId w:val="9"/>
        </w:numPr>
        <w:tabs>
          <w:tab w:val="left" w:pos="5103"/>
        </w:tabs>
        <w:spacing w:before="40" w:after="40"/>
        <w:ind w:left="357" w:right="227" w:hanging="357"/>
        <w:contextualSpacing w:val="0"/>
        <w:jc w:val="both"/>
        <w:rPr>
          <w:sz w:val="16"/>
          <w:szCs w:val="16"/>
        </w:rPr>
      </w:pPr>
      <w:r>
        <w:br w:type="column"/>
      </w:r>
      <w:bookmarkStart w:id="7" w:name="_Hlk194503052"/>
      <w:r w:rsidRPr="380E47D5">
        <w:rPr>
          <w:sz w:val="16"/>
          <w:szCs w:val="16"/>
        </w:rPr>
        <w:t xml:space="preserve">Western Australia’s real SFD grew </w:t>
      </w:r>
      <w:r w:rsidR="00A776A4" w:rsidRPr="380E47D5">
        <w:rPr>
          <w:sz w:val="16"/>
          <w:szCs w:val="16"/>
        </w:rPr>
        <w:t>2.9</w:t>
      </w:r>
      <w:r w:rsidRPr="380E47D5">
        <w:rPr>
          <w:sz w:val="16"/>
          <w:szCs w:val="16"/>
        </w:rPr>
        <w:t xml:space="preserve">% in the year to the </w:t>
      </w:r>
      <w:r w:rsidR="00A776A4" w:rsidRPr="380E47D5">
        <w:rPr>
          <w:sz w:val="16"/>
          <w:szCs w:val="16"/>
        </w:rPr>
        <w:t>June</w:t>
      </w:r>
      <w:r w:rsidRPr="380E47D5">
        <w:rPr>
          <w:sz w:val="16"/>
          <w:szCs w:val="16"/>
        </w:rPr>
        <w:t xml:space="preserve"> quarter 202</w:t>
      </w:r>
      <w:r w:rsidR="005B333F" w:rsidRPr="380E47D5">
        <w:rPr>
          <w:sz w:val="16"/>
          <w:szCs w:val="16"/>
        </w:rPr>
        <w:t>5</w:t>
      </w:r>
      <w:r w:rsidRPr="380E47D5">
        <w:rPr>
          <w:sz w:val="16"/>
          <w:szCs w:val="16"/>
        </w:rPr>
        <w:t xml:space="preserve">. This was the </w:t>
      </w:r>
      <w:r w:rsidR="00AA6E52" w:rsidRPr="380E47D5">
        <w:rPr>
          <w:sz w:val="16"/>
          <w:szCs w:val="16"/>
        </w:rPr>
        <w:t xml:space="preserve">equal </w:t>
      </w:r>
      <w:r w:rsidR="004549EB" w:rsidRPr="380E47D5">
        <w:rPr>
          <w:sz w:val="16"/>
          <w:szCs w:val="16"/>
        </w:rPr>
        <w:t>third</w:t>
      </w:r>
      <w:r w:rsidRPr="380E47D5">
        <w:rPr>
          <w:sz w:val="16"/>
          <w:szCs w:val="16"/>
        </w:rPr>
        <w:t xml:space="preserve"> highest growth rate </w:t>
      </w:r>
      <w:r w:rsidR="004422C2" w:rsidRPr="380E47D5">
        <w:rPr>
          <w:sz w:val="16"/>
          <w:szCs w:val="16"/>
        </w:rPr>
        <w:t xml:space="preserve">with the Northern Territory </w:t>
      </w:r>
      <w:r w:rsidRPr="380E47D5">
        <w:rPr>
          <w:sz w:val="16"/>
          <w:szCs w:val="16"/>
        </w:rPr>
        <w:t xml:space="preserve">of all </w:t>
      </w:r>
      <w:r w:rsidR="00D44F16" w:rsidRPr="380E47D5">
        <w:rPr>
          <w:sz w:val="16"/>
          <w:szCs w:val="16"/>
        </w:rPr>
        <w:t xml:space="preserve">the </w:t>
      </w:r>
      <w:r w:rsidRPr="380E47D5">
        <w:rPr>
          <w:sz w:val="16"/>
          <w:szCs w:val="16"/>
        </w:rPr>
        <w:t xml:space="preserve">states and territories, behind the </w:t>
      </w:r>
      <w:r w:rsidR="004549EB" w:rsidRPr="380E47D5">
        <w:rPr>
          <w:sz w:val="16"/>
          <w:szCs w:val="16"/>
        </w:rPr>
        <w:t xml:space="preserve">Australian Capital Territory (4.2%).and </w:t>
      </w:r>
      <w:r w:rsidR="00AA6E52" w:rsidRPr="380E47D5">
        <w:rPr>
          <w:sz w:val="16"/>
          <w:szCs w:val="16"/>
        </w:rPr>
        <w:t>Tasmania</w:t>
      </w:r>
      <w:r w:rsidRPr="380E47D5">
        <w:rPr>
          <w:sz w:val="16"/>
          <w:szCs w:val="16"/>
        </w:rPr>
        <w:t xml:space="preserve"> (</w:t>
      </w:r>
      <w:r w:rsidR="00AA6E52" w:rsidRPr="380E47D5">
        <w:rPr>
          <w:sz w:val="16"/>
          <w:szCs w:val="16"/>
        </w:rPr>
        <w:t>3.8</w:t>
      </w:r>
      <w:r w:rsidRPr="380E47D5">
        <w:rPr>
          <w:sz w:val="16"/>
          <w:szCs w:val="16"/>
        </w:rPr>
        <w:t>%)</w:t>
      </w:r>
      <w:r w:rsidR="00AA6E52" w:rsidRPr="380E47D5">
        <w:rPr>
          <w:sz w:val="16"/>
          <w:szCs w:val="16"/>
        </w:rPr>
        <w:t>.</w:t>
      </w:r>
    </w:p>
    <w:p w14:paraId="3456AC1F" w14:textId="39DDAA32" w:rsidR="00233755" w:rsidRPr="006B1E09" w:rsidRDefault="00233755" w:rsidP="380E47D5">
      <w:pPr>
        <w:pStyle w:val="ListParagraph"/>
        <w:numPr>
          <w:ilvl w:val="0"/>
          <w:numId w:val="9"/>
        </w:numPr>
        <w:tabs>
          <w:tab w:val="left" w:pos="5103"/>
        </w:tabs>
        <w:spacing w:before="40" w:after="40"/>
        <w:ind w:left="357" w:right="227" w:hanging="357"/>
        <w:contextualSpacing w:val="0"/>
        <w:jc w:val="both"/>
        <w:rPr>
          <w:sz w:val="16"/>
          <w:szCs w:val="16"/>
        </w:rPr>
      </w:pPr>
      <w:r w:rsidRPr="380E47D5">
        <w:rPr>
          <w:sz w:val="16"/>
          <w:szCs w:val="16"/>
        </w:rPr>
        <w:t xml:space="preserve">In the year to the </w:t>
      </w:r>
      <w:r w:rsidR="00415985" w:rsidRPr="380E47D5">
        <w:rPr>
          <w:sz w:val="16"/>
          <w:szCs w:val="16"/>
        </w:rPr>
        <w:t>June</w:t>
      </w:r>
      <w:r w:rsidRPr="380E47D5">
        <w:rPr>
          <w:sz w:val="16"/>
          <w:szCs w:val="16"/>
        </w:rPr>
        <w:t xml:space="preserve"> quarter 202</w:t>
      </w:r>
      <w:r w:rsidR="005B333F" w:rsidRPr="380E47D5">
        <w:rPr>
          <w:sz w:val="16"/>
          <w:szCs w:val="16"/>
        </w:rPr>
        <w:t>5</w:t>
      </w:r>
      <w:r w:rsidRPr="380E47D5">
        <w:rPr>
          <w:sz w:val="16"/>
          <w:szCs w:val="16"/>
        </w:rPr>
        <w:t>, contributions to Western Australia’s real SFD growth were:</w:t>
      </w:r>
    </w:p>
    <w:p w14:paraId="7C160390" w14:textId="4020A973" w:rsidR="00233755" w:rsidRPr="006B1E09" w:rsidRDefault="00AE3E60" w:rsidP="380E47D5">
      <w:pPr>
        <w:pStyle w:val="ListParagraph"/>
        <w:numPr>
          <w:ilvl w:val="0"/>
          <w:numId w:val="10"/>
        </w:numPr>
        <w:spacing w:before="40" w:after="40"/>
        <w:ind w:right="227" w:hanging="357"/>
        <w:contextualSpacing w:val="0"/>
        <w:jc w:val="both"/>
        <w:rPr>
          <w:sz w:val="16"/>
          <w:szCs w:val="16"/>
        </w:rPr>
      </w:pPr>
      <w:r w:rsidRPr="380E47D5">
        <w:rPr>
          <w:sz w:val="16"/>
          <w:szCs w:val="16"/>
        </w:rPr>
        <w:t>p</w:t>
      </w:r>
      <w:r w:rsidR="00233755" w:rsidRPr="380E47D5">
        <w:rPr>
          <w:sz w:val="16"/>
          <w:szCs w:val="16"/>
        </w:rPr>
        <w:t xml:space="preserve">ublic final demand: </w:t>
      </w:r>
      <w:r w:rsidR="001B495E" w:rsidRPr="380E47D5">
        <w:rPr>
          <w:sz w:val="16"/>
          <w:szCs w:val="16"/>
        </w:rPr>
        <w:t>1.7</w:t>
      </w:r>
      <w:r w:rsidR="00233755" w:rsidRPr="380E47D5">
        <w:rPr>
          <w:sz w:val="16"/>
          <w:szCs w:val="16"/>
        </w:rPr>
        <w:t> percentage points</w:t>
      </w:r>
    </w:p>
    <w:p w14:paraId="7393B780" w14:textId="3C82792F" w:rsidR="00233755" w:rsidRPr="006B1E09" w:rsidRDefault="00AE3E60" w:rsidP="380E47D5">
      <w:pPr>
        <w:pStyle w:val="ListParagraph"/>
        <w:numPr>
          <w:ilvl w:val="0"/>
          <w:numId w:val="10"/>
        </w:numPr>
        <w:spacing w:before="40" w:after="40"/>
        <w:ind w:right="227" w:hanging="357"/>
        <w:contextualSpacing w:val="0"/>
        <w:jc w:val="both"/>
        <w:rPr>
          <w:sz w:val="16"/>
          <w:szCs w:val="16"/>
        </w:rPr>
      </w:pPr>
      <w:r w:rsidRPr="380E47D5">
        <w:rPr>
          <w:sz w:val="16"/>
          <w:szCs w:val="16"/>
        </w:rPr>
        <w:t>hou</w:t>
      </w:r>
      <w:r w:rsidR="00233755" w:rsidRPr="380E47D5">
        <w:rPr>
          <w:sz w:val="16"/>
          <w:szCs w:val="16"/>
        </w:rPr>
        <w:t xml:space="preserve">sehold consumption: </w:t>
      </w:r>
      <w:r w:rsidR="001B495E" w:rsidRPr="380E47D5">
        <w:rPr>
          <w:sz w:val="16"/>
          <w:szCs w:val="16"/>
        </w:rPr>
        <w:t>1.1</w:t>
      </w:r>
      <w:r w:rsidR="00233755" w:rsidRPr="380E47D5">
        <w:rPr>
          <w:sz w:val="16"/>
          <w:szCs w:val="16"/>
        </w:rPr>
        <w:t> percentage points</w:t>
      </w:r>
    </w:p>
    <w:p w14:paraId="04F3A403" w14:textId="362F50C0" w:rsidR="00233755" w:rsidRPr="006B1E09" w:rsidRDefault="00AE3E60" w:rsidP="380E47D5">
      <w:pPr>
        <w:pStyle w:val="ListParagraph"/>
        <w:numPr>
          <w:ilvl w:val="0"/>
          <w:numId w:val="10"/>
        </w:numPr>
        <w:spacing w:before="40" w:after="40"/>
        <w:ind w:right="227" w:hanging="357"/>
        <w:contextualSpacing w:val="0"/>
        <w:jc w:val="both"/>
        <w:rPr>
          <w:sz w:val="16"/>
          <w:szCs w:val="16"/>
        </w:rPr>
      </w:pPr>
      <w:r w:rsidRPr="380E47D5">
        <w:rPr>
          <w:sz w:val="16"/>
          <w:szCs w:val="16"/>
        </w:rPr>
        <w:t>p</w:t>
      </w:r>
      <w:r w:rsidR="00233755" w:rsidRPr="380E47D5">
        <w:rPr>
          <w:sz w:val="16"/>
          <w:szCs w:val="16"/>
        </w:rPr>
        <w:t>rivate investment: 0.</w:t>
      </w:r>
      <w:r w:rsidR="00631D9C" w:rsidRPr="380E47D5">
        <w:rPr>
          <w:sz w:val="16"/>
          <w:szCs w:val="16"/>
        </w:rPr>
        <w:t>1</w:t>
      </w:r>
      <w:r w:rsidR="00233755" w:rsidRPr="380E47D5">
        <w:rPr>
          <w:sz w:val="16"/>
          <w:szCs w:val="16"/>
        </w:rPr>
        <w:t> percentage points.</w:t>
      </w:r>
    </w:p>
    <w:p w14:paraId="11E7B9F8" w14:textId="648D08E8" w:rsidR="00233755" w:rsidRPr="006B1E09" w:rsidRDefault="00233755" w:rsidP="380E47D5">
      <w:pPr>
        <w:pStyle w:val="ListParagraph"/>
        <w:numPr>
          <w:ilvl w:val="0"/>
          <w:numId w:val="9"/>
        </w:numPr>
        <w:spacing w:before="40" w:after="40"/>
        <w:ind w:left="357" w:right="227" w:hanging="357"/>
        <w:contextualSpacing w:val="0"/>
        <w:jc w:val="both"/>
        <w:rPr>
          <w:sz w:val="16"/>
          <w:szCs w:val="16"/>
        </w:rPr>
      </w:pPr>
      <w:r w:rsidRPr="380E47D5">
        <w:rPr>
          <w:sz w:val="16"/>
          <w:szCs w:val="16"/>
        </w:rPr>
        <w:t xml:space="preserve">In the year to the </w:t>
      </w:r>
      <w:r w:rsidR="00631D9C" w:rsidRPr="380E47D5">
        <w:rPr>
          <w:sz w:val="16"/>
          <w:szCs w:val="16"/>
        </w:rPr>
        <w:t>June</w:t>
      </w:r>
      <w:r w:rsidRPr="380E47D5">
        <w:rPr>
          <w:sz w:val="16"/>
          <w:szCs w:val="16"/>
        </w:rPr>
        <w:t xml:space="preserve"> quarter 202</w:t>
      </w:r>
      <w:r w:rsidR="005B333F" w:rsidRPr="380E47D5">
        <w:rPr>
          <w:sz w:val="16"/>
          <w:szCs w:val="16"/>
        </w:rPr>
        <w:t>5</w:t>
      </w:r>
      <w:r w:rsidRPr="380E47D5">
        <w:rPr>
          <w:sz w:val="16"/>
          <w:szCs w:val="16"/>
        </w:rPr>
        <w:t>, the contribution to real SFD growth of:</w:t>
      </w:r>
    </w:p>
    <w:p w14:paraId="01D61F63" w14:textId="2866F289" w:rsidR="00233755" w:rsidRPr="006B1E09" w:rsidRDefault="00233755" w:rsidP="380E47D5">
      <w:pPr>
        <w:pStyle w:val="ListParagraph"/>
        <w:numPr>
          <w:ilvl w:val="0"/>
          <w:numId w:val="10"/>
        </w:numPr>
        <w:spacing w:before="40" w:after="40"/>
        <w:ind w:right="227" w:hanging="357"/>
        <w:contextualSpacing w:val="0"/>
        <w:jc w:val="both"/>
        <w:rPr>
          <w:sz w:val="16"/>
          <w:szCs w:val="16"/>
        </w:rPr>
      </w:pPr>
      <w:r w:rsidRPr="380E47D5">
        <w:rPr>
          <w:sz w:val="16"/>
          <w:szCs w:val="16"/>
        </w:rPr>
        <w:t>household consumption was the highest in Western Australia, followed by the Northern Territory</w:t>
      </w:r>
    </w:p>
    <w:p w14:paraId="0E7EC699" w14:textId="284A4D4C" w:rsidR="00233755" w:rsidRPr="006B1E09" w:rsidRDefault="00233755" w:rsidP="380E47D5">
      <w:pPr>
        <w:pStyle w:val="ListParagraph"/>
        <w:numPr>
          <w:ilvl w:val="0"/>
          <w:numId w:val="10"/>
        </w:numPr>
        <w:spacing w:before="40" w:after="40"/>
        <w:ind w:right="227" w:hanging="357"/>
        <w:contextualSpacing w:val="0"/>
        <w:jc w:val="both"/>
        <w:rPr>
          <w:sz w:val="16"/>
          <w:szCs w:val="16"/>
        </w:rPr>
      </w:pPr>
      <w:r w:rsidRPr="380E47D5">
        <w:rPr>
          <w:sz w:val="16"/>
          <w:szCs w:val="16"/>
        </w:rPr>
        <w:t xml:space="preserve">private investment was the </w:t>
      </w:r>
      <w:r w:rsidR="006B1E09" w:rsidRPr="380E47D5">
        <w:rPr>
          <w:sz w:val="16"/>
          <w:szCs w:val="16"/>
        </w:rPr>
        <w:t>third lowest</w:t>
      </w:r>
      <w:r w:rsidRPr="380E47D5">
        <w:rPr>
          <w:sz w:val="16"/>
          <w:szCs w:val="16"/>
        </w:rPr>
        <w:t xml:space="preserve"> in Western Australia</w:t>
      </w:r>
      <w:r w:rsidR="00FB0866" w:rsidRPr="380E47D5">
        <w:rPr>
          <w:sz w:val="16"/>
          <w:szCs w:val="16"/>
        </w:rPr>
        <w:t>, with Northern Territory the highest</w:t>
      </w:r>
    </w:p>
    <w:p w14:paraId="3095A6D0" w14:textId="672B3817" w:rsidR="00233755" w:rsidRPr="00120FDD" w:rsidRDefault="00233755" w:rsidP="380E47D5">
      <w:pPr>
        <w:pStyle w:val="ListParagraph"/>
        <w:numPr>
          <w:ilvl w:val="0"/>
          <w:numId w:val="10"/>
        </w:numPr>
        <w:spacing w:before="40" w:after="40"/>
        <w:ind w:right="227" w:hanging="357"/>
        <w:contextualSpacing w:val="0"/>
        <w:jc w:val="both"/>
        <w:rPr>
          <w:sz w:val="16"/>
          <w:szCs w:val="16"/>
        </w:rPr>
      </w:pPr>
      <w:r w:rsidRPr="00DE1B77">
        <w:rPr>
          <w:sz w:val="16"/>
          <w:szCs w:val="16"/>
        </w:rPr>
        <w:t>public final demand was the</w:t>
      </w:r>
      <w:r w:rsidR="00424725" w:rsidRPr="00DE1B77">
        <w:rPr>
          <w:sz w:val="16"/>
          <w:szCs w:val="16"/>
        </w:rPr>
        <w:t xml:space="preserve"> equal</w:t>
      </w:r>
      <w:r w:rsidRPr="00DE1B77">
        <w:rPr>
          <w:sz w:val="16"/>
          <w:szCs w:val="16"/>
        </w:rPr>
        <w:t xml:space="preserve"> </w:t>
      </w:r>
      <w:r w:rsidR="00424725" w:rsidRPr="00DE1B77">
        <w:rPr>
          <w:sz w:val="16"/>
          <w:szCs w:val="16"/>
        </w:rPr>
        <w:t>fourth</w:t>
      </w:r>
      <w:r w:rsidRPr="00DE1B77">
        <w:rPr>
          <w:sz w:val="16"/>
          <w:szCs w:val="16"/>
        </w:rPr>
        <w:t xml:space="preserve"> highest in Western Australia</w:t>
      </w:r>
      <w:r w:rsidR="00424725" w:rsidRPr="00DE1B77">
        <w:rPr>
          <w:sz w:val="16"/>
          <w:szCs w:val="16"/>
        </w:rPr>
        <w:t xml:space="preserve"> with</w:t>
      </w:r>
      <w:r w:rsidR="006579F2" w:rsidRPr="00DE1B77">
        <w:rPr>
          <w:sz w:val="16"/>
          <w:szCs w:val="16"/>
        </w:rPr>
        <w:t xml:space="preserve"> Queensland</w:t>
      </w:r>
      <w:r w:rsidRPr="00DE1B77">
        <w:rPr>
          <w:sz w:val="16"/>
          <w:szCs w:val="16"/>
        </w:rPr>
        <w:t>, behind the Australian Capital Territory</w:t>
      </w:r>
      <w:r w:rsidR="006579F2" w:rsidRPr="00DE1B77">
        <w:rPr>
          <w:sz w:val="16"/>
          <w:szCs w:val="16"/>
        </w:rPr>
        <w:t xml:space="preserve">, </w:t>
      </w:r>
      <w:r w:rsidR="00FB0866" w:rsidRPr="00DE1B77">
        <w:rPr>
          <w:sz w:val="16"/>
          <w:szCs w:val="16"/>
        </w:rPr>
        <w:t>Tasmania</w:t>
      </w:r>
      <w:r w:rsidR="006579F2" w:rsidRPr="00DE1B77">
        <w:rPr>
          <w:sz w:val="16"/>
          <w:szCs w:val="16"/>
        </w:rPr>
        <w:t xml:space="preserve"> and </w:t>
      </w:r>
      <w:r w:rsidR="006D2C73" w:rsidRPr="00DE1B77">
        <w:rPr>
          <w:sz w:val="16"/>
          <w:szCs w:val="16"/>
        </w:rPr>
        <w:t>South Australia</w:t>
      </w:r>
      <w:r w:rsidR="002F126D" w:rsidRPr="00DE1B77">
        <w:rPr>
          <w:sz w:val="16"/>
          <w:szCs w:val="16"/>
        </w:rPr>
        <w:t>.</w:t>
      </w:r>
    </w:p>
    <w:bookmarkEnd w:id="7"/>
    <w:p w14:paraId="782D522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7DB48A49" w14:textId="49BD4981" w:rsidR="00233755" w:rsidRPr="008F7AA0" w:rsidRDefault="00052D69"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8" w:name="_State_final_demand"/>
      <w:bookmarkEnd w:id="8"/>
      <w:r w:rsidRPr="008F7AA0">
        <w:rPr>
          <w:bCs/>
          <w:color w:val="004C3D"/>
          <w:sz w:val="24"/>
          <w:szCs w:val="24"/>
        </w:rPr>
        <w:lastRenderedPageBreak/>
        <w:t>State final demand</w:t>
      </w:r>
      <w:r w:rsidR="00672CE1" w:rsidRPr="008F7AA0">
        <w:rPr>
          <w:bCs/>
          <w:color w:val="004C3D"/>
          <w:sz w:val="24"/>
          <w:szCs w:val="24"/>
        </w:rPr>
        <w:t xml:space="preserve"> </w:t>
      </w:r>
      <w:r w:rsidRPr="008F7AA0">
        <w:rPr>
          <w:bCs/>
          <w:color w:val="004C3D"/>
          <w:sz w:val="24"/>
          <w:szCs w:val="24"/>
        </w:rPr>
        <w:t>–</w:t>
      </w:r>
      <w:r w:rsidR="00672CE1" w:rsidRPr="008F7AA0">
        <w:rPr>
          <w:bCs/>
          <w:color w:val="004C3D"/>
          <w:sz w:val="24"/>
          <w:szCs w:val="24"/>
        </w:rPr>
        <w:t xml:space="preserve"> components</w:t>
      </w:r>
    </w:p>
    <w:p w14:paraId="122A0BA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20EE11C" w14:textId="408AA802" w:rsidR="00233755" w:rsidRPr="00771D18" w:rsidRDefault="00233755" w:rsidP="380E47D5">
      <w:pPr>
        <w:pStyle w:val="Heading4"/>
        <w:spacing w:before="0"/>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Household consumption by component (contribution to change): </w:t>
      </w:r>
      <w:r w:rsidR="05664386" w:rsidRPr="380E47D5">
        <w:rPr>
          <w:i w:val="0"/>
          <w:iCs w:val="0"/>
          <w:color w:val="00997A"/>
          <w:sz w:val="20"/>
          <w:szCs w:val="20"/>
        </w:rPr>
        <w:t>June q</w:t>
      </w:r>
      <w:r w:rsidRPr="380E47D5">
        <w:rPr>
          <w:i w:val="0"/>
          <w:iCs w:val="0"/>
          <w:color w:val="00997A"/>
          <w:sz w:val="20"/>
          <w:szCs w:val="20"/>
        </w:rPr>
        <w:t>uarter 202</w:t>
      </w:r>
      <w:r w:rsidR="00FB0866" w:rsidRPr="380E47D5">
        <w:rPr>
          <w:i w:val="0"/>
          <w:iCs w:val="0"/>
          <w:color w:val="00997A"/>
          <w:sz w:val="20"/>
          <w:szCs w:val="20"/>
        </w:rPr>
        <w:t>5</w:t>
      </w:r>
    </w:p>
    <w:p w14:paraId="3FDED347" w14:textId="78CAE1FC" w:rsidR="00233755" w:rsidRPr="007B1AE5" w:rsidRDefault="1BFF9974" w:rsidP="00233755">
      <w:r>
        <w:rPr>
          <w:noProof/>
        </w:rPr>
        <w:drawing>
          <wp:inline distT="0" distB="0" distL="0" distR="0" wp14:anchorId="4DBB00D9" wp14:editId="14C84A7B">
            <wp:extent cx="3413760" cy="1909796"/>
            <wp:effectExtent l="0" t="0" r="0" b="0"/>
            <wp:docPr id="8276295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3760" cy="1909796"/>
                    </a:xfrm>
                    <a:prstGeom prst="rect">
                      <a:avLst/>
                    </a:prstGeom>
                    <a:noFill/>
                    <a:ln>
                      <a:noFill/>
                    </a:ln>
                  </pic:spPr>
                </pic:pic>
              </a:graphicData>
            </a:graphic>
          </wp:inline>
        </w:drawing>
      </w:r>
    </w:p>
    <w:p w14:paraId="625C180B"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 measures. Seasonal adjusted series.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p>
    <w:p w14:paraId="02134241" w14:textId="77777777" w:rsidR="00233755" w:rsidRPr="00AF759E" w:rsidRDefault="00233755" w:rsidP="00233755">
      <w:pPr>
        <w:jc w:val="both"/>
        <w:rPr>
          <w:sz w:val="10"/>
          <w:szCs w:val="10"/>
        </w:rPr>
      </w:pPr>
      <w:r w:rsidRPr="00AF759E">
        <w:rPr>
          <w:sz w:val="10"/>
          <w:szCs w:val="10"/>
        </w:rPr>
        <w:t>Source: Based on ABS data.</w:t>
      </w:r>
    </w:p>
    <w:p w14:paraId="37E16C70" w14:textId="083C2926" w:rsidR="00233755" w:rsidRPr="00A57594" w:rsidRDefault="00233755" w:rsidP="380E47D5">
      <w:pPr>
        <w:pStyle w:val="ListParagraph"/>
        <w:numPr>
          <w:ilvl w:val="0"/>
          <w:numId w:val="9"/>
        </w:numPr>
        <w:spacing w:before="40" w:after="40"/>
        <w:ind w:right="227" w:hanging="357"/>
        <w:contextualSpacing w:val="0"/>
        <w:jc w:val="both"/>
        <w:rPr>
          <w:sz w:val="16"/>
          <w:szCs w:val="16"/>
        </w:rPr>
      </w:pPr>
      <w:r>
        <w:br w:type="column"/>
      </w:r>
      <w:r w:rsidRPr="380E47D5">
        <w:rPr>
          <w:sz w:val="16"/>
          <w:szCs w:val="16"/>
        </w:rPr>
        <w:t xml:space="preserve">Household consumption in Western Australia increased </w:t>
      </w:r>
      <w:r w:rsidR="0092486F" w:rsidRPr="380E47D5">
        <w:rPr>
          <w:sz w:val="16"/>
          <w:szCs w:val="16"/>
        </w:rPr>
        <w:t>2</w:t>
      </w:r>
      <w:r w:rsidR="00053EF7" w:rsidRPr="380E47D5">
        <w:rPr>
          <w:sz w:val="16"/>
          <w:szCs w:val="16"/>
        </w:rPr>
        <w:t>.3</w:t>
      </w:r>
      <w:r w:rsidRPr="380E47D5">
        <w:rPr>
          <w:sz w:val="16"/>
          <w:szCs w:val="16"/>
        </w:rPr>
        <w:t xml:space="preserve">% in the year to the </w:t>
      </w:r>
      <w:r w:rsidR="00053EF7" w:rsidRPr="380E47D5">
        <w:rPr>
          <w:sz w:val="16"/>
          <w:szCs w:val="16"/>
        </w:rPr>
        <w:t>June</w:t>
      </w:r>
      <w:r w:rsidRPr="380E47D5">
        <w:rPr>
          <w:sz w:val="16"/>
          <w:szCs w:val="16"/>
        </w:rPr>
        <w:t xml:space="preserve"> quarter 202</w:t>
      </w:r>
      <w:r w:rsidR="00FB0866" w:rsidRPr="380E47D5">
        <w:rPr>
          <w:sz w:val="16"/>
          <w:szCs w:val="16"/>
        </w:rPr>
        <w:t>5</w:t>
      </w:r>
      <w:r w:rsidRPr="380E47D5">
        <w:rPr>
          <w:sz w:val="16"/>
          <w:szCs w:val="16"/>
        </w:rPr>
        <w:t>.</w:t>
      </w:r>
    </w:p>
    <w:p w14:paraId="5E09E0B3" w14:textId="4A6A88E5" w:rsidR="00233755" w:rsidRPr="00A57594" w:rsidRDefault="00233755" w:rsidP="380E47D5">
      <w:pPr>
        <w:pStyle w:val="ListParagraph"/>
        <w:numPr>
          <w:ilvl w:val="0"/>
          <w:numId w:val="9"/>
        </w:numPr>
        <w:spacing w:before="40" w:after="40"/>
        <w:ind w:right="227" w:hanging="357"/>
        <w:contextualSpacing w:val="0"/>
        <w:jc w:val="both"/>
        <w:rPr>
          <w:sz w:val="16"/>
          <w:szCs w:val="16"/>
        </w:rPr>
      </w:pPr>
      <w:r w:rsidRPr="380E47D5">
        <w:rPr>
          <w:sz w:val="16"/>
          <w:szCs w:val="16"/>
        </w:rPr>
        <w:t xml:space="preserve">Spending on rent and other dwelling services (up 2.3%) contributed the most to growth in Western Australia’s household consumption in the year to the </w:t>
      </w:r>
      <w:r w:rsidR="00713053" w:rsidRPr="380E47D5">
        <w:rPr>
          <w:sz w:val="16"/>
          <w:szCs w:val="16"/>
        </w:rPr>
        <w:t>June</w:t>
      </w:r>
      <w:r w:rsidRPr="380E47D5">
        <w:rPr>
          <w:sz w:val="16"/>
          <w:szCs w:val="16"/>
        </w:rPr>
        <w:t xml:space="preserve"> quarter 202</w:t>
      </w:r>
      <w:r w:rsidR="00FB0866" w:rsidRPr="380E47D5">
        <w:rPr>
          <w:sz w:val="16"/>
          <w:szCs w:val="16"/>
        </w:rPr>
        <w:t>5</w:t>
      </w:r>
      <w:r w:rsidRPr="380E47D5">
        <w:rPr>
          <w:sz w:val="16"/>
          <w:szCs w:val="16"/>
        </w:rPr>
        <w:t>. Other leading contributors to growth in household consumption over this period were:</w:t>
      </w:r>
    </w:p>
    <w:p w14:paraId="53C84278" w14:textId="6FD86615" w:rsidR="00713053" w:rsidRPr="00A57594" w:rsidRDefault="00713053" w:rsidP="380E47D5">
      <w:pPr>
        <w:pStyle w:val="ListParagraph"/>
        <w:numPr>
          <w:ilvl w:val="0"/>
          <w:numId w:val="10"/>
        </w:numPr>
        <w:spacing w:before="40" w:after="40"/>
        <w:ind w:right="227" w:hanging="357"/>
        <w:contextualSpacing w:val="0"/>
        <w:jc w:val="both"/>
        <w:rPr>
          <w:sz w:val="16"/>
          <w:szCs w:val="16"/>
        </w:rPr>
      </w:pPr>
      <w:r w:rsidRPr="380E47D5">
        <w:rPr>
          <w:sz w:val="16"/>
          <w:szCs w:val="16"/>
        </w:rPr>
        <w:t xml:space="preserve">recreation and culture (up </w:t>
      </w:r>
      <w:r w:rsidR="008A0371" w:rsidRPr="380E47D5">
        <w:rPr>
          <w:sz w:val="16"/>
          <w:szCs w:val="16"/>
        </w:rPr>
        <w:t>4.6</w:t>
      </w:r>
      <w:r w:rsidRPr="380E47D5">
        <w:rPr>
          <w:sz w:val="16"/>
          <w:szCs w:val="16"/>
        </w:rPr>
        <w:t>%)</w:t>
      </w:r>
    </w:p>
    <w:p w14:paraId="3BFE25F8" w14:textId="5DB22415" w:rsidR="00233755" w:rsidRPr="00A57594" w:rsidRDefault="00FB0866" w:rsidP="380E47D5">
      <w:pPr>
        <w:pStyle w:val="ListParagraph"/>
        <w:numPr>
          <w:ilvl w:val="0"/>
          <w:numId w:val="10"/>
        </w:numPr>
        <w:spacing w:before="40" w:after="40"/>
        <w:ind w:right="227" w:hanging="357"/>
        <w:contextualSpacing w:val="0"/>
        <w:jc w:val="both"/>
        <w:rPr>
          <w:sz w:val="16"/>
          <w:szCs w:val="16"/>
        </w:rPr>
      </w:pPr>
      <w:r w:rsidRPr="380E47D5">
        <w:rPr>
          <w:sz w:val="16"/>
          <w:szCs w:val="16"/>
        </w:rPr>
        <w:t xml:space="preserve">furnishings and household equipment </w:t>
      </w:r>
      <w:r w:rsidR="00233755" w:rsidRPr="380E47D5">
        <w:rPr>
          <w:sz w:val="16"/>
          <w:szCs w:val="16"/>
        </w:rPr>
        <w:t xml:space="preserve">(up </w:t>
      </w:r>
      <w:r w:rsidRPr="380E47D5">
        <w:rPr>
          <w:sz w:val="16"/>
          <w:szCs w:val="16"/>
        </w:rPr>
        <w:t>7.</w:t>
      </w:r>
      <w:r w:rsidR="00AE4C90" w:rsidRPr="380E47D5">
        <w:rPr>
          <w:sz w:val="16"/>
          <w:szCs w:val="16"/>
        </w:rPr>
        <w:t>1</w:t>
      </w:r>
      <w:r w:rsidR="00233755" w:rsidRPr="380E47D5">
        <w:rPr>
          <w:sz w:val="16"/>
          <w:szCs w:val="16"/>
        </w:rPr>
        <w:t>%)</w:t>
      </w:r>
    </w:p>
    <w:p w14:paraId="20036700" w14:textId="5BD138A0" w:rsidR="00233755" w:rsidRPr="00A57594" w:rsidRDefault="00FB0866" w:rsidP="380E47D5">
      <w:pPr>
        <w:pStyle w:val="ListParagraph"/>
        <w:numPr>
          <w:ilvl w:val="0"/>
          <w:numId w:val="10"/>
        </w:numPr>
        <w:spacing w:before="40" w:after="40"/>
        <w:ind w:right="227" w:hanging="357"/>
        <w:contextualSpacing w:val="0"/>
        <w:jc w:val="both"/>
        <w:rPr>
          <w:sz w:val="16"/>
          <w:szCs w:val="16"/>
        </w:rPr>
      </w:pPr>
      <w:r w:rsidRPr="380E47D5">
        <w:rPr>
          <w:sz w:val="16"/>
          <w:szCs w:val="16"/>
        </w:rPr>
        <w:t>transport services</w:t>
      </w:r>
      <w:r w:rsidR="00233755" w:rsidRPr="380E47D5">
        <w:rPr>
          <w:sz w:val="16"/>
          <w:szCs w:val="16"/>
        </w:rPr>
        <w:t xml:space="preserve"> (up </w:t>
      </w:r>
      <w:r w:rsidRPr="380E47D5">
        <w:rPr>
          <w:sz w:val="16"/>
          <w:szCs w:val="16"/>
        </w:rPr>
        <w:t>5.</w:t>
      </w:r>
      <w:r w:rsidR="00AE4C90" w:rsidRPr="380E47D5">
        <w:rPr>
          <w:sz w:val="16"/>
          <w:szCs w:val="16"/>
        </w:rPr>
        <w:t>3</w:t>
      </w:r>
      <w:r w:rsidR="00233755" w:rsidRPr="380E47D5">
        <w:rPr>
          <w:sz w:val="16"/>
          <w:szCs w:val="16"/>
        </w:rPr>
        <w:t>%)</w:t>
      </w:r>
      <w:r w:rsidR="00D74556" w:rsidRPr="380E47D5">
        <w:rPr>
          <w:sz w:val="16"/>
          <w:szCs w:val="16"/>
        </w:rPr>
        <w:t>.</w:t>
      </w:r>
    </w:p>
    <w:p w14:paraId="5007DFDD" w14:textId="29E46869" w:rsidR="00233755" w:rsidRPr="00A57594" w:rsidRDefault="00233755" w:rsidP="380E47D5">
      <w:pPr>
        <w:pStyle w:val="ListParagraph"/>
        <w:numPr>
          <w:ilvl w:val="0"/>
          <w:numId w:val="9"/>
        </w:numPr>
        <w:spacing w:before="40" w:after="40"/>
        <w:ind w:right="227" w:hanging="357"/>
        <w:contextualSpacing w:val="0"/>
        <w:jc w:val="both"/>
        <w:rPr>
          <w:sz w:val="16"/>
          <w:szCs w:val="16"/>
        </w:rPr>
      </w:pPr>
      <w:r w:rsidRPr="380E47D5">
        <w:rPr>
          <w:sz w:val="16"/>
          <w:szCs w:val="16"/>
        </w:rPr>
        <w:t xml:space="preserve">Spending on </w:t>
      </w:r>
      <w:r w:rsidR="00FA0DCB" w:rsidRPr="380E47D5">
        <w:rPr>
          <w:sz w:val="16"/>
          <w:szCs w:val="16"/>
        </w:rPr>
        <w:t xml:space="preserve">electricity, gas and other fuel </w:t>
      </w:r>
      <w:r w:rsidRPr="380E47D5">
        <w:rPr>
          <w:sz w:val="16"/>
          <w:szCs w:val="16"/>
        </w:rPr>
        <w:t xml:space="preserve">(down </w:t>
      </w:r>
      <w:r w:rsidR="00983B43" w:rsidRPr="380E47D5">
        <w:rPr>
          <w:sz w:val="16"/>
          <w:szCs w:val="16"/>
        </w:rPr>
        <w:t>11.6</w:t>
      </w:r>
      <w:r w:rsidRPr="380E47D5">
        <w:rPr>
          <w:sz w:val="16"/>
          <w:szCs w:val="16"/>
        </w:rPr>
        <w:t xml:space="preserve">%) detracted the most from Western Australia’s household consumption in the year to the </w:t>
      </w:r>
      <w:r w:rsidR="005A526C" w:rsidRPr="380E47D5">
        <w:rPr>
          <w:sz w:val="16"/>
          <w:szCs w:val="16"/>
        </w:rPr>
        <w:t>June</w:t>
      </w:r>
      <w:r w:rsidRPr="380E47D5">
        <w:rPr>
          <w:sz w:val="16"/>
          <w:szCs w:val="16"/>
        </w:rPr>
        <w:t xml:space="preserve"> quarter 202</w:t>
      </w:r>
      <w:r w:rsidR="00FA0DCB" w:rsidRPr="380E47D5">
        <w:rPr>
          <w:sz w:val="16"/>
          <w:szCs w:val="16"/>
        </w:rPr>
        <w:t>5</w:t>
      </w:r>
      <w:r w:rsidRPr="380E47D5">
        <w:rPr>
          <w:sz w:val="16"/>
          <w:szCs w:val="16"/>
        </w:rPr>
        <w:t xml:space="preserve">, followed by </w:t>
      </w:r>
      <w:r w:rsidR="00FA0DCB" w:rsidRPr="380E47D5">
        <w:rPr>
          <w:sz w:val="16"/>
          <w:szCs w:val="16"/>
        </w:rPr>
        <w:t xml:space="preserve">cigarettes and tobacco </w:t>
      </w:r>
      <w:r w:rsidRPr="380E47D5">
        <w:rPr>
          <w:sz w:val="16"/>
          <w:szCs w:val="16"/>
        </w:rPr>
        <w:t xml:space="preserve">(down </w:t>
      </w:r>
      <w:r w:rsidR="00E33EBD" w:rsidRPr="380E47D5">
        <w:rPr>
          <w:sz w:val="16"/>
          <w:szCs w:val="16"/>
        </w:rPr>
        <w:t>14.3</w:t>
      </w:r>
      <w:r w:rsidRPr="380E47D5">
        <w:rPr>
          <w:sz w:val="16"/>
          <w:szCs w:val="16"/>
        </w:rPr>
        <w:t xml:space="preserve">%) and </w:t>
      </w:r>
      <w:r w:rsidR="005A526C" w:rsidRPr="380E47D5">
        <w:rPr>
          <w:sz w:val="16"/>
          <w:szCs w:val="16"/>
        </w:rPr>
        <w:t>alcoholic beverages</w:t>
      </w:r>
      <w:r w:rsidR="00FA0DCB" w:rsidRPr="380E47D5">
        <w:rPr>
          <w:sz w:val="16"/>
          <w:szCs w:val="16"/>
        </w:rPr>
        <w:t xml:space="preserve"> </w:t>
      </w:r>
      <w:r w:rsidRPr="380E47D5">
        <w:rPr>
          <w:sz w:val="16"/>
          <w:szCs w:val="16"/>
        </w:rPr>
        <w:t xml:space="preserve">(down </w:t>
      </w:r>
      <w:r w:rsidR="00E33EBD" w:rsidRPr="380E47D5">
        <w:rPr>
          <w:sz w:val="16"/>
          <w:szCs w:val="16"/>
        </w:rPr>
        <w:t>2.5</w:t>
      </w:r>
      <w:r w:rsidRPr="380E47D5">
        <w:rPr>
          <w:sz w:val="16"/>
          <w:szCs w:val="16"/>
        </w:rPr>
        <w:t>%).</w:t>
      </w:r>
    </w:p>
    <w:p w14:paraId="5923F68D" w14:textId="77777777" w:rsidR="00233755" w:rsidRPr="008E3C65" w:rsidRDefault="00233755" w:rsidP="006058E8">
      <w:pPr>
        <w:pStyle w:val="ListParagraph"/>
        <w:numPr>
          <w:ilvl w:val="0"/>
          <w:numId w:val="9"/>
        </w:numPr>
        <w:spacing w:before="40" w:after="40"/>
        <w:ind w:hanging="357"/>
        <w:contextualSpacing w:val="0"/>
        <w:jc w:val="both"/>
        <w:rPr>
          <w:sz w:val="16"/>
          <w:szCs w:val="16"/>
        </w:rPr>
        <w:sectPr w:rsidR="00233755" w:rsidRPr="008E3C65" w:rsidSect="00233755">
          <w:type w:val="continuous"/>
          <w:pgSz w:w="11907" w:h="16840" w:code="9"/>
          <w:pgMar w:top="1701" w:right="425" w:bottom="567" w:left="567" w:header="709" w:footer="709" w:gutter="0"/>
          <w:cols w:num="2" w:space="113"/>
          <w:docGrid w:linePitch="360"/>
        </w:sectPr>
      </w:pPr>
    </w:p>
    <w:p w14:paraId="53B6742F" w14:textId="1A079ED7" w:rsidR="00233755" w:rsidRPr="00771D18" w:rsidRDefault="00233755" w:rsidP="380E47D5">
      <w:pPr>
        <w:pStyle w:val="Heading4"/>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Private investment by component (contribution to change): </w:t>
      </w:r>
      <w:r w:rsidR="6172B577" w:rsidRPr="380E47D5">
        <w:rPr>
          <w:i w:val="0"/>
          <w:iCs w:val="0"/>
          <w:color w:val="00997A"/>
          <w:sz w:val="20"/>
          <w:szCs w:val="20"/>
        </w:rPr>
        <w:t>June qu</w:t>
      </w:r>
      <w:r w:rsidRPr="380E47D5">
        <w:rPr>
          <w:i w:val="0"/>
          <w:iCs w:val="0"/>
          <w:color w:val="00997A"/>
          <w:sz w:val="20"/>
          <w:szCs w:val="20"/>
        </w:rPr>
        <w:t>arter 202</w:t>
      </w:r>
      <w:r w:rsidR="00FB0866" w:rsidRPr="380E47D5">
        <w:rPr>
          <w:i w:val="0"/>
          <w:iCs w:val="0"/>
          <w:color w:val="00997A"/>
          <w:sz w:val="20"/>
          <w:szCs w:val="20"/>
        </w:rPr>
        <w:t>5</w:t>
      </w:r>
    </w:p>
    <w:p w14:paraId="19941DAC" w14:textId="38CC723A" w:rsidR="00233755" w:rsidRPr="007B1AE5" w:rsidRDefault="15B5FB71" w:rsidP="00233755">
      <w:r>
        <w:rPr>
          <w:noProof/>
        </w:rPr>
        <w:drawing>
          <wp:inline distT="0" distB="0" distL="0" distR="0" wp14:anchorId="5A80BDBC" wp14:editId="1F335600">
            <wp:extent cx="3463546" cy="1871957"/>
            <wp:effectExtent l="0" t="0" r="3810" b="0"/>
            <wp:docPr id="12157912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3546" cy="1871957"/>
                    </a:xfrm>
                    <a:prstGeom prst="rect">
                      <a:avLst/>
                    </a:prstGeom>
                    <a:noFill/>
                    <a:ln>
                      <a:noFill/>
                    </a:ln>
                  </pic:spPr>
                </pic:pic>
              </a:graphicData>
            </a:graphic>
          </wp:inline>
        </w:drawing>
      </w:r>
    </w:p>
    <w:p w14:paraId="624306DB" w14:textId="77777777" w:rsidR="00233755" w:rsidRPr="00015F12" w:rsidRDefault="00233755" w:rsidP="00233755">
      <w:pPr>
        <w:jc w:val="both"/>
        <w:rPr>
          <w:sz w:val="10"/>
          <w:szCs w:val="10"/>
        </w:rPr>
      </w:pPr>
      <w:bookmarkStart w:id="9" w:name="_Hlk157083558"/>
      <w:r w:rsidRPr="000C0C45">
        <w:rPr>
          <w:sz w:val="10"/>
        </w:rPr>
        <w:t>Note –</w:t>
      </w:r>
      <w:r w:rsidRPr="00AF759E">
        <w:rPr>
          <w:sz w:val="10"/>
          <w:szCs w:val="10"/>
        </w:rPr>
        <w:t>. Chain volumes measures. Seasonally adjusted series</w:t>
      </w:r>
      <w:r>
        <w:rPr>
          <w:sz w:val="10"/>
          <w:szCs w:val="10"/>
        </w:rPr>
        <w:t>.</w:t>
      </w:r>
      <w:r w:rsidRPr="00AF759E">
        <w:rPr>
          <w:sz w:val="10"/>
          <w:szCs w:val="10"/>
        </w:rPr>
        <w:t xml:space="preserve">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bookmarkEnd w:id="9"/>
      <w:r w:rsidRPr="00AF759E">
        <w:rPr>
          <w:sz w:val="10"/>
          <w:szCs w:val="10"/>
        </w:rPr>
        <w:t>a)</w:t>
      </w:r>
      <w:r>
        <w:rPr>
          <w:sz w:val="10"/>
          <w:szCs w:val="10"/>
        </w:rPr>
        <w:t xml:space="preserve"> </w:t>
      </w:r>
      <w:r w:rsidRPr="00AF759E">
        <w:rPr>
          <w:sz w:val="10"/>
          <w:szCs w:val="10"/>
        </w:rPr>
        <w:t>Non</w:t>
      </w:r>
      <w:r>
        <w:rPr>
          <w:sz w:val="10"/>
          <w:szCs w:val="10"/>
        </w:rPr>
        <w:noBreakHyphen/>
      </w:r>
      <w:r w:rsidRPr="00AF759E">
        <w:rPr>
          <w:sz w:val="10"/>
          <w:szCs w:val="10"/>
        </w:rPr>
        <w:t>residential buildings and other structures. (</w:t>
      </w:r>
      <w:r>
        <w:rPr>
          <w:sz w:val="10"/>
          <w:szCs w:val="10"/>
        </w:rPr>
        <w:t>b</w:t>
      </w:r>
      <w:r w:rsidRPr="00AF759E">
        <w:rPr>
          <w:sz w:val="10"/>
          <w:szCs w:val="10"/>
        </w:rPr>
        <w:t>) Transport equipment and other machinery and equipment. (</w:t>
      </w:r>
      <w:r>
        <w:rPr>
          <w:sz w:val="10"/>
          <w:szCs w:val="10"/>
        </w:rPr>
        <w:t>c</w:t>
      </w:r>
      <w:r w:rsidRPr="00AF759E">
        <w:rPr>
          <w:sz w:val="10"/>
          <w:szCs w:val="10"/>
        </w:rPr>
        <w:t>) Computer software, research and development, entertainment, literary or artistic originals, and mineral exploration. (</w:t>
      </w:r>
      <w:r>
        <w:rPr>
          <w:sz w:val="10"/>
          <w:szCs w:val="10"/>
        </w:rPr>
        <w:t>d</w:t>
      </w:r>
      <w:r w:rsidRPr="00AF759E">
        <w:rPr>
          <w:sz w:val="10"/>
          <w:szCs w:val="10"/>
        </w:rPr>
        <w:t xml:space="preserve">) Buildings or parts of buildings used as residences. </w:t>
      </w:r>
      <w:r w:rsidRPr="00015F12">
        <w:rPr>
          <w:sz w:val="10"/>
          <w:szCs w:val="10"/>
        </w:rPr>
        <w:t>(e) Fees, commissions, stamp duty and other government charges for transferring ownership of dwellings and non</w:t>
      </w:r>
      <w:r w:rsidRPr="00015F12">
        <w:rPr>
          <w:sz w:val="10"/>
          <w:szCs w:val="10"/>
        </w:rPr>
        <w:noBreakHyphen/>
        <w:t>dwelling constructions. (f) Livestock and plantations of trees yielding repeat products (e.g. vineyards and orchards).</w:t>
      </w:r>
    </w:p>
    <w:p w14:paraId="406AE250" w14:textId="77777777" w:rsidR="00233755" w:rsidRPr="00AF759E" w:rsidRDefault="00233755" w:rsidP="00233755">
      <w:pPr>
        <w:jc w:val="both"/>
        <w:rPr>
          <w:sz w:val="10"/>
          <w:szCs w:val="10"/>
        </w:rPr>
      </w:pPr>
      <w:r w:rsidRPr="00AF759E">
        <w:rPr>
          <w:sz w:val="10"/>
          <w:szCs w:val="10"/>
        </w:rPr>
        <w:t>Source: Based on ABS data.</w:t>
      </w:r>
    </w:p>
    <w:p w14:paraId="5F790056" w14:textId="2A2E96E7" w:rsidR="00233755" w:rsidRPr="006558E5" w:rsidRDefault="00233755" w:rsidP="380E47D5">
      <w:pPr>
        <w:pStyle w:val="ListParagraph"/>
        <w:numPr>
          <w:ilvl w:val="0"/>
          <w:numId w:val="9"/>
        </w:numPr>
        <w:spacing w:before="40" w:after="40"/>
        <w:ind w:left="357" w:right="227" w:hanging="357"/>
        <w:contextualSpacing w:val="0"/>
        <w:jc w:val="both"/>
        <w:rPr>
          <w:sz w:val="16"/>
          <w:szCs w:val="16"/>
        </w:rPr>
      </w:pPr>
      <w:r>
        <w:br w:type="column"/>
      </w:r>
      <w:r w:rsidRPr="380E47D5">
        <w:rPr>
          <w:sz w:val="16"/>
          <w:szCs w:val="16"/>
        </w:rPr>
        <w:t xml:space="preserve">Private investment in Western Australia increased </w:t>
      </w:r>
      <w:r w:rsidR="00CB165B" w:rsidRPr="380E47D5">
        <w:rPr>
          <w:sz w:val="16"/>
          <w:szCs w:val="16"/>
        </w:rPr>
        <w:t>0.5</w:t>
      </w:r>
      <w:r w:rsidRPr="380E47D5">
        <w:rPr>
          <w:sz w:val="16"/>
          <w:szCs w:val="16"/>
        </w:rPr>
        <w:t xml:space="preserve">% in the year to the </w:t>
      </w:r>
      <w:r w:rsidR="00CB165B" w:rsidRPr="380E47D5">
        <w:rPr>
          <w:sz w:val="16"/>
          <w:szCs w:val="16"/>
        </w:rPr>
        <w:t>June</w:t>
      </w:r>
      <w:r w:rsidRPr="380E47D5">
        <w:rPr>
          <w:sz w:val="16"/>
          <w:szCs w:val="16"/>
        </w:rPr>
        <w:t xml:space="preserve"> quarter 202</w:t>
      </w:r>
      <w:r w:rsidR="00036E7D" w:rsidRPr="380E47D5">
        <w:rPr>
          <w:sz w:val="16"/>
          <w:szCs w:val="16"/>
        </w:rPr>
        <w:t>5</w:t>
      </w:r>
      <w:r w:rsidRPr="380E47D5">
        <w:rPr>
          <w:sz w:val="16"/>
          <w:szCs w:val="16"/>
        </w:rPr>
        <w:t>.</w:t>
      </w:r>
    </w:p>
    <w:p w14:paraId="400EC4F3" w14:textId="487CDA17" w:rsidR="00233755" w:rsidRPr="006558E5" w:rsidRDefault="00233755" w:rsidP="380E47D5">
      <w:pPr>
        <w:pStyle w:val="ListParagraph"/>
        <w:numPr>
          <w:ilvl w:val="0"/>
          <w:numId w:val="9"/>
        </w:numPr>
        <w:spacing w:before="40" w:after="40"/>
        <w:ind w:left="357" w:right="227" w:hanging="357"/>
        <w:contextualSpacing w:val="0"/>
        <w:jc w:val="both"/>
        <w:rPr>
          <w:sz w:val="16"/>
          <w:szCs w:val="16"/>
        </w:rPr>
      </w:pPr>
      <w:r w:rsidRPr="380E47D5">
        <w:rPr>
          <w:sz w:val="16"/>
          <w:szCs w:val="16"/>
        </w:rPr>
        <w:t xml:space="preserve">Spending on dwelling construction (up </w:t>
      </w:r>
      <w:r w:rsidR="00A95DF2" w:rsidRPr="380E47D5">
        <w:rPr>
          <w:sz w:val="16"/>
          <w:szCs w:val="16"/>
        </w:rPr>
        <w:t>6.2</w:t>
      </w:r>
      <w:r w:rsidRPr="380E47D5">
        <w:rPr>
          <w:sz w:val="16"/>
          <w:szCs w:val="16"/>
        </w:rPr>
        <w:t xml:space="preserve">%) contributed the most to growth in Western Australia’s private investment in the year to the </w:t>
      </w:r>
      <w:r w:rsidR="00CB165B" w:rsidRPr="380E47D5">
        <w:rPr>
          <w:sz w:val="16"/>
          <w:szCs w:val="16"/>
        </w:rPr>
        <w:t>June</w:t>
      </w:r>
      <w:r w:rsidRPr="380E47D5">
        <w:rPr>
          <w:sz w:val="16"/>
          <w:szCs w:val="16"/>
        </w:rPr>
        <w:t xml:space="preserve"> quarter 202</w:t>
      </w:r>
      <w:r w:rsidR="00036E7D" w:rsidRPr="380E47D5">
        <w:rPr>
          <w:sz w:val="16"/>
          <w:szCs w:val="16"/>
        </w:rPr>
        <w:t>5,</w:t>
      </w:r>
      <w:r w:rsidRPr="380E47D5">
        <w:rPr>
          <w:sz w:val="16"/>
          <w:szCs w:val="16"/>
        </w:rPr>
        <w:t xml:space="preserve"> followed by spending on </w:t>
      </w:r>
      <w:r w:rsidR="00994FE2" w:rsidRPr="380E47D5">
        <w:rPr>
          <w:sz w:val="16"/>
          <w:szCs w:val="16"/>
        </w:rPr>
        <w:t>machinery and equipment</w:t>
      </w:r>
      <w:r w:rsidR="00036E7D" w:rsidRPr="380E47D5">
        <w:rPr>
          <w:sz w:val="16"/>
          <w:szCs w:val="16"/>
        </w:rPr>
        <w:t xml:space="preserve"> (up</w:t>
      </w:r>
      <w:r w:rsidR="00626968" w:rsidRPr="380E47D5">
        <w:rPr>
          <w:sz w:val="16"/>
          <w:szCs w:val="16"/>
        </w:rPr>
        <w:t> </w:t>
      </w:r>
      <w:r w:rsidR="009D65EF" w:rsidRPr="380E47D5">
        <w:rPr>
          <w:sz w:val="16"/>
          <w:szCs w:val="16"/>
        </w:rPr>
        <w:t>0.8</w:t>
      </w:r>
      <w:r w:rsidR="00036E7D" w:rsidRPr="380E47D5">
        <w:rPr>
          <w:sz w:val="16"/>
          <w:szCs w:val="16"/>
        </w:rPr>
        <w:t xml:space="preserve">%) and </w:t>
      </w:r>
      <w:r w:rsidR="00994FE2" w:rsidRPr="380E47D5">
        <w:rPr>
          <w:sz w:val="16"/>
          <w:szCs w:val="16"/>
        </w:rPr>
        <w:t>intellectual property products</w:t>
      </w:r>
      <w:r w:rsidRPr="380E47D5">
        <w:rPr>
          <w:sz w:val="16"/>
          <w:szCs w:val="16"/>
        </w:rPr>
        <w:t xml:space="preserve"> (up </w:t>
      </w:r>
      <w:r w:rsidR="009D65EF" w:rsidRPr="380E47D5">
        <w:rPr>
          <w:sz w:val="16"/>
          <w:szCs w:val="16"/>
        </w:rPr>
        <w:t>2.3</w:t>
      </w:r>
      <w:r w:rsidRPr="380E47D5">
        <w:rPr>
          <w:sz w:val="16"/>
          <w:szCs w:val="16"/>
        </w:rPr>
        <w:t>%)</w:t>
      </w:r>
      <w:r w:rsidR="00036E7D" w:rsidRPr="380E47D5">
        <w:rPr>
          <w:sz w:val="16"/>
          <w:szCs w:val="16"/>
        </w:rPr>
        <w:t>.</w:t>
      </w:r>
    </w:p>
    <w:p w14:paraId="11A672BA" w14:textId="15C6C003" w:rsidR="00233755" w:rsidRPr="006558E5" w:rsidRDefault="003D6A4C" w:rsidP="380E47D5">
      <w:pPr>
        <w:pStyle w:val="ListParagraph"/>
        <w:numPr>
          <w:ilvl w:val="0"/>
          <w:numId w:val="9"/>
        </w:numPr>
        <w:spacing w:before="40" w:after="40"/>
        <w:ind w:left="357" w:right="227" w:hanging="357"/>
        <w:contextualSpacing w:val="0"/>
        <w:jc w:val="both"/>
        <w:rPr>
          <w:sz w:val="16"/>
          <w:szCs w:val="16"/>
        </w:rPr>
      </w:pPr>
      <w:bookmarkStart w:id="10" w:name="_Hlk177740214"/>
      <w:r w:rsidRPr="380E47D5">
        <w:rPr>
          <w:sz w:val="16"/>
          <w:szCs w:val="16"/>
        </w:rPr>
        <w:t xml:space="preserve">Spending on </w:t>
      </w:r>
      <w:r w:rsidR="00233755" w:rsidRPr="380E47D5">
        <w:rPr>
          <w:sz w:val="16"/>
          <w:szCs w:val="16"/>
        </w:rPr>
        <w:t>non</w:t>
      </w:r>
      <w:r w:rsidR="006066C2">
        <w:rPr>
          <w:color w:val="FF0000"/>
          <w:sz w:val="16"/>
          <w:szCs w:val="16"/>
        </w:rPr>
        <w:noBreakHyphen/>
      </w:r>
      <w:r w:rsidR="00233755" w:rsidRPr="380E47D5">
        <w:rPr>
          <w:sz w:val="16"/>
          <w:szCs w:val="16"/>
        </w:rPr>
        <w:t>dwelling construction</w:t>
      </w:r>
      <w:r w:rsidR="00E55366" w:rsidRPr="380E47D5">
        <w:rPr>
          <w:sz w:val="16"/>
          <w:szCs w:val="16"/>
        </w:rPr>
        <w:t xml:space="preserve"> (down </w:t>
      </w:r>
      <w:r w:rsidR="00A95DF2" w:rsidRPr="380E47D5">
        <w:rPr>
          <w:sz w:val="16"/>
          <w:szCs w:val="16"/>
        </w:rPr>
        <w:t>2.5</w:t>
      </w:r>
      <w:r w:rsidR="00E55366" w:rsidRPr="380E47D5">
        <w:rPr>
          <w:sz w:val="16"/>
          <w:szCs w:val="16"/>
        </w:rPr>
        <w:t>%)</w:t>
      </w:r>
      <w:r w:rsidR="00233755" w:rsidRPr="380E47D5">
        <w:rPr>
          <w:sz w:val="16"/>
          <w:szCs w:val="16"/>
        </w:rPr>
        <w:t>,</w:t>
      </w:r>
      <w:r w:rsidR="0009610F" w:rsidRPr="380E47D5">
        <w:rPr>
          <w:sz w:val="16"/>
          <w:szCs w:val="16"/>
        </w:rPr>
        <w:t xml:space="preserve"> detracted the most from Western Australia’s private investment over the year to the June quarter 2025, followed by cultivated bi</w:t>
      </w:r>
      <w:r w:rsidR="006C1DB6" w:rsidRPr="380E47D5">
        <w:rPr>
          <w:sz w:val="16"/>
          <w:szCs w:val="16"/>
        </w:rPr>
        <w:t>ological resources</w:t>
      </w:r>
      <w:r w:rsidR="00E55366" w:rsidRPr="380E47D5">
        <w:rPr>
          <w:sz w:val="16"/>
          <w:szCs w:val="16"/>
        </w:rPr>
        <w:t xml:space="preserve"> (down</w:t>
      </w:r>
      <w:r w:rsidR="006066C2" w:rsidRPr="380E47D5">
        <w:rPr>
          <w:sz w:val="16"/>
          <w:szCs w:val="16"/>
        </w:rPr>
        <w:t> </w:t>
      </w:r>
      <w:r w:rsidR="00A95DF2" w:rsidRPr="380E47D5">
        <w:rPr>
          <w:sz w:val="16"/>
          <w:szCs w:val="16"/>
        </w:rPr>
        <w:t>11.2%)</w:t>
      </w:r>
      <w:r w:rsidR="006C1DB6" w:rsidRPr="380E47D5">
        <w:rPr>
          <w:sz w:val="16"/>
          <w:szCs w:val="16"/>
        </w:rPr>
        <w:t>.</w:t>
      </w:r>
    </w:p>
    <w:bookmarkEnd w:id="10"/>
    <w:p w14:paraId="398BF1E2" w14:textId="77777777" w:rsidR="00233755" w:rsidRPr="007C5460" w:rsidRDefault="00233755" w:rsidP="006058E8">
      <w:pPr>
        <w:pStyle w:val="ListParagraph"/>
        <w:numPr>
          <w:ilvl w:val="0"/>
          <w:numId w:val="9"/>
        </w:numPr>
        <w:spacing w:before="40" w:after="40"/>
        <w:ind w:left="357" w:hanging="357"/>
        <w:contextualSpacing w:val="0"/>
        <w:jc w:val="both"/>
        <w:rPr>
          <w:sz w:val="16"/>
          <w:szCs w:val="16"/>
        </w:rPr>
        <w:sectPr w:rsidR="00233755" w:rsidRPr="007C5460" w:rsidSect="00233755">
          <w:type w:val="continuous"/>
          <w:pgSz w:w="11907" w:h="16840" w:code="9"/>
          <w:pgMar w:top="1701" w:right="425" w:bottom="567" w:left="567" w:header="709" w:footer="709" w:gutter="0"/>
          <w:cols w:num="2" w:space="113"/>
          <w:docGrid w:linePitch="360"/>
        </w:sectPr>
      </w:pPr>
    </w:p>
    <w:p w14:paraId="48CB3A4D" w14:textId="653A8F3D" w:rsidR="00233755" w:rsidRPr="00771D18" w:rsidRDefault="00233755" w:rsidP="380E47D5">
      <w:pPr>
        <w:pStyle w:val="Heading4"/>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Public final demand by component (contribution to change): </w:t>
      </w:r>
      <w:r w:rsidR="2F09CAF4" w:rsidRPr="380E47D5">
        <w:rPr>
          <w:i w:val="0"/>
          <w:iCs w:val="0"/>
          <w:color w:val="00997A"/>
          <w:sz w:val="20"/>
          <w:szCs w:val="20"/>
        </w:rPr>
        <w:t>June qu</w:t>
      </w:r>
      <w:r w:rsidRPr="380E47D5">
        <w:rPr>
          <w:i w:val="0"/>
          <w:iCs w:val="0"/>
          <w:color w:val="00997A"/>
          <w:sz w:val="20"/>
          <w:szCs w:val="20"/>
        </w:rPr>
        <w:t>arter 202</w:t>
      </w:r>
      <w:r w:rsidR="00FB0866" w:rsidRPr="380E47D5">
        <w:rPr>
          <w:i w:val="0"/>
          <w:iCs w:val="0"/>
          <w:color w:val="00997A"/>
          <w:sz w:val="20"/>
          <w:szCs w:val="20"/>
        </w:rPr>
        <w:t>5</w:t>
      </w:r>
    </w:p>
    <w:p w14:paraId="37887596" w14:textId="47837233" w:rsidR="00233755" w:rsidRPr="007B1AE5" w:rsidRDefault="00D90B52" w:rsidP="00233755">
      <w:r>
        <w:rPr>
          <w:noProof/>
        </w:rPr>
        <w:drawing>
          <wp:inline distT="0" distB="0" distL="0" distR="0" wp14:anchorId="0C06A566" wp14:editId="56507616">
            <wp:extent cx="3342640" cy="2049766"/>
            <wp:effectExtent l="0" t="0" r="0" b="8255"/>
            <wp:docPr id="4129669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772" cy="2055979"/>
                    </a:xfrm>
                    <a:prstGeom prst="rect">
                      <a:avLst/>
                    </a:prstGeom>
                    <a:noFill/>
                    <a:ln>
                      <a:noFill/>
                    </a:ln>
                  </pic:spPr>
                </pic:pic>
              </a:graphicData>
            </a:graphic>
          </wp:inline>
        </w:drawing>
      </w:r>
    </w:p>
    <w:p w14:paraId="0913DEA0" w14:textId="77777777" w:rsidR="00233755" w:rsidRPr="00AF759E" w:rsidRDefault="00233755" w:rsidP="003C6DDF">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Change between the sum of the latest four quarters and the sum of the same quarters of the previous year.</w:t>
      </w:r>
      <w:r>
        <w:rPr>
          <w:sz w:val="10"/>
          <w:szCs w:val="10"/>
        </w:rPr>
        <w:t xml:space="preserve"> p</w:t>
      </w:r>
      <w:r w:rsidRPr="00AF759E">
        <w:rPr>
          <w:sz w:val="10"/>
          <w:szCs w:val="10"/>
        </w:rPr>
        <w:t>p = percentage points</w:t>
      </w:r>
      <w:r>
        <w:rPr>
          <w:sz w:val="10"/>
          <w:szCs w:val="10"/>
        </w:rPr>
        <w:t>.</w:t>
      </w:r>
    </w:p>
    <w:p w14:paraId="5A505F83" w14:textId="77777777" w:rsidR="00233755" w:rsidRPr="00AF759E" w:rsidRDefault="00233755" w:rsidP="003C6DDF">
      <w:pPr>
        <w:jc w:val="both"/>
        <w:rPr>
          <w:sz w:val="10"/>
          <w:szCs w:val="10"/>
        </w:rPr>
      </w:pPr>
      <w:r w:rsidRPr="00AF759E">
        <w:rPr>
          <w:sz w:val="10"/>
          <w:szCs w:val="10"/>
        </w:rPr>
        <w:t>Source: Based on ABS data.</w:t>
      </w:r>
    </w:p>
    <w:p w14:paraId="586D180E" w14:textId="5504BA79" w:rsidR="00233755" w:rsidRPr="0065113A" w:rsidRDefault="00233755" w:rsidP="380E47D5">
      <w:pPr>
        <w:pStyle w:val="ListParagraph"/>
        <w:numPr>
          <w:ilvl w:val="0"/>
          <w:numId w:val="9"/>
        </w:numPr>
        <w:spacing w:before="40" w:after="40"/>
        <w:ind w:left="357" w:right="227" w:hanging="357"/>
        <w:contextualSpacing w:val="0"/>
        <w:jc w:val="both"/>
        <w:rPr>
          <w:sz w:val="16"/>
          <w:szCs w:val="16"/>
        </w:rPr>
      </w:pPr>
      <w:r>
        <w:br w:type="column"/>
      </w:r>
      <w:r w:rsidRPr="380E47D5">
        <w:rPr>
          <w:sz w:val="16"/>
          <w:szCs w:val="16"/>
        </w:rPr>
        <w:t xml:space="preserve">Public final demand, which comprises local, state and federal government consumption and investment, increased </w:t>
      </w:r>
      <w:r w:rsidR="00714D03" w:rsidRPr="380E47D5">
        <w:rPr>
          <w:sz w:val="16"/>
          <w:szCs w:val="16"/>
        </w:rPr>
        <w:t>6.6</w:t>
      </w:r>
      <w:r w:rsidRPr="380E47D5">
        <w:rPr>
          <w:sz w:val="16"/>
          <w:szCs w:val="16"/>
        </w:rPr>
        <w:t xml:space="preserve">% in the year to the </w:t>
      </w:r>
      <w:r w:rsidR="00714D03" w:rsidRPr="380E47D5">
        <w:rPr>
          <w:sz w:val="16"/>
          <w:szCs w:val="16"/>
        </w:rPr>
        <w:t>June</w:t>
      </w:r>
      <w:r w:rsidRPr="380E47D5">
        <w:rPr>
          <w:sz w:val="16"/>
          <w:szCs w:val="16"/>
        </w:rPr>
        <w:t xml:space="preserve"> quarter 202</w:t>
      </w:r>
      <w:r w:rsidR="00FF68A1" w:rsidRPr="380E47D5">
        <w:rPr>
          <w:sz w:val="16"/>
          <w:szCs w:val="16"/>
        </w:rPr>
        <w:t>5</w:t>
      </w:r>
      <w:r w:rsidRPr="380E47D5">
        <w:rPr>
          <w:sz w:val="16"/>
          <w:szCs w:val="16"/>
        </w:rPr>
        <w:t>.</w:t>
      </w:r>
    </w:p>
    <w:p w14:paraId="6C40A767" w14:textId="5F3C93A9" w:rsidR="00233755" w:rsidRPr="0065113A" w:rsidRDefault="00233755" w:rsidP="380E47D5">
      <w:pPr>
        <w:pStyle w:val="ListParagraph"/>
        <w:numPr>
          <w:ilvl w:val="0"/>
          <w:numId w:val="9"/>
        </w:numPr>
        <w:spacing w:before="40" w:after="40"/>
        <w:ind w:left="357" w:right="227" w:hanging="357"/>
        <w:contextualSpacing w:val="0"/>
        <w:jc w:val="both"/>
        <w:rPr>
          <w:sz w:val="16"/>
          <w:szCs w:val="16"/>
        </w:rPr>
      </w:pPr>
      <w:r w:rsidRPr="380E47D5">
        <w:rPr>
          <w:sz w:val="16"/>
          <w:szCs w:val="16"/>
        </w:rPr>
        <w:t xml:space="preserve">State and local government </w:t>
      </w:r>
      <w:r w:rsidR="00FF68A1" w:rsidRPr="380E47D5">
        <w:rPr>
          <w:sz w:val="16"/>
          <w:szCs w:val="16"/>
        </w:rPr>
        <w:t>consumption</w:t>
      </w:r>
      <w:r w:rsidRPr="380E47D5">
        <w:rPr>
          <w:sz w:val="16"/>
          <w:szCs w:val="16"/>
        </w:rPr>
        <w:t xml:space="preserve"> (up </w:t>
      </w:r>
      <w:r w:rsidR="00FF68A1" w:rsidRPr="380E47D5">
        <w:rPr>
          <w:sz w:val="16"/>
          <w:szCs w:val="16"/>
        </w:rPr>
        <w:t>5.</w:t>
      </w:r>
      <w:r w:rsidR="00893AA1" w:rsidRPr="380E47D5">
        <w:rPr>
          <w:sz w:val="16"/>
          <w:szCs w:val="16"/>
        </w:rPr>
        <w:t>5</w:t>
      </w:r>
      <w:r w:rsidRPr="380E47D5">
        <w:rPr>
          <w:sz w:val="16"/>
          <w:szCs w:val="16"/>
        </w:rPr>
        <w:t xml:space="preserve">%) contributed the most to growth in the State’s public final demand in the year to the </w:t>
      </w:r>
      <w:r w:rsidR="00494111" w:rsidRPr="380E47D5">
        <w:rPr>
          <w:sz w:val="16"/>
          <w:szCs w:val="16"/>
        </w:rPr>
        <w:t>June</w:t>
      </w:r>
      <w:r w:rsidRPr="380E47D5">
        <w:rPr>
          <w:sz w:val="16"/>
          <w:szCs w:val="16"/>
        </w:rPr>
        <w:t xml:space="preserve"> quarter 202</w:t>
      </w:r>
      <w:r w:rsidR="00FF68A1" w:rsidRPr="380E47D5">
        <w:rPr>
          <w:sz w:val="16"/>
          <w:szCs w:val="16"/>
        </w:rPr>
        <w:t>5</w:t>
      </w:r>
      <w:r w:rsidRPr="380E47D5">
        <w:rPr>
          <w:sz w:val="16"/>
          <w:szCs w:val="16"/>
        </w:rPr>
        <w:t xml:space="preserve">, followed by </w:t>
      </w:r>
      <w:r w:rsidR="00494111" w:rsidRPr="380E47D5">
        <w:rPr>
          <w:sz w:val="16"/>
          <w:szCs w:val="16"/>
        </w:rPr>
        <w:t xml:space="preserve">federal consumption </w:t>
      </w:r>
      <w:r w:rsidRPr="380E47D5">
        <w:rPr>
          <w:sz w:val="16"/>
          <w:szCs w:val="16"/>
        </w:rPr>
        <w:t xml:space="preserve">(up </w:t>
      </w:r>
      <w:r w:rsidR="00AB5C28" w:rsidRPr="380E47D5">
        <w:rPr>
          <w:sz w:val="16"/>
          <w:szCs w:val="16"/>
        </w:rPr>
        <w:t>6.5</w:t>
      </w:r>
      <w:r w:rsidRPr="380E47D5">
        <w:rPr>
          <w:sz w:val="16"/>
          <w:szCs w:val="16"/>
        </w:rPr>
        <w:t>%)</w:t>
      </w:r>
      <w:r w:rsidR="00682264" w:rsidRPr="380E47D5">
        <w:rPr>
          <w:sz w:val="16"/>
          <w:szCs w:val="16"/>
        </w:rPr>
        <w:t xml:space="preserve"> and state and local </w:t>
      </w:r>
      <w:r w:rsidR="0037408F" w:rsidRPr="380E47D5">
        <w:rPr>
          <w:sz w:val="16"/>
          <w:szCs w:val="16"/>
        </w:rPr>
        <w:t>government investment (</w:t>
      </w:r>
      <w:r w:rsidR="00AB5C28" w:rsidRPr="380E47D5">
        <w:rPr>
          <w:sz w:val="16"/>
          <w:szCs w:val="16"/>
        </w:rPr>
        <w:t>8.9</w:t>
      </w:r>
      <w:r w:rsidR="00300D54" w:rsidRPr="380E47D5">
        <w:rPr>
          <w:sz w:val="16"/>
          <w:szCs w:val="16"/>
        </w:rPr>
        <w:t>%)</w:t>
      </w:r>
      <w:r w:rsidR="00AB5C28" w:rsidRPr="380E47D5">
        <w:rPr>
          <w:sz w:val="16"/>
          <w:szCs w:val="16"/>
        </w:rPr>
        <w:t>.</w:t>
      </w:r>
    </w:p>
    <w:p w14:paraId="0762FDDA" w14:textId="410D89D5" w:rsidR="00233755" w:rsidRPr="00300D54" w:rsidRDefault="00233755" w:rsidP="00300D54">
      <w:pPr>
        <w:spacing w:before="40" w:after="40"/>
        <w:ind w:right="227"/>
        <w:jc w:val="both"/>
        <w:rPr>
          <w:sz w:val="16"/>
          <w:szCs w:val="16"/>
        </w:rPr>
      </w:pPr>
      <w:bookmarkStart w:id="11" w:name="_Commodity_prices,_interest"/>
      <w:bookmarkEnd w:id="11"/>
    </w:p>
    <w:p w14:paraId="7BB1492B" w14:textId="77777777" w:rsidR="00233755" w:rsidRPr="001D22C6" w:rsidRDefault="00233755" w:rsidP="006058E8">
      <w:pPr>
        <w:pStyle w:val="ListParagraph"/>
        <w:numPr>
          <w:ilvl w:val="0"/>
          <w:numId w:val="9"/>
        </w:numPr>
        <w:spacing w:before="40" w:after="40"/>
        <w:ind w:left="357" w:right="227" w:hanging="357"/>
        <w:contextualSpacing w:val="0"/>
        <w:jc w:val="both"/>
        <w:rPr>
          <w:sz w:val="16"/>
          <w:szCs w:val="16"/>
        </w:rPr>
        <w:sectPr w:rsidR="00233755" w:rsidRPr="001D22C6" w:rsidSect="00233755">
          <w:type w:val="continuous"/>
          <w:pgSz w:w="11907" w:h="16840" w:code="9"/>
          <w:pgMar w:top="1701" w:right="567" w:bottom="567" w:left="567" w:header="709" w:footer="709" w:gutter="0"/>
          <w:cols w:num="2" w:space="113"/>
          <w:docGrid w:linePitch="360"/>
        </w:sectPr>
      </w:pPr>
    </w:p>
    <w:p w14:paraId="1106E61B" w14:textId="06E59D95" w:rsidR="00B37243" w:rsidRPr="008F7AA0" w:rsidRDefault="00052D69" w:rsidP="00B37243">
      <w:pPr>
        <w:pStyle w:val="Heading3"/>
        <w:spacing w:before="0"/>
        <w:rPr>
          <w:bCs/>
          <w:color w:val="004C3D"/>
          <w:sz w:val="24"/>
          <w:szCs w:val="24"/>
        </w:rPr>
        <w:sectPr w:rsidR="00B37243" w:rsidRPr="008F7AA0" w:rsidSect="00B37243">
          <w:pgSz w:w="11907" w:h="16840" w:code="9"/>
          <w:pgMar w:top="1701" w:right="425" w:bottom="567" w:left="567" w:header="709" w:footer="709" w:gutter="0"/>
          <w:cols w:space="720"/>
          <w:docGrid w:linePitch="360"/>
        </w:sectPr>
      </w:pPr>
      <w:bookmarkStart w:id="12" w:name="_Commodity_prices_and"/>
      <w:bookmarkStart w:id="13" w:name="_Whole_economy"/>
      <w:bookmarkEnd w:id="12"/>
      <w:bookmarkEnd w:id="13"/>
      <w:r w:rsidRPr="008F7AA0">
        <w:rPr>
          <w:bCs/>
          <w:color w:val="004C3D"/>
          <w:sz w:val="24"/>
          <w:szCs w:val="24"/>
        </w:rPr>
        <w:lastRenderedPageBreak/>
        <w:t>Gross state product</w:t>
      </w:r>
    </w:p>
    <w:p w14:paraId="50B65FB7" w14:textId="77777777" w:rsidR="00B37243" w:rsidRPr="00814C57" w:rsidRDefault="00B37243" w:rsidP="00B37243">
      <w:pPr>
        <w:ind w:right="227"/>
        <w:jc w:val="right"/>
        <w:rPr>
          <w:rStyle w:val="Hyperlink"/>
          <w:b/>
          <w:bCs/>
          <w:sz w:val="16"/>
          <w:szCs w:val="16"/>
        </w:rPr>
        <w:sectPr w:rsidR="00B37243" w:rsidRPr="00814C57" w:rsidSect="00B37243">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F82DB60" w14:textId="2A9766A6" w:rsidR="00B37243" w:rsidRPr="00572251" w:rsidRDefault="00B37243" w:rsidP="00B37243">
      <w:pPr>
        <w:pStyle w:val="Heading4"/>
        <w:spacing w:before="0"/>
        <w:rPr>
          <w:i w:val="0"/>
          <w:iCs w:val="0"/>
          <w:color w:val="00997A"/>
          <w:sz w:val="20"/>
          <w:szCs w:val="20"/>
        </w:rPr>
        <w:sectPr w:rsidR="00B37243" w:rsidRPr="00572251" w:rsidSect="00B37243">
          <w:type w:val="continuous"/>
          <w:pgSz w:w="11907" w:h="16840" w:code="9"/>
          <w:pgMar w:top="1701" w:right="425" w:bottom="567" w:left="567" w:header="709" w:footer="709" w:gutter="0"/>
          <w:cols w:space="720"/>
          <w:docGrid w:linePitch="360"/>
        </w:sectPr>
      </w:pPr>
      <w:r w:rsidRPr="00572251">
        <w:rPr>
          <w:i w:val="0"/>
          <w:iCs w:val="0"/>
          <w:color w:val="00997A"/>
          <w:sz w:val="20"/>
          <w:szCs w:val="20"/>
        </w:rPr>
        <w:t>Gross state</w:t>
      </w:r>
      <w:r w:rsidR="0084351C">
        <w:rPr>
          <w:i w:val="0"/>
          <w:iCs w:val="0"/>
          <w:color w:val="00997A"/>
          <w:sz w:val="20"/>
          <w:szCs w:val="20"/>
        </w:rPr>
        <w:t xml:space="preserve"> and </w:t>
      </w:r>
      <w:r w:rsidRPr="00572251">
        <w:rPr>
          <w:i w:val="0"/>
          <w:iCs w:val="0"/>
          <w:color w:val="00997A"/>
          <w:sz w:val="20"/>
          <w:szCs w:val="20"/>
        </w:rPr>
        <w:t>domestic product (change)</w:t>
      </w:r>
    </w:p>
    <w:p w14:paraId="5A26E14B" w14:textId="551261BD" w:rsidR="00B37243" w:rsidRPr="007B1AE5" w:rsidRDefault="00D65644" w:rsidP="00B37243">
      <w:r>
        <w:rPr>
          <w:noProof/>
        </w:rPr>
        <w:drawing>
          <wp:inline distT="0" distB="0" distL="0" distR="0" wp14:anchorId="12A868F9" wp14:editId="3152B557">
            <wp:extent cx="3380197" cy="2079909"/>
            <wp:effectExtent l="0" t="0" r="0" b="0"/>
            <wp:docPr id="2941070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7776" cy="2084573"/>
                    </a:xfrm>
                    <a:prstGeom prst="rect">
                      <a:avLst/>
                    </a:prstGeom>
                    <a:noFill/>
                    <a:ln>
                      <a:noFill/>
                    </a:ln>
                  </pic:spPr>
                </pic:pic>
              </a:graphicData>
            </a:graphic>
          </wp:inline>
        </w:drawing>
      </w:r>
    </w:p>
    <w:p w14:paraId="209DD7FC" w14:textId="77777777" w:rsidR="00B37243" w:rsidRPr="00732C95" w:rsidRDefault="00B37243" w:rsidP="00B37243">
      <w:pPr>
        <w:jc w:val="both"/>
        <w:rPr>
          <w:sz w:val="10"/>
          <w:szCs w:val="10"/>
        </w:rPr>
      </w:pPr>
      <w:r w:rsidRPr="000C0C45">
        <w:rPr>
          <w:sz w:val="10"/>
        </w:rPr>
        <w:t xml:space="preserve">Note – </w:t>
      </w:r>
      <w:r w:rsidRPr="00732C95">
        <w:rPr>
          <w:sz w:val="10"/>
          <w:szCs w:val="10"/>
        </w:rPr>
        <w:t>Chain volume measures. Original series. Annual change.</w:t>
      </w:r>
    </w:p>
    <w:p w14:paraId="62739AF0" w14:textId="77777777" w:rsidR="00B37243" w:rsidRPr="00AF759E" w:rsidRDefault="00B37243" w:rsidP="00B37243">
      <w:pPr>
        <w:jc w:val="both"/>
        <w:rPr>
          <w:sz w:val="10"/>
          <w:szCs w:val="10"/>
        </w:rPr>
      </w:pPr>
      <w:r w:rsidRPr="00732C95">
        <w:rPr>
          <w:sz w:val="10"/>
          <w:szCs w:val="10"/>
        </w:rPr>
        <w:t>Source: Based on ABS data</w:t>
      </w:r>
      <w:r w:rsidRPr="00AF759E">
        <w:rPr>
          <w:sz w:val="10"/>
          <w:szCs w:val="10"/>
        </w:rPr>
        <w:t>.</w:t>
      </w:r>
    </w:p>
    <w:p w14:paraId="080BD277" w14:textId="77777777"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5C88">
        <w:rPr>
          <w:sz w:val="16"/>
          <w:szCs w:val="16"/>
        </w:rPr>
        <w:t>Gross state product (GSP) is a measure of the total economic production of a state or territory and is the state/territory equivalent of a nation’s gross domestic product (GDP).</w:t>
      </w:r>
    </w:p>
    <w:p w14:paraId="4895DA93" w14:textId="77777777"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AC5C88">
        <w:rPr>
          <w:sz w:val="16"/>
          <w:szCs w:val="16"/>
        </w:rPr>
        <w:t>Western Australia’s GSP was less affected by the COVID</w:t>
      </w:r>
      <w:r w:rsidRPr="00AC5C88">
        <w:rPr>
          <w:sz w:val="16"/>
          <w:szCs w:val="16"/>
        </w:rPr>
        <w:noBreakHyphen/>
        <w:t>19 pandemic in 2019</w:t>
      </w:r>
      <w:r w:rsidRPr="00AC5C88">
        <w:rPr>
          <w:sz w:val="16"/>
          <w:szCs w:val="16"/>
        </w:rPr>
        <w:noBreakHyphen/>
        <w:t>20 compared to other states and territories and grew at a relatively consistent rate in the next three financial years.</w:t>
      </w:r>
    </w:p>
    <w:p w14:paraId="37EF0DD9" w14:textId="496F3660"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AC5C88">
        <w:rPr>
          <w:sz w:val="16"/>
          <w:szCs w:val="16"/>
        </w:rPr>
        <w:t>Western Australia’s real GSP rose 0.5% in 2023</w:t>
      </w:r>
      <w:r w:rsidRPr="00AC5C88">
        <w:rPr>
          <w:sz w:val="16"/>
          <w:szCs w:val="16"/>
        </w:rPr>
        <w:noBreakHyphen/>
        <w:t xml:space="preserve">24, lower than the growth of Australia’s real </w:t>
      </w:r>
      <w:r w:rsidR="00626968" w:rsidRPr="00AC5C88">
        <w:rPr>
          <w:sz w:val="16"/>
          <w:szCs w:val="16"/>
        </w:rPr>
        <w:t>GDP</w:t>
      </w:r>
      <w:r w:rsidRPr="00AC5C88">
        <w:rPr>
          <w:sz w:val="16"/>
          <w:szCs w:val="16"/>
        </w:rPr>
        <w:t xml:space="preserve"> of 1.4%.</w:t>
      </w:r>
    </w:p>
    <w:p w14:paraId="55DC88A0" w14:textId="26A2FF19" w:rsidR="00B37243" w:rsidRDefault="00B37243" w:rsidP="006058E8">
      <w:pPr>
        <w:pStyle w:val="ListParagraph"/>
        <w:numPr>
          <w:ilvl w:val="0"/>
          <w:numId w:val="9"/>
        </w:numPr>
        <w:spacing w:before="40" w:after="40"/>
        <w:ind w:left="357" w:right="227" w:hanging="357"/>
        <w:contextualSpacing w:val="0"/>
        <w:jc w:val="both"/>
        <w:rPr>
          <w:sz w:val="16"/>
          <w:szCs w:val="16"/>
        </w:rPr>
      </w:pPr>
      <w:r w:rsidRPr="00AC5C88">
        <w:rPr>
          <w:sz w:val="16"/>
          <w:szCs w:val="16"/>
        </w:rPr>
        <w:t xml:space="preserve">The WA State Budget 2025-26 </w:t>
      </w:r>
      <w:r w:rsidR="00626968" w:rsidRPr="00AC5C88">
        <w:rPr>
          <w:sz w:val="16"/>
          <w:szCs w:val="16"/>
        </w:rPr>
        <w:t>forecasts</w:t>
      </w:r>
      <w:r w:rsidRPr="00AC5C88">
        <w:rPr>
          <w:sz w:val="16"/>
          <w:szCs w:val="16"/>
        </w:rPr>
        <w:t xml:space="preserve"> that Western Australia’s real GSP growth will </w:t>
      </w:r>
      <w:r w:rsidR="005D20A9">
        <w:rPr>
          <w:sz w:val="16"/>
          <w:szCs w:val="16"/>
        </w:rPr>
        <w:t>be</w:t>
      </w:r>
      <w:r w:rsidRPr="00AC5C88">
        <w:rPr>
          <w:sz w:val="16"/>
          <w:szCs w:val="16"/>
        </w:rPr>
        <w:t xml:space="preserve"> 0.5% in 2024</w:t>
      </w:r>
      <w:r w:rsidRPr="00AC5C88">
        <w:rPr>
          <w:sz w:val="16"/>
          <w:szCs w:val="16"/>
        </w:rPr>
        <w:noBreakHyphen/>
        <w:t xml:space="preserve">25 </w:t>
      </w:r>
      <w:r w:rsidR="00626968" w:rsidRPr="00AC5C88">
        <w:rPr>
          <w:sz w:val="16"/>
          <w:szCs w:val="16"/>
        </w:rPr>
        <w:t>before increasing</w:t>
      </w:r>
      <w:r w:rsidRPr="00AC5C88">
        <w:rPr>
          <w:sz w:val="16"/>
          <w:szCs w:val="16"/>
        </w:rPr>
        <w:t xml:space="preserve"> to 2.5% in 2025</w:t>
      </w:r>
      <w:r w:rsidRPr="00AC5C88">
        <w:rPr>
          <w:sz w:val="16"/>
          <w:szCs w:val="16"/>
        </w:rPr>
        <w:noBreakHyphen/>
        <w:t>26 and 3.0% in 2026-27.</w:t>
      </w:r>
    </w:p>
    <w:p w14:paraId="0B847D37" w14:textId="22D28494" w:rsidR="005D20A9" w:rsidRPr="00AC5C88" w:rsidRDefault="005D20A9" w:rsidP="006058E8">
      <w:pPr>
        <w:pStyle w:val="ListParagraph"/>
        <w:numPr>
          <w:ilvl w:val="0"/>
          <w:numId w:val="9"/>
        </w:numPr>
        <w:spacing w:before="40" w:after="40"/>
        <w:ind w:left="357" w:right="227" w:hanging="357"/>
        <w:contextualSpacing w:val="0"/>
        <w:jc w:val="both"/>
        <w:rPr>
          <w:sz w:val="16"/>
          <w:szCs w:val="16"/>
        </w:rPr>
        <w:sectPr w:rsidR="005D20A9" w:rsidRPr="00AC5C88" w:rsidSect="00B37243">
          <w:type w:val="continuous"/>
          <w:pgSz w:w="11907" w:h="16840" w:code="9"/>
          <w:pgMar w:top="1701" w:right="425" w:bottom="567" w:left="567" w:header="709" w:footer="709" w:gutter="0"/>
          <w:cols w:num="2" w:space="113"/>
          <w:docGrid w:linePitch="360"/>
        </w:sectPr>
      </w:pPr>
    </w:p>
    <w:p w14:paraId="74C463BF" w14:textId="5D90D9B7" w:rsidR="00B37243" w:rsidRPr="00572251" w:rsidRDefault="00B37243" w:rsidP="00B37243">
      <w:pPr>
        <w:pStyle w:val="Heading4"/>
        <w:rPr>
          <w:i w:val="0"/>
          <w:iCs w:val="0"/>
          <w:color w:val="00997A"/>
          <w:sz w:val="20"/>
          <w:szCs w:val="20"/>
        </w:rPr>
        <w:sectPr w:rsidR="00B37243" w:rsidRPr="00572251" w:rsidSect="00B37243">
          <w:type w:val="continuous"/>
          <w:pgSz w:w="11907" w:h="16840" w:code="9"/>
          <w:pgMar w:top="1701" w:right="425" w:bottom="567" w:left="567" w:header="709" w:footer="709" w:gutter="0"/>
          <w:cols w:space="720"/>
          <w:docGrid w:linePitch="360"/>
        </w:sectPr>
      </w:pPr>
      <w:r w:rsidRPr="00572251">
        <w:rPr>
          <w:i w:val="0"/>
          <w:iCs w:val="0"/>
          <w:color w:val="00997A"/>
          <w:sz w:val="20"/>
          <w:szCs w:val="20"/>
        </w:rPr>
        <w:t>Gross state product by industry (contribution to change)</w:t>
      </w:r>
    </w:p>
    <w:p w14:paraId="2D337C24" w14:textId="3356F112" w:rsidR="00B37243" w:rsidRPr="007B1AE5" w:rsidRDefault="00D65644" w:rsidP="00B37243">
      <w:r>
        <w:rPr>
          <w:noProof/>
        </w:rPr>
        <w:drawing>
          <wp:inline distT="0" distB="0" distL="0" distR="0" wp14:anchorId="4BDDC8F2" wp14:editId="0A95161A">
            <wp:extent cx="3421294" cy="2105197"/>
            <wp:effectExtent l="0" t="0" r="8255" b="0"/>
            <wp:docPr id="2654228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0995" cy="2111166"/>
                    </a:xfrm>
                    <a:prstGeom prst="rect">
                      <a:avLst/>
                    </a:prstGeom>
                    <a:noFill/>
                    <a:ln>
                      <a:noFill/>
                    </a:ln>
                  </pic:spPr>
                </pic:pic>
              </a:graphicData>
            </a:graphic>
          </wp:inline>
        </w:drawing>
      </w:r>
    </w:p>
    <w:p w14:paraId="2B2E3E55" w14:textId="3C29D0D4" w:rsidR="00B37243" w:rsidRPr="004F6ED9" w:rsidRDefault="00B37243" w:rsidP="00B37243">
      <w:pPr>
        <w:jc w:val="both"/>
        <w:rPr>
          <w:sz w:val="10"/>
          <w:szCs w:val="10"/>
        </w:rPr>
      </w:pPr>
      <w:r w:rsidRPr="004F6ED9">
        <w:rPr>
          <w:sz w:val="10"/>
        </w:rPr>
        <w:t>Note –</w:t>
      </w:r>
      <w:r w:rsidRPr="004F6ED9">
        <w:rPr>
          <w:sz w:val="10"/>
          <w:szCs w:val="10"/>
        </w:rPr>
        <w:t>. Chain volumes measures. Original series. Annual change. pp = percentage points. (a) Ownership of dwellings, balancing item</w:t>
      </w:r>
      <w:r w:rsidR="00CB0232" w:rsidRPr="004F6ED9">
        <w:rPr>
          <w:sz w:val="10"/>
          <w:szCs w:val="10"/>
        </w:rPr>
        <w:t xml:space="preserve">, </w:t>
      </w:r>
      <w:r w:rsidRPr="004F6ED9">
        <w:rPr>
          <w:sz w:val="10"/>
          <w:szCs w:val="10"/>
        </w:rPr>
        <w:t>statistical discrepancy</w:t>
      </w:r>
      <w:r w:rsidR="00CB0232" w:rsidRPr="004F6ED9">
        <w:rPr>
          <w:sz w:val="10"/>
          <w:szCs w:val="10"/>
        </w:rPr>
        <w:t xml:space="preserve"> and differences between the sum of component chain volume measures and the total chain volume measure </w:t>
      </w:r>
      <w:r w:rsidR="0057490B" w:rsidRPr="004F6ED9">
        <w:rPr>
          <w:sz w:val="10"/>
          <w:szCs w:val="10"/>
        </w:rPr>
        <w:t>for</w:t>
      </w:r>
      <w:r w:rsidR="00CB0232" w:rsidRPr="004F6ED9">
        <w:rPr>
          <w:sz w:val="10"/>
          <w:szCs w:val="10"/>
        </w:rPr>
        <w:t xml:space="preserve"> gross state product</w:t>
      </w:r>
      <w:r w:rsidRPr="004F6ED9">
        <w:rPr>
          <w:sz w:val="10"/>
          <w:szCs w:val="10"/>
        </w:rPr>
        <w:t>.</w:t>
      </w:r>
    </w:p>
    <w:p w14:paraId="281A00C5" w14:textId="77777777" w:rsidR="00B37243" w:rsidRPr="004F6ED9" w:rsidRDefault="00B37243" w:rsidP="00B37243">
      <w:pPr>
        <w:jc w:val="both"/>
        <w:rPr>
          <w:sz w:val="10"/>
          <w:szCs w:val="10"/>
        </w:rPr>
      </w:pPr>
      <w:r w:rsidRPr="004F6ED9">
        <w:rPr>
          <w:sz w:val="10"/>
          <w:szCs w:val="10"/>
        </w:rPr>
        <w:t>Source: Based on ABS data.</w:t>
      </w:r>
    </w:p>
    <w:p w14:paraId="089C60C2" w14:textId="5373ADF2"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5C88">
        <w:rPr>
          <w:sz w:val="16"/>
          <w:szCs w:val="16"/>
        </w:rPr>
        <w:t xml:space="preserve">The mining industry was the main driver of Western Australia’s GSP </w:t>
      </w:r>
      <w:r w:rsidR="00626968" w:rsidRPr="00AC5C88">
        <w:rPr>
          <w:sz w:val="16"/>
          <w:szCs w:val="16"/>
        </w:rPr>
        <w:t xml:space="preserve">growth </w:t>
      </w:r>
      <w:r w:rsidRPr="00AC5C88">
        <w:rPr>
          <w:sz w:val="16"/>
          <w:szCs w:val="16"/>
        </w:rPr>
        <w:t>between 2013-14 and 2019-20</w:t>
      </w:r>
      <w:r w:rsidR="004D42FD" w:rsidRPr="00AC5C88">
        <w:rPr>
          <w:sz w:val="16"/>
          <w:szCs w:val="16"/>
        </w:rPr>
        <w:t xml:space="preserve"> as output increased from newly completed projects.</w:t>
      </w:r>
      <w:r w:rsidRPr="00AC5C88">
        <w:rPr>
          <w:sz w:val="16"/>
          <w:szCs w:val="16"/>
        </w:rPr>
        <w:t xml:space="preserve"> </w:t>
      </w:r>
      <w:r w:rsidR="004D42FD" w:rsidRPr="00AC5C88">
        <w:rPr>
          <w:sz w:val="16"/>
          <w:szCs w:val="16"/>
        </w:rPr>
        <w:t>However,</w:t>
      </w:r>
      <w:r w:rsidRPr="00AC5C88">
        <w:rPr>
          <w:sz w:val="16"/>
          <w:szCs w:val="16"/>
        </w:rPr>
        <w:t xml:space="preserve"> </w:t>
      </w:r>
      <w:r w:rsidR="00792ABE" w:rsidRPr="00AC5C88">
        <w:rPr>
          <w:sz w:val="16"/>
          <w:szCs w:val="16"/>
        </w:rPr>
        <w:t xml:space="preserve">the completion of </w:t>
      </w:r>
      <w:r w:rsidR="004D42FD" w:rsidRPr="00AC5C88">
        <w:rPr>
          <w:sz w:val="16"/>
          <w:szCs w:val="16"/>
        </w:rPr>
        <w:t xml:space="preserve">construction on these </w:t>
      </w:r>
      <w:r w:rsidRPr="00AC5C88">
        <w:rPr>
          <w:sz w:val="16"/>
          <w:szCs w:val="16"/>
        </w:rPr>
        <w:t xml:space="preserve">major mining projects </w:t>
      </w:r>
      <w:r w:rsidR="00792ABE" w:rsidRPr="00AC5C88">
        <w:rPr>
          <w:sz w:val="16"/>
          <w:szCs w:val="16"/>
        </w:rPr>
        <w:t xml:space="preserve">was largely responsible for the construction industry </w:t>
      </w:r>
      <w:r w:rsidRPr="00AC5C88">
        <w:rPr>
          <w:sz w:val="16"/>
          <w:szCs w:val="16"/>
        </w:rPr>
        <w:t>detract</w:t>
      </w:r>
      <w:r w:rsidR="00792ABE" w:rsidRPr="00AC5C88">
        <w:rPr>
          <w:sz w:val="16"/>
          <w:szCs w:val="16"/>
        </w:rPr>
        <w:t xml:space="preserve">ing </w:t>
      </w:r>
      <w:r w:rsidRPr="00AC5C88">
        <w:rPr>
          <w:sz w:val="16"/>
          <w:szCs w:val="16"/>
        </w:rPr>
        <w:t>from growth over this period.</w:t>
      </w:r>
    </w:p>
    <w:p w14:paraId="7238A81F" w14:textId="74B47111"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AC5C88">
        <w:rPr>
          <w:sz w:val="16"/>
          <w:szCs w:val="16"/>
        </w:rPr>
        <w:t xml:space="preserve">Since 2020-21 many industries outside of mining have contributed to Western Australia’s </w:t>
      </w:r>
      <w:r w:rsidR="004D42FD" w:rsidRPr="00AC5C88">
        <w:rPr>
          <w:sz w:val="16"/>
          <w:szCs w:val="16"/>
        </w:rPr>
        <w:t>GSP</w:t>
      </w:r>
      <w:r w:rsidRPr="00AC5C88">
        <w:rPr>
          <w:sz w:val="16"/>
          <w:szCs w:val="16"/>
        </w:rPr>
        <w:t xml:space="preserve"> growth, including:</w:t>
      </w:r>
    </w:p>
    <w:p w14:paraId="0296AF91" w14:textId="6C3B7C6C" w:rsidR="00B37243" w:rsidRPr="00AC5C88" w:rsidRDefault="00AC5C88" w:rsidP="006058E8">
      <w:pPr>
        <w:pStyle w:val="ListParagraph"/>
        <w:numPr>
          <w:ilvl w:val="0"/>
          <w:numId w:val="10"/>
        </w:numPr>
        <w:spacing w:before="40" w:after="40"/>
        <w:ind w:right="227" w:hanging="357"/>
        <w:contextualSpacing w:val="0"/>
        <w:jc w:val="both"/>
        <w:rPr>
          <w:sz w:val="16"/>
          <w:szCs w:val="16"/>
        </w:rPr>
      </w:pPr>
      <w:r>
        <w:rPr>
          <w:sz w:val="16"/>
          <w:szCs w:val="16"/>
        </w:rPr>
        <w:t>p</w:t>
      </w:r>
      <w:r w:rsidR="00B37243" w:rsidRPr="00AC5C88">
        <w:rPr>
          <w:sz w:val="16"/>
          <w:szCs w:val="16"/>
        </w:rPr>
        <w:t>rofessional, scientific and technical services</w:t>
      </w:r>
    </w:p>
    <w:p w14:paraId="69D9FC5B" w14:textId="2E407F7E" w:rsidR="00B37243" w:rsidRPr="00AC5C88" w:rsidRDefault="00AC5C88" w:rsidP="006058E8">
      <w:pPr>
        <w:pStyle w:val="ListParagraph"/>
        <w:numPr>
          <w:ilvl w:val="0"/>
          <w:numId w:val="10"/>
        </w:numPr>
        <w:spacing w:before="40" w:after="40"/>
        <w:ind w:right="227" w:hanging="357"/>
        <w:contextualSpacing w:val="0"/>
        <w:jc w:val="both"/>
        <w:rPr>
          <w:sz w:val="16"/>
          <w:szCs w:val="16"/>
        </w:rPr>
      </w:pPr>
      <w:r>
        <w:rPr>
          <w:sz w:val="16"/>
          <w:szCs w:val="16"/>
        </w:rPr>
        <w:t>c</w:t>
      </w:r>
      <w:r w:rsidR="00B37243" w:rsidRPr="00AC5C88">
        <w:rPr>
          <w:sz w:val="16"/>
          <w:szCs w:val="16"/>
        </w:rPr>
        <w:t>onstruction</w:t>
      </w:r>
    </w:p>
    <w:p w14:paraId="6AB30F1E" w14:textId="5B3E59EC" w:rsidR="00B37243" w:rsidRPr="00AC5C88" w:rsidRDefault="00AC5C88" w:rsidP="006058E8">
      <w:pPr>
        <w:pStyle w:val="ListParagraph"/>
        <w:numPr>
          <w:ilvl w:val="0"/>
          <w:numId w:val="10"/>
        </w:numPr>
        <w:spacing w:before="40" w:after="40"/>
        <w:ind w:right="227" w:hanging="357"/>
        <w:contextualSpacing w:val="0"/>
        <w:jc w:val="both"/>
        <w:rPr>
          <w:sz w:val="16"/>
          <w:szCs w:val="16"/>
        </w:rPr>
      </w:pPr>
      <w:r>
        <w:rPr>
          <w:sz w:val="16"/>
          <w:szCs w:val="16"/>
        </w:rPr>
        <w:t>h</w:t>
      </w:r>
      <w:r w:rsidR="00B37243" w:rsidRPr="00AC5C88">
        <w:rPr>
          <w:sz w:val="16"/>
          <w:szCs w:val="16"/>
        </w:rPr>
        <w:t>ealth care and social assistance</w:t>
      </w:r>
    </w:p>
    <w:p w14:paraId="7257DD7E" w14:textId="3690B40A" w:rsidR="00B37243" w:rsidRPr="00AC5C88" w:rsidRDefault="00AC5C88" w:rsidP="006058E8">
      <w:pPr>
        <w:pStyle w:val="ListParagraph"/>
        <w:numPr>
          <w:ilvl w:val="0"/>
          <w:numId w:val="10"/>
        </w:numPr>
        <w:spacing w:before="40" w:after="40"/>
        <w:ind w:right="227" w:hanging="357"/>
        <w:contextualSpacing w:val="0"/>
        <w:jc w:val="both"/>
        <w:rPr>
          <w:sz w:val="16"/>
          <w:szCs w:val="16"/>
        </w:rPr>
      </w:pPr>
      <w:r>
        <w:rPr>
          <w:sz w:val="16"/>
          <w:szCs w:val="16"/>
        </w:rPr>
        <w:t>a</w:t>
      </w:r>
      <w:r w:rsidR="00B37243" w:rsidRPr="00AC5C88">
        <w:rPr>
          <w:sz w:val="16"/>
          <w:szCs w:val="16"/>
        </w:rPr>
        <w:t>griculture, forestry and fishing</w:t>
      </w:r>
    </w:p>
    <w:p w14:paraId="2FD924AF" w14:textId="5D9B3641" w:rsidR="00B37243" w:rsidRPr="00AC5C88" w:rsidRDefault="00094380" w:rsidP="006058E8">
      <w:pPr>
        <w:pStyle w:val="ListParagraph"/>
        <w:numPr>
          <w:ilvl w:val="0"/>
          <w:numId w:val="10"/>
        </w:numPr>
        <w:spacing w:before="40" w:after="40"/>
        <w:ind w:right="227" w:hanging="357"/>
        <w:contextualSpacing w:val="0"/>
        <w:jc w:val="both"/>
        <w:rPr>
          <w:sz w:val="16"/>
          <w:szCs w:val="16"/>
        </w:rPr>
      </w:pPr>
      <w:r>
        <w:rPr>
          <w:sz w:val="16"/>
          <w:szCs w:val="16"/>
        </w:rPr>
        <w:t>t</w:t>
      </w:r>
      <w:r w:rsidR="00B37243" w:rsidRPr="00AC5C88">
        <w:rPr>
          <w:sz w:val="16"/>
          <w:szCs w:val="16"/>
        </w:rPr>
        <w:t>ransport, postal and warehousing.</w:t>
      </w:r>
    </w:p>
    <w:p w14:paraId="40EC15CF" w14:textId="49A17CB1"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AC5C88">
        <w:rPr>
          <w:sz w:val="16"/>
          <w:szCs w:val="16"/>
        </w:rPr>
        <w:t xml:space="preserve">The mining industry has detracted from Western Australia’s growth in three of the past four </w:t>
      </w:r>
      <w:r w:rsidR="005D6E92" w:rsidRPr="00B9638F">
        <w:rPr>
          <w:color w:val="000000" w:themeColor="text1"/>
          <w:sz w:val="16"/>
          <w:szCs w:val="16"/>
        </w:rPr>
        <w:t xml:space="preserve">financial </w:t>
      </w:r>
      <w:r w:rsidRPr="00AC5C88">
        <w:rPr>
          <w:sz w:val="16"/>
          <w:szCs w:val="16"/>
        </w:rPr>
        <w:t xml:space="preserve">years as </w:t>
      </w:r>
      <w:r w:rsidR="004D42FD" w:rsidRPr="00AC5C88">
        <w:rPr>
          <w:sz w:val="16"/>
          <w:szCs w:val="16"/>
        </w:rPr>
        <w:t>output from the State’s iron</w:t>
      </w:r>
      <w:r w:rsidR="005D6E92">
        <w:rPr>
          <w:sz w:val="16"/>
          <w:szCs w:val="16"/>
        </w:rPr>
        <w:t> </w:t>
      </w:r>
      <w:r w:rsidR="004D42FD" w:rsidRPr="00AC5C88">
        <w:rPr>
          <w:sz w:val="16"/>
          <w:szCs w:val="16"/>
        </w:rPr>
        <w:t>ore and LNG projects has consolidated after a period of expansion, and weather</w:t>
      </w:r>
      <w:r w:rsidR="004D42FD" w:rsidRPr="00AC5C88">
        <w:rPr>
          <w:sz w:val="16"/>
          <w:szCs w:val="16"/>
        </w:rPr>
        <w:noBreakHyphen/>
        <w:t>related disruptions have contributed to lower output in some years</w:t>
      </w:r>
      <w:r w:rsidRPr="00AC5C88">
        <w:rPr>
          <w:sz w:val="16"/>
          <w:szCs w:val="16"/>
        </w:rPr>
        <w:t>.</w:t>
      </w:r>
    </w:p>
    <w:p w14:paraId="0E2122F7" w14:textId="326927E4" w:rsidR="004D42FD" w:rsidRPr="00B37243" w:rsidRDefault="004D42FD" w:rsidP="006058E8">
      <w:pPr>
        <w:pStyle w:val="ListParagraph"/>
        <w:numPr>
          <w:ilvl w:val="0"/>
          <w:numId w:val="9"/>
        </w:numPr>
        <w:spacing w:before="40" w:after="40"/>
        <w:ind w:left="357" w:right="227" w:hanging="357"/>
        <w:contextualSpacing w:val="0"/>
        <w:jc w:val="both"/>
        <w:rPr>
          <w:color w:val="FF0000"/>
          <w:sz w:val="16"/>
          <w:szCs w:val="16"/>
        </w:rPr>
        <w:sectPr w:rsidR="004D42FD" w:rsidRPr="00B37243" w:rsidSect="00B37243">
          <w:type w:val="continuous"/>
          <w:pgSz w:w="11907" w:h="16840" w:code="9"/>
          <w:pgMar w:top="1701" w:right="425" w:bottom="567" w:left="567" w:header="709" w:footer="709" w:gutter="0"/>
          <w:cols w:num="2" w:space="113"/>
          <w:docGrid w:linePitch="360"/>
        </w:sectPr>
      </w:pPr>
    </w:p>
    <w:p w14:paraId="64E83DF0" w14:textId="5C7DB82E" w:rsidR="007D4D80" w:rsidRPr="00572251" w:rsidRDefault="00B37243" w:rsidP="00B37243">
      <w:pPr>
        <w:pStyle w:val="Heading4"/>
        <w:rPr>
          <w:i w:val="0"/>
          <w:iCs w:val="0"/>
          <w:color w:val="00997A"/>
          <w:sz w:val="20"/>
          <w:szCs w:val="20"/>
        </w:rPr>
        <w:sectPr w:rsidR="007D4D80" w:rsidRPr="00572251" w:rsidSect="007D4D80">
          <w:type w:val="continuous"/>
          <w:pgSz w:w="11907" w:h="16840" w:code="9"/>
          <w:pgMar w:top="1701" w:right="425" w:bottom="567" w:left="567" w:header="709" w:footer="709" w:gutter="0"/>
          <w:cols w:space="113"/>
          <w:docGrid w:linePitch="360"/>
        </w:sectPr>
      </w:pPr>
      <w:r w:rsidRPr="00572251">
        <w:rPr>
          <w:i w:val="0"/>
          <w:iCs w:val="0"/>
          <w:color w:val="00997A"/>
          <w:sz w:val="20"/>
          <w:szCs w:val="20"/>
        </w:rPr>
        <w:t>Gross state product by industry (contribution to change): 2023</w:t>
      </w:r>
      <w:r w:rsidR="005D6E92">
        <w:rPr>
          <w:i w:val="0"/>
          <w:iCs w:val="0"/>
          <w:color w:val="00997A"/>
          <w:sz w:val="20"/>
          <w:szCs w:val="20"/>
        </w:rPr>
        <w:noBreakHyphen/>
      </w:r>
      <w:r w:rsidRPr="00572251">
        <w:rPr>
          <w:i w:val="0"/>
          <w:iCs w:val="0"/>
          <w:color w:val="00997A"/>
          <w:sz w:val="20"/>
          <w:szCs w:val="20"/>
        </w:rPr>
        <w:t>24</w:t>
      </w:r>
    </w:p>
    <w:p w14:paraId="3E4DEFD9" w14:textId="7FE24C09" w:rsidR="00B37243" w:rsidRPr="004D42FD" w:rsidRDefault="00D65644" w:rsidP="00C27847">
      <w:pPr>
        <w:pStyle w:val="Heading4"/>
        <w:keepNext w:val="0"/>
        <w:keepLines w:val="0"/>
        <w:spacing w:before="0"/>
        <w:rPr>
          <w:i w:val="0"/>
          <w:iCs w:val="0"/>
        </w:rPr>
      </w:pPr>
      <w:r>
        <w:rPr>
          <w:i w:val="0"/>
          <w:iCs w:val="0"/>
          <w:noProof/>
        </w:rPr>
        <w:drawing>
          <wp:inline distT="0" distB="0" distL="0" distR="0" wp14:anchorId="4A2DF728" wp14:editId="028CE17F">
            <wp:extent cx="3422927" cy="2106202"/>
            <wp:effectExtent l="0" t="0" r="6350" b="8890"/>
            <wp:docPr id="19962907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2357" cy="2112004"/>
                    </a:xfrm>
                    <a:prstGeom prst="rect">
                      <a:avLst/>
                    </a:prstGeom>
                    <a:noFill/>
                    <a:ln>
                      <a:noFill/>
                    </a:ln>
                  </pic:spPr>
                </pic:pic>
              </a:graphicData>
            </a:graphic>
          </wp:inline>
        </w:drawing>
      </w:r>
    </w:p>
    <w:p w14:paraId="4EF72D79" w14:textId="77777777" w:rsidR="00B37243" w:rsidRPr="00DC4955" w:rsidRDefault="00B37243" w:rsidP="003C6DDF">
      <w:pPr>
        <w:jc w:val="both"/>
        <w:rPr>
          <w:color w:val="000000" w:themeColor="text1"/>
          <w:sz w:val="10"/>
          <w:szCs w:val="10"/>
        </w:rPr>
      </w:pPr>
      <w:r w:rsidRPr="00DC4955">
        <w:rPr>
          <w:color w:val="000000" w:themeColor="text1"/>
          <w:sz w:val="10"/>
        </w:rPr>
        <w:t xml:space="preserve">Note – </w:t>
      </w:r>
      <w:r w:rsidRPr="00DC4955">
        <w:rPr>
          <w:color w:val="000000" w:themeColor="text1"/>
          <w:sz w:val="10"/>
          <w:szCs w:val="10"/>
        </w:rPr>
        <w:t>Chain volumes measures. Original series. Annual change. pp = percentage points.</w:t>
      </w:r>
    </w:p>
    <w:p w14:paraId="7B986C65" w14:textId="77777777" w:rsidR="00B37243" w:rsidRPr="00DC4955" w:rsidRDefault="00B37243" w:rsidP="003C6DDF">
      <w:pPr>
        <w:jc w:val="both"/>
        <w:rPr>
          <w:color w:val="000000" w:themeColor="text1"/>
          <w:sz w:val="10"/>
          <w:szCs w:val="10"/>
        </w:rPr>
      </w:pPr>
      <w:r w:rsidRPr="00DC4955">
        <w:rPr>
          <w:color w:val="000000" w:themeColor="text1"/>
          <w:sz w:val="10"/>
          <w:szCs w:val="10"/>
        </w:rPr>
        <w:t>Source: Based on ABS data.</w:t>
      </w:r>
    </w:p>
    <w:p w14:paraId="21835F0C" w14:textId="77777777"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5C88">
        <w:rPr>
          <w:sz w:val="16"/>
          <w:szCs w:val="16"/>
        </w:rPr>
        <w:t>Construction (up 5.4%) made the largest contribution to Western Australia’s real GSP growth in 2023-24, followed by health care and social assistance (up 4.5%) and transport, postal and warehousing (up 5.1%). In 2023-24, Western Australia’s:</w:t>
      </w:r>
    </w:p>
    <w:p w14:paraId="47E208AE" w14:textId="4C04CDDE" w:rsidR="00B37243" w:rsidRPr="00AC5C88" w:rsidRDefault="00B37243" w:rsidP="006058E8">
      <w:pPr>
        <w:pStyle w:val="ListParagraph"/>
        <w:numPr>
          <w:ilvl w:val="0"/>
          <w:numId w:val="10"/>
        </w:numPr>
        <w:spacing w:before="40" w:after="40"/>
        <w:ind w:right="227" w:hanging="357"/>
        <w:contextualSpacing w:val="0"/>
        <w:jc w:val="both"/>
        <w:rPr>
          <w:sz w:val="16"/>
          <w:szCs w:val="16"/>
        </w:rPr>
      </w:pPr>
      <w:r w:rsidRPr="00AC5C88">
        <w:rPr>
          <w:sz w:val="16"/>
          <w:szCs w:val="16"/>
        </w:rPr>
        <w:t>construction industry benefitted from strong non-dwelling and dwelling construction activity.</w:t>
      </w:r>
    </w:p>
    <w:p w14:paraId="4573D354" w14:textId="77777777" w:rsidR="00B37243" w:rsidRPr="00AC5C88" w:rsidRDefault="00B37243" w:rsidP="006058E8">
      <w:pPr>
        <w:pStyle w:val="ListParagraph"/>
        <w:numPr>
          <w:ilvl w:val="0"/>
          <w:numId w:val="10"/>
        </w:numPr>
        <w:spacing w:before="40" w:after="40"/>
        <w:ind w:right="227" w:hanging="357"/>
        <w:contextualSpacing w:val="0"/>
        <w:jc w:val="both"/>
        <w:rPr>
          <w:sz w:val="16"/>
          <w:szCs w:val="16"/>
        </w:rPr>
      </w:pPr>
      <w:r w:rsidRPr="00AC5C88">
        <w:rPr>
          <w:sz w:val="16"/>
          <w:szCs w:val="16"/>
        </w:rPr>
        <w:t>health care and social assistance industry had increased demand for key health programs and services from a growing population.</w:t>
      </w:r>
    </w:p>
    <w:p w14:paraId="077F085F" w14:textId="77777777" w:rsidR="00B37243" w:rsidRPr="00AC5C88" w:rsidRDefault="00B37243" w:rsidP="006058E8">
      <w:pPr>
        <w:pStyle w:val="ListParagraph"/>
        <w:numPr>
          <w:ilvl w:val="0"/>
          <w:numId w:val="10"/>
        </w:numPr>
        <w:spacing w:before="40" w:after="40"/>
        <w:ind w:right="227" w:hanging="357"/>
        <w:contextualSpacing w:val="0"/>
        <w:jc w:val="both"/>
        <w:rPr>
          <w:sz w:val="16"/>
          <w:szCs w:val="16"/>
        </w:rPr>
      </w:pPr>
      <w:r w:rsidRPr="00AC5C88">
        <w:rPr>
          <w:sz w:val="16"/>
          <w:szCs w:val="16"/>
        </w:rPr>
        <w:t>transport, postal and warehousing industry had continued recovery in domestic and international air transport following the COVID-19 pandemic.</w:t>
      </w:r>
    </w:p>
    <w:p w14:paraId="6409332B" w14:textId="77777777"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AC5C88">
        <w:rPr>
          <w:sz w:val="16"/>
          <w:szCs w:val="16"/>
        </w:rPr>
        <w:t xml:space="preserve">Mining (down 2.1%) and agriculture, forestry and fishing (down 6.6%) were the main detractors from Western Australia’s real GSP growth in 2023-24. Production in metal ore mining and oil and gas extraction was disrupted due to adverse weather conditions and maintenance activities, while grain production </w:t>
      </w:r>
      <w:r w:rsidR="006A3BF4" w:rsidRPr="00AC5C88">
        <w:rPr>
          <w:sz w:val="16"/>
          <w:szCs w:val="16"/>
        </w:rPr>
        <w:t xml:space="preserve">volumes </w:t>
      </w:r>
      <w:r w:rsidRPr="00AC5C88">
        <w:rPr>
          <w:sz w:val="16"/>
          <w:szCs w:val="16"/>
        </w:rPr>
        <w:t xml:space="preserve">fell from </w:t>
      </w:r>
      <w:r w:rsidR="006A3BF4" w:rsidRPr="00AC5C88">
        <w:rPr>
          <w:sz w:val="16"/>
          <w:szCs w:val="16"/>
        </w:rPr>
        <w:t>particularly high levels</w:t>
      </w:r>
      <w:r w:rsidRPr="00AC5C88">
        <w:rPr>
          <w:sz w:val="16"/>
          <w:szCs w:val="16"/>
        </w:rPr>
        <w:t xml:space="preserve"> in previous years</w:t>
      </w:r>
      <w:r w:rsidR="006A3BF4" w:rsidRPr="00AC5C88">
        <w:rPr>
          <w:sz w:val="16"/>
          <w:szCs w:val="16"/>
        </w:rPr>
        <w:t>.</w:t>
      </w:r>
    </w:p>
    <w:p w14:paraId="6D0B0856" w14:textId="7D134AA5" w:rsidR="00B03768" w:rsidRDefault="00B03768" w:rsidP="006058E8">
      <w:pPr>
        <w:pStyle w:val="ListParagraph"/>
        <w:numPr>
          <w:ilvl w:val="0"/>
          <w:numId w:val="9"/>
        </w:numPr>
        <w:spacing w:before="40" w:after="40"/>
        <w:ind w:left="357" w:right="227" w:hanging="357"/>
        <w:contextualSpacing w:val="0"/>
        <w:jc w:val="both"/>
        <w:rPr>
          <w:color w:val="FF0000"/>
          <w:sz w:val="16"/>
          <w:szCs w:val="16"/>
        </w:rPr>
        <w:sectPr w:rsidR="00B03768" w:rsidSect="00B37243">
          <w:type w:val="continuous"/>
          <w:pgSz w:w="11907" w:h="16840" w:code="9"/>
          <w:pgMar w:top="1701" w:right="425" w:bottom="567" w:left="567" w:header="709" w:footer="709" w:gutter="0"/>
          <w:cols w:num="2" w:space="113"/>
          <w:docGrid w:linePitch="360"/>
        </w:sectPr>
      </w:pPr>
    </w:p>
    <w:p w14:paraId="5B50E092"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r w:rsidRPr="008F7AA0">
        <w:rPr>
          <w:bCs/>
          <w:color w:val="004C3D"/>
          <w:sz w:val="24"/>
          <w:szCs w:val="24"/>
        </w:rPr>
        <w:lastRenderedPageBreak/>
        <w:t>Commodity prices and exchange rates</w:t>
      </w:r>
    </w:p>
    <w:p w14:paraId="48C414E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256205C2" w14:textId="77777777" w:rsidR="00233755" w:rsidRPr="00572251" w:rsidRDefault="00233755" w:rsidP="00233755">
      <w:pPr>
        <w:pStyle w:val="Heading4"/>
        <w:spacing w:before="0"/>
        <w:rPr>
          <w:i w:val="0"/>
          <w:iCs w:val="0"/>
          <w:color w:val="00997A"/>
          <w:sz w:val="20"/>
          <w:szCs w:val="20"/>
        </w:rPr>
        <w:sectPr w:rsidR="00233755" w:rsidRPr="00572251" w:rsidSect="00233755">
          <w:type w:val="continuous"/>
          <w:pgSz w:w="11907" w:h="16840" w:code="9"/>
          <w:pgMar w:top="1701" w:right="425" w:bottom="567" w:left="567" w:header="709" w:footer="709" w:gutter="0"/>
          <w:cols w:space="720"/>
          <w:docGrid w:linePitch="360"/>
        </w:sectPr>
      </w:pPr>
      <w:r w:rsidRPr="00572251">
        <w:rPr>
          <w:i w:val="0"/>
          <w:iCs w:val="0"/>
          <w:color w:val="00997A"/>
          <w:sz w:val="20"/>
          <w:szCs w:val="20"/>
        </w:rPr>
        <w:t>Mineral commodity prices (index)</w:t>
      </w:r>
    </w:p>
    <w:p w14:paraId="3C83AD48" w14:textId="0994D2EC" w:rsidR="00233755" w:rsidRPr="007B1AE5" w:rsidRDefault="00CB2377" w:rsidP="00233755">
      <w:r>
        <w:rPr>
          <w:noProof/>
        </w:rPr>
        <w:drawing>
          <wp:inline distT="0" distB="0" distL="0" distR="0" wp14:anchorId="35595CD7" wp14:editId="49741B97">
            <wp:extent cx="1683986" cy="1941165"/>
            <wp:effectExtent l="0" t="0" r="0" b="2540"/>
            <wp:docPr id="2076762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7349" cy="1991151"/>
                    </a:xfrm>
                    <a:prstGeom prst="rect">
                      <a:avLst/>
                    </a:prstGeom>
                    <a:noFill/>
                    <a:ln>
                      <a:noFill/>
                    </a:ln>
                  </pic:spPr>
                </pic:pic>
              </a:graphicData>
            </a:graphic>
          </wp:inline>
        </w:drawing>
      </w:r>
      <w:r w:rsidR="007D0B45">
        <w:rPr>
          <w:noProof/>
        </w:rPr>
        <w:drawing>
          <wp:inline distT="0" distB="0" distL="0" distR="0" wp14:anchorId="25C3EAB0" wp14:editId="53877AFF">
            <wp:extent cx="1733636" cy="2028825"/>
            <wp:effectExtent l="0" t="0" r="0" b="0"/>
            <wp:docPr id="69270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4335" cy="2029643"/>
                    </a:xfrm>
                    <a:prstGeom prst="rect">
                      <a:avLst/>
                    </a:prstGeom>
                    <a:noFill/>
                    <a:ln>
                      <a:noFill/>
                    </a:ln>
                  </pic:spPr>
                </pic:pic>
              </a:graphicData>
            </a:graphic>
          </wp:inline>
        </w:drawing>
      </w:r>
    </w:p>
    <w:p w14:paraId="229B79C7" w14:textId="1C2F2392" w:rsidR="00233755" w:rsidRPr="00C23306" w:rsidRDefault="00233755" w:rsidP="00233755">
      <w:pPr>
        <w:jc w:val="both"/>
        <w:rPr>
          <w:sz w:val="10"/>
          <w:szCs w:val="10"/>
        </w:rPr>
      </w:pPr>
      <w:r w:rsidRPr="00C23306">
        <w:rPr>
          <w:sz w:val="10"/>
        </w:rPr>
        <w:t>Note – Index based on c</w:t>
      </w:r>
      <w:r w:rsidRPr="00C23306">
        <w:rPr>
          <w:sz w:val="10"/>
          <w:szCs w:val="10"/>
        </w:rPr>
        <w:t xml:space="preserve">urrent prices in US dollars. </w:t>
      </w:r>
      <w:r w:rsidRPr="0085163E">
        <w:rPr>
          <w:sz w:val="10"/>
          <w:szCs w:val="10"/>
        </w:rPr>
        <w:t xml:space="preserve">Original series. </w:t>
      </w:r>
      <w:r w:rsidR="00E33CD3" w:rsidRPr="0085163E">
        <w:rPr>
          <w:sz w:val="10"/>
          <w:szCs w:val="10"/>
        </w:rPr>
        <w:t>September</w:t>
      </w:r>
      <w:r w:rsidRPr="0085163E">
        <w:rPr>
          <w:sz w:val="10"/>
          <w:szCs w:val="10"/>
        </w:rPr>
        <w:t xml:space="preserve"> </w:t>
      </w:r>
      <w:r w:rsidRPr="00C23306">
        <w:rPr>
          <w:sz w:val="10"/>
          <w:szCs w:val="10"/>
        </w:rPr>
        <w:t>2024 = 100.0. (a) China spot price per dry tonne of 62% Fe fines on a cost, insurance, and freight basis. (b) London afternoon fixing price per troy ounce of 99.5% fine. (c) Asia lithium carbonate price per tonne on a cost, insurance and freight basis. (d) London Metal Exchange (LME) Cash.</w:t>
      </w:r>
    </w:p>
    <w:p w14:paraId="419B79DF" w14:textId="77777777" w:rsidR="00233755" w:rsidRPr="00C23306" w:rsidRDefault="00233755" w:rsidP="00233755">
      <w:pPr>
        <w:jc w:val="both"/>
        <w:rPr>
          <w:sz w:val="10"/>
          <w:szCs w:val="10"/>
        </w:rPr>
      </w:pPr>
      <w:r w:rsidRPr="00C23306">
        <w:rPr>
          <w:sz w:val="10"/>
          <w:szCs w:val="10"/>
        </w:rPr>
        <w:t>Source: World Bank and S&amp;P Global Market Intelligence.</w:t>
      </w:r>
    </w:p>
    <w:p w14:paraId="51D9A03B" w14:textId="1D359F21" w:rsidR="00232085" w:rsidRPr="0085163E"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232085" w:rsidRPr="0085163E">
        <w:rPr>
          <w:sz w:val="16"/>
          <w:szCs w:val="16"/>
        </w:rPr>
        <w:t xml:space="preserve">Prices for Western Australia’s main mineral exports have </w:t>
      </w:r>
      <w:r w:rsidR="005D6E92" w:rsidRPr="0085163E">
        <w:rPr>
          <w:sz w:val="16"/>
          <w:szCs w:val="16"/>
        </w:rPr>
        <w:t>been relatively stable in</w:t>
      </w:r>
      <w:r w:rsidR="00232085" w:rsidRPr="0085163E">
        <w:rPr>
          <w:sz w:val="16"/>
          <w:szCs w:val="16"/>
        </w:rPr>
        <w:t xml:space="preserve"> recent</w:t>
      </w:r>
      <w:r w:rsidR="005D6E92" w:rsidRPr="0085163E">
        <w:rPr>
          <w:sz w:val="16"/>
          <w:szCs w:val="16"/>
        </w:rPr>
        <w:t xml:space="preserve"> months</w:t>
      </w:r>
      <w:r w:rsidR="00232085" w:rsidRPr="0085163E">
        <w:rPr>
          <w:sz w:val="16"/>
          <w:szCs w:val="16"/>
        </w:rPr>
        <w:t xml:space="preserve">, after five years of </w:t>
      </w:r>
      <w:r w:rsidR="009A1ED3" w:rsidRPr="0085163E">
        <w:rPr>
          <w:sz w:val="16"/>
          <w:szCs w:val="16"/>
        </w:rPr>
        <w:t>large swings</w:t>
      </w:r>
      <w:r w:rsidR="00232085" w:rsidRPr="0085163E">
        <w:rPr>
          <w:sz w:val="16"/>
          <w:szCs w:val="16"/>
        </w:rPr>
        <w:t>.</w:t>
      </w:r>
    </w:p>
    <w:p w14:paraId="24E4CFC7" w14:textId="4BEA63BB" w:rsidR="00232085" w:rsidRPr="0085163E" w:rsidRDefault="005D6E92" w:rsidP="006058E8">
      <w:pPr>
        <w:pStyle w:val="ListParagraph"/>
        <w:numPr>
          <w:ilvl w:val="0"/>
          <w:numId w:val="10"/>
        </w:numPr>
        <w:spacing w:before="40" w:after="40"/>
        <w:ind w:right="227" w:hanging="357"/>
        <w:contextualSpacing w:val="0"/>
        <w:jc w:val="both"/>
        <w:rPr>
          <w:sz w:val="16"/>
          <w:szCs w:val="16"/>
        </w:rPr>
      </w:pPr>
      <w:r w:rsidRPr="0085163E">
        <w:rPr>
          <w:sz w:val="16"/>
          <w:szCs w:val="16"/>
        </w:rPr>
        <w:t>The monthly average i</w:t>
      </w:r>
      <w:r w:rsidR="00232085" w:rsidRPr="0085163E">
        <w:rPr>
          <w:sz w:val="16"/>
          <w:szCs w:val="16"/>
        </w:rPr>
        <w:t xml:space="preserve">ron ore price </w:t>
      </w:r>
      <w:r w:rsidR="008A44F3" w:rsidRPr="0085163E">
        <w:rPr>
          <w:sz w:val="16"/>
          <w:szCs w:val="16"/>
        </w:rPr>
        <w:t xml:space="preserve">has </w:t>
      </w:r>
      <w:r w:rsidRPr="0085163E">
        <w:rPr>
          <w:sz w:val="16"/>
          <w:szCs w:val="16"/>
        </w:rPr>
        <w:t>stabilised at around</w:t>
      </w:r>
      <w:r w:rsidR="00232085" w:rsidRPr="0085163E">
        <w:rPr>
          <w:sz w:val="16"/>
          <w:szCs w:val="16"/>
        </w:rPr>
        <w:t xml:space="preserve"> US$</w:t>
      </w:r>
      <w:r w:rsidRPr="0085163E">
        <w:rPr>
          <w:sz w:val="16"/>
          <w:szCs w:val="16"/>
        </w:rPr>
        <w:t>100</w:t>
      </w:r>
      <w:r w:rsidR="00232085" w:rsidRPr="0085163E">
        <w:rPr>
          <w:sz w:val="16"/>
          <w:szCs w:val="16"/>
        </w:rPr>
        <w:t xml:space="preserve"> a tonne </w:t>
      </w:r>
      <w:r w:rsidR="008A44F3" w:rsidRPr="0085163E">
        <w:rPr>
          <w:sz w:val="16"/>
          <w:szCs w:val="16"/>
        </w:rPr>
        <w:t xml:space="preserve">since </w:t>
      </w:r>
      <w:r w:rsidR="00232085" w:rsidRPr="0085163E">
        <w:rPr>
          <w:sz w:val="16"/>
          <w:szCs w:val="16"/>
        </w:rPr>
        <w:t>August</w:t>
      </w:r>
      <w:r w:rsidRPr="0085163E">
        <w:rPr>
          <w:sz w:val="16"/>
          <w:szCs w:val="16"/>
        </w:rPr>
        <w:t> </w:t>
      </w:r>
      <w:r w:rsidR="00232085" w:rsidRPr="0085163E">
        <w:rPr>
          <w:sz w:val="16"/>
          <w:szCs w:val="16"/>
        </w:rPr>
        <w:t>2024</w:t>
      </w:r>
      <w:r w:rsidR="008A44F3" w:rsidRPr="0085163E">
        <w:rPr>
          <w:sz w:val="16"/>
          <w:szCs w:val="16"/>
        </w:rPr>
        <w:t>.</w:t>
      </w:r>
      <w:r w:rsidR="00232085" w:rsidRPr="0085163E">
        <w:rPr>
          <w:sz w:val="16"/>
          <w:szCs w:val="16"/>
        </w:rPr>
        <w:t xml:space="preserve"> </w:t>
      </w:r>
      <w:r w:rsidR="008A44F3" w:rsidRPr="0085163E">
        <w:rPr>
          <w:sz w:val="16"/>
          <w:szCs w:val="16"/>
        </w:rPr>
        <w:t xml:space="preserve">The price </w:t>
      </w:r>
      <w:r w:rsidR="004039F3" w:rsidRPr="0085163E">
        <w:rPr>
          <w:sz w:val="16"/>
          <w:szCs w:val="16"/>
        </w:rPr>
        <w:t xml:space="preserve">was </w:t>
      </w:r>
      <w:r w:rsidR="00535002" w:rsidRPr="0085163E">
        <w:rPr>
          <w:sz w:val="16"/>
          <w:szCs w:val="16"/>
        </w:rPr>
        <w:t>US$</w:t>
      </w:r>
      <w:r w:rsidR="00F5256E" w:rsidRPr="0085163E">
        <w:rPr>
          <w:sz w:val="16"/>
          <w:szCs w:val="16"/>
        </w:rPr>
        <w:t>103.3</w:t>
      </w:r>
      <w:r w:rsidR="00535002" w:rsidRPr="0085163E">
        <w:rPr>
          <w:sz w:val="16"/>
          <w:szCs w:val="16"/>
        </w:rPr>
        <w:t xml:space="preserve"> a tonne in </w:t>
      </w:r>
      <w:r w:rsidR="00F5256E" w:rsidRPr="0085163E">
        <w:rPr>
          <w:sz w:val="16"/>
          <w:szCs w:val="16"/>
        </w:rPr>
        <w:t>September</w:t>
      </w:r>
      <w:r w:rsidR="00535002" w:rsidRPr="0085163E">
        <w:rPr>
          <w:sz w:val="16"/>
          <w:szCs w:val="16"/>
        </w:rPr>
        <w:t> 2025</w:t>
      </w:r>
      <w:r w:rsidR="008A44F3" w:rsidRPr="0085163E">
        <w:rPr>
          <w:sz w:val="16"/>
          <w:szCs w:val="16"/>
        </w:rPr>
        <w:t>.</w:t>
      </w:r>
    </w:p>
    <w:p w14:paraId="7903BEAF" w14:textId="2D26884F" w:rsidR="00232085" w:rsidRPr="0085163E" w:rsidRDefault="00232085" w:rsidP="006058E8">
      <w:pPr>
        <w:pStyle w:val="ListParagraph"/>
        <w:numPr>
          <w:ilvl w:val="0"/>
          <w:numId w:val="10"/>
        </w:numPr>
        <w:spacing w:before="40" w:after="40"/>
        <w:ind w:right="227" w:hanging="357"/>
        <w:contextualSpacing w:val="0"/>
        <w:jc w:val="both"/>
        <w:rPr>
          <w:sz w:val="16"/>
          <w:szCs w:val="16"/>
        </w:rPr>
      </w:pPr>
      <w:r w:rsidRPr="0085163E">
        <w:rPr>
          <w:sz w:val="16"/>
          <w:szCs w:val="16"/>
        </w:rPr>
        <w:t xml:space="preserve">Lithium prices </w:t>
      </w:r>
      <w:r w:rsidR="005D6E92" w:rsidRPr="0085163E">
        <w:rPr>
          <w:sz w:val="16"/>
          <w:szCs w:val="16"/>
        </w:rPr>
        <w:t>fell</w:t>
      </w:r>
      <w:r w:rsidRPr="0085163E">
        <w:rPr>
          <w:sz w:val="16"/>
          <w:szCs w:val="16"/>
        </w:rPr>
        <w:t xml:space="preserve"> significantly </w:t>
      </w:r>
      <w:r w:rsidR="00026429" w:rsidRPr="0085163E">
        <w:rPr>
          <w:sz w:val="16"/>
          <w:szCs w:val="16"/>
        </w:rPr>
        <w:t xml:space="preserve">in 2023 and 2024 </w:t>
      </w:r>
      <w:r w:rsidRPr="0085163E">
        <w:rPr>
          <w:sz w:val="16"/>
          <w:szCs w:val="16"/>
        </w:rPr>
        <w:t>as additional supply came online, coupled with slower sales growth in electric vehicles. The decline continued</w:t>
      </w:r>
      <w:r w:rsidR="00026429" w:rsidRPr="0085163E">
        <w:rPr>
          <w:sz w:val="16"/>
          <w:szCs w:val="16"/>
        </w:rPr>
        <w:t xml:space="preserve"> in </w:t>
      </w:r>
      <w:r w:rsidR="003A2033" w:rsidRPr="0085163E">
        <w:rPr>
          <w:sz w:val="16"/>
          <w:szCs w:val="16"/>
        </w:rPr>
        <w:t xml:space="preserve">early </w:t>
      </w:r>
      <w:r w:rsidR="00026429" w:rsidRPr="0085163E">
        <w:rPr>
          <w:sz w:val="16"/>
          <w:szCs w:val="16"/>
        </w:rPr>
        <w:t>2025</w:t>
      </w:r>
      <w:r w:rsidRPr="0085163E">
        <w:rPr>
          <w:sz w:val="16"/>
          <w:szCs w:val="16"/>
        </w:rPr>
        <w:t>, though at a slower rate</w:t>
      </w:r>
      <w:r w:rsidR="00A32C8E" w:rsidRPr="0085163E">
        <w:rPr>
          <w:sz w:val="16"/>
          <w:szCs w:val="16"/>
        </w:rPr>
        <w:t xml:space="preserve">. </w:t>
      </w:r>
      <w:r w:rsidR="008A44F3" w:rsidRPr="0085163E">
        <w:rPr>
          <w:sz w:val="16"/>
          <w:szCs w:val="16"/>
        </w:rPr>
        <w:t>I</w:t>
      </w:r>
      <w:r w:rsidR="00A32C8E" w:rsidRPr="0085163E">
        <w:rPr>
          <w:sz w:val="16"/>
          <w:szCs w:val="16"/>
        </w:rPr>
        <w:t xml:space="preserve">n </w:t>
      </w:r>
      <w:r w:rsidR="00E34BE2" w:rsidRPr="0085163E">
        <w:rPr>
          <w:sz w:val="16"/>
          <w:szCs w:val="16"/>
        </w:rPr>
        <w:t>September</w:t>
      </w:r>
      <w:r w:rsidR="008A44F3" w:rsidRPr="0085163E">
        <w:rPr>
          <w:sz w:val="16"/>
          <w:szCs w:val="16"/>
        </w:rPr>
        <w:t> </w:t>
      </w:r>
      <w:r w:rsidR="00A32C8E" w:rsidRPr="0085163E">
        <w:rPr>
          <w:sz w:val="16"/>
          <w:szCs w:val="16"/>
        </w:rPr>
        <w:t>2025,</w:t>
      </w:r>
      <w:r w:rsidRPr="0085163E">
        <w:rPr>
          <w:sz w:val="16"/>
          <w:szCs w:val="16"/>
        </w:rPr>
        <w:t xml:space="preserve"> the average monthly price for lithium carbonate </w:t>
      </w:r>
      <w:r w:rsidR="00A32C8E" w:rsidRPr="0085163E">
        <w:rPr>
          <w:sz w:val="16"/>
          <w:szCs w:val="16"/>
        </w:rPr>
        <w:t xml:space="preserve">rose </w:t>
      </w:r>
      <w:r w:rsidR="008132BB" w:rsidRPr="0085163E">
        <w:rPr>
          <w:sz w:val="16"/>
          <w:szCs w:val="16"/>
        </w:rPr>
        <w:t>5</w:t>
      </w:r>
      <w:r w:rsidR="00A32C8E" w:rsidRPr="0085163E">
        <w:rPr>
          <w:sz w:val="16"/>
          <w:szCs w:val="16"/>
        </w:rPr>
        <w:t xml:space="preserve">% to </w:t>
      </w:r>
      <w:r w:rsidRPr="0085163E">
        <w:rPr>
          <w:sz w:val="16"/>
          <w:szCs w:val="16"/>
        </w:rPr>
        <w:t>US$</w:t>
      </w:r>
      <w:r w:rsidR="00380DB9" w:rsidRPr="0085163E">
        <w:rPr>
          <w:sz w:val="16"/>
          <w:szCs w:val="16"/>
        </w:rPr>
        <w:t>9,</w:t>
      </w:r>
      <w:r w:rsidR="00610E1B" w:rsidRPr="0085163E">
        <w:rPr>
          <w:sz w:val="16"/>
          <w:szCs w:val="16"/>
        </w:rPr>
        <w:t>60</w:t>
      </w:r>
      <w:r w:rsidR="00380DB9" w:rsidRPr="0085163E">
        <w:rPr>
          <w:sz w:val="16"/>
          <w:szCs w:val="16"/>
        </w:rPr>
        <w:t>0</w:t>
      </w:r>
      <w:r w:rsidRPr="0085163E">
        <w:rPr>
          <w:sz w:val="16"/>
          <w:szCs w:val="16"/>
        </w:rPr>
        <w:t xml:space="preserve"> a tonne.</w:t>
      </w:r>
    </w:p>
    <w:p w14:paraId="1FB74506" w14:textId="3F649EDE" w:rsidR="00232085" w:rsidRPr="0085163E" w:rsidRDefault="00232085" w:rsidP="006058E8">
      <w:pPr>
        <w:pStyle w:val="ListParagraph"/>
        <w:numPr>
          <w:ilvl w:val="0"/>
          <w:numId w:val="10"/>
        </w:numPr>
        <w:spacing w:before="40" w:after="40"/>
        <w:ind w:right="227" w:hanging="357"/>
        <w:contextualSpacing w:val="0"/>
        <w:jc w:val="both"/>
        <w:rPr>
          <w:sz w:val="16"/>
          <w:szCs w:val="16"/>
        </w:rPr>
      </w:pPr>
      <w:r w:rsidRPr="0085163E">
        <w:rPr>
          <w:sz w:val="16"/>
          <w:szCs w:val="16"/>
        </w:rPr>
        <w:t xml:space="preserve">Nickel prices have followed a similar, albeit less spectacular, trajectory to lithium prices. The average monthly price for nickel in </w:t>
      </w:r>
      <w:r w:rsidR="0004481A" w:rsidRPr="0085163E">
        <w:rPr>
          <w:sz w:val="16"/>
          <w:szCs w:val="16"/>
        </w:rPr>
        <w:t>September</w:t>
      </w:r>
      <w:r w:rsidRPr="0085163E">
        <w:rPr>
          <w:sz w:val="16"/>
          <w:szCs w:val="16"/>
        </w:rPr>
        <w:t> 2025 was US$</w:t>
      </w:r>
      <w:r w:rsidR="0004481A" w:rsidRPr="0085163E">
        <w:rPr>
          <w:sz w:val="16"/>
          <w:szCs w:val="16"/>
        </w:rPr>
        <w:t>15</w:t>
      </w:r>
      <w:r w:rsidR="00D20BFC" w:rsidRPr="0085163E">
        <w:rPr>
          <w:sz w:val="16"/>
          <w:szCs w:val="16"/>
        </w:rPr>
        <w:t>,106</w:t>
      </w:r>
      <w:r w:rsidRPr="0085163E">
        <w:rPr>
          <w:sz w:val="16"/>
          <w:szCs w:val="16"/>
        </w:rPr>
        <w:t xml:space="preserve"> a tonn</w:t>
      </w:r>
      <w:r w:rsidR="003C7ECD" w:rsidRPr="0085163E">
        <w:rPr>
          <w:sz w:val="16"/>
          <w:szCs w:val="16"/>
        </w:rPr>
        <w:t xml:space="preserve">e, </w:t>
      </w:r>
      <w:r w:rsidR="00D231FC" w:rsidRPr="0085163E">
        <w:rPr>
          <w:sz w:val="16"/>
          <w:szCs w:val="16"/>
        </w:rPr>
        <w:t>1.0</w:t>
      </w:r>
      <w:r w:rsidR="00015F11" w:rsidRPr="0085163E">
        <w:rPr>
          <w:sz w:val="16"/>
          <w:szCs w:val="16"/>
        </w:rPr>
        <w:t xml:space="preserve">% </w:t>
      </w:r>
      <w:r w:rsidR="00D231FC" w:rsidRPr="0085163E">
        <w:rPr>
          <w:sz w:val="16"/>
          <w:szCs w:val="16"/>
        </w:rPr>
        <w:t>more</w:t>
      </w:r>
      <w:r w:rsidR="00015F11" w:rsidRPr="0085163E">
        <w:rPr>
          <w:sz w:val="16"/>
          <w:szCs w:val="16"/>
        </w:rPr>
        <w:t xml:space="preserve"> than the previous month </w:t>
      </w:r>
      <w:r w:rsidR="00D231FC" w:rsidRPr="0085163E">
        <w:rPr>
          <w:sz w:val="16"/>
          <w:szCs w:val="16"/>
        </w:rPr>
        <w:t>but</w:t>
      </w:r>
      <w:r w:rsidR="00015F11" w:rsidRPr="0085163E">
        <w:rPr>
          <w:sz w:val="16"/>
          <w:szCs w:val="16"/>
        </w:rPr>
        <w:t xml:space="preserve"> </w:t>
      </w:r>
      <w:r w:rsidR="00D20BFC" w:rsidRPr="0085163E">
        <w:rPr>
          <w:sz w:val="16"/>
          <w:szCs w:val="16"/>
        </w:rPr>
        <w:t>6</w:t>
      </w:r>
      <w:r w:rsidR="003C7ECD" w:rsidRPr="0085163E">
        <w:rPr>
          <w:sz w:val="16"/>
          <w:szCs w:val="16"/>
        </w:rPr>
        <w:t>% less than a year ago.</w:t>
      </w:r>
    </w:p>
    <w:p w14:paraId="54DFBDFC" w14:textId="663F143B" w:rsidR="00232085" w:rsidRPr="0085163E" w:rsidRDefault="00232085" w:rsidP="006058E8">
      <w:pPr>
        <w:pStyle w:val="ListParagraph"/>
        <w:numPr>
          <w:ilvl w:val="0"/>
          <w:numId w:val="9"/>
        </w:numPr>
        <w:spacing w:before="40" w:after="40"/>
        <w:ind w:right="227" w:hanging="357"/>
        <w:contextualSpacing w:val="0"/>
        <w:jc w:val="both"/>
        <w:rPr>
          <w:sz w:val="16"/>
          <w:szCs w:val="16"/>
        </w:rPr>
      </w:pPr>
      <w:r w:rsidRPr="0085163E">
        <w:rPr>
          <w:sz w:val="16"/>
          <w:szCs w:val="16"/>
        </w:rPr>
        <w:t xml:space="preserve">Gold has been an exception, with prices continuing to </w:t>
      </w:r>
      <w:r w:rsidR="00BC52E7" w:rsidRPr="0085163E">
        <w:rPr>
          <w:sz w:val="16"/>
          <w:szCs w:val="16"/>
        </w:rPr>
        <w:t>increase</w:t>
      </w:r>
      <w:r w:rsidRPr="0085163E">
        <w:rPr>
          <w:sz w:val="16"/>
          <w:szCs w:val="16"/>
        </w:rPr>
        <w:t xml:space="preserve"> due to falling interest rates (decreased competition for higher</w:t>
      </w:r>
      <w:r w:rsidR="00BC52E7" w:rsidRPr="0085163E">
        <w:rPr>
          <w:sz w:val="16"/>
          <w:szCs w:val="16"/>
        </w:rPr>
        <w:noBreakHyphen/>
      </w:r>
      <w:r w:rsidRPr="0085163E">
        <w:rPr>
          <w:sz w:val="16"/>
          <w:szCs w:val="16"/>
        </w:rPr>
        <w:t>yielding investments) and geopolitical tensions stimulating safe-haven demand for gold.</w:t>
      </w:r>
    </w:p>
    <w:p w14:paraId="26885F57" w14:textId="7B96D603" w:rsidR="00232085" w:rsidRPr="0085163E" w:rsidRDefault="00232085" w:rsidP="006058E8">
      <w:pPr>
        <w:pStyle w:val="ListParagraph"/>
        <w:numPr>
          <w:ilvl w:val="0"/>
          <w:numId w:val="10"/>
        </w:numPr>
        <w:spacing w:before="40" w:after="40"/>
        <w:ind w:right="227" w:hanging="357"/>
        <w:contextualSpacing w:val="0"/>
        <w:jc w:val="both"/>
        <w:rPr>
          <w:sz w:val="16"/>
          <w:szCs w:val="16"/>
        </w:rPr>
      </w:pPr>
      <w:r w:rsidRPr="0085163E">
        <w:rPr>
          <w:sz w:val="16"/>
          <w:szCs w:val="16"/>
        </w:rPr>
        <w:t xml:space="preserve">The </w:t>
      </w:r>
      <w:r w:rsidR="00026429" w:rsidRPr="0085163E">
        <w:rPr>
          <w:sz w:val="16"/>
          <w:szCs w:val="16"/>
        </w:rPr>
        <w:t xml:space="preserve">average monthly </w:t>
      </w:r>
      <w:r w:rsidRPr="0085163E">
        <w:rPr>
          <w:sz w:val="16"/>
          <w:szCs w:val="16"/>
        </w:rPr>
        <w:t>gold price was US$3,</w:t>
      </w:r>
      <w:r w:rsidR="00325C9C" w:rsidRPr="0085163E">
        <w:rPr>
          <w:sz w:val="16"/>
          <w:szCs w:val="16"/>
        </w:rPr>
        <w:t>6</w:t>
      </w:r>
      <w:r w:rsidR="002126C4" w:rsidRPr="0085163E">
        <w:rPr>
          <w:sz w:val="16"/>
          <w:szCs w:val="16"/>
        </w:rPr>
        <w:t>68</w:t>
      </w:r>
      <w:r w:rsidRPr="0085163E">
        <w:rPr>
          <w:sz w:val="16"/>
          <w:szCs w:val="16"/>
        </w:rPr>
        <w:t xml:space="preserve"> </w:t>
      </w:r>
      <w:r w:rsidR="00545ED5" w:rsidRPr="0085163E">
        <w:rPr>
          <w:sz w:val="16"/>
          <w:szCs w:val="16"/>
        </w:rPr>
        <w:t>a</w:t>
      </w:r>
      <w:r w:rsidRPr="0085163E">
        <w:rPr>
          <w:sz w:val="16"/>
          <w:szCs w:val="16"/>
        </w:rPr>
        <w:t xml:space="preserve"> troy ounce in </w:t>
      </w:r>
      <w:r w:rsidR="00325C9C" w:rsidRPr="0085163E">
        <w:rPr>
          <w:sz w:val="16"/>
          <w:szCs w:val="16"/>
        </w:rPr>
        <w:t>September</w:t>
      </w:r>
      <w:r w:rsidRPr="0085163E">
        <w:rPr>
          <w:sz w:val="16"/>
          <w:szCs w:val="16"/>
        </w:rPr>
        <w:t xml:space="preserve"> 2025, </w:t>
      </w:r>
      <w:r w:rsidR="00F45EDE" w:rsidRPr="0085163E">
        <w:rPr>
          <w:sz w:val="16"/>
          <w:szCs w:val="16"/>
        </w:rPr>
        <w:t>43</w:t>
      </w:r>
      <w:r w:rsidRPr="0085163E">
        <w:rPr>
          <w:sz w:val="16"/>
          <w:szCs w:val="16"/>
        </w:rPr>
        <w:t>% above the price one year ago.</w:t>
      </w:r>
    </w:p>
    <w:p w14:paraId="2157EF7E" w14:textId="173FA533" w:rsidR="00233755" w:rsidRPr="00D71AA8" w:rsidRDefault="00233755" w:rsidP="006058E8">
      <w:pPr>
        <w:pStyle w:val="ListParagraph"/>
        <w:numPr>
          <w:ilvl w:val="0"/>
          <w:numId w:val="9"/>
        </w:numPr>
        <w:spacing w:before="40" w:after="40"/>
        <w:ind w:right="227" w:hanging="357"/>
        <w:contextualSpacing w:val="0"/>
        <w:jc w:val="both"/>
        <w:rPr>
          <w:sz w:val="16"/>
          <w:szCs w:val="16"/>
        </w:rPr>
        <w:sectPr w:rsidR="00233755" w:rsidRPr="00D71AA8" w:rsidSect="00233755">
          <w:type w:val="continuous"/>
          <w:pgSz w:w="11907" w:h="16840" w:code="9"/>
          <w:pgMar w:top="1701" w:right="425" w:bottom="567" w:left="567" w:header="709" w:footer="709" w:gutter="0"/>
          <w:cols w:num="2" w:space="113"/>
          <w:docGrid w:linePitch="360"/>
        </w:sectPr>
      </w:pPr>
    </w:p>
    <w:p w14:paraId="458B6CBF"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Non-mineral commodity prices (index)</w:t>
      </w:r>
    </w:p>
    <w:p w14:paraId="10D7A92A" w14:textId="6A1CC853" w:rsidR="00233755" w:rsidRPr="001D075F" w:rsidRDefault="00EC4901" w:rsidP="00082DED">
      <w:pPr>
        <w:pStyle w:val="Heading4"/>
        <w:keepNext w:val="0"/>
        <w:keepLines w:val="0"/>
        <w:spacing w:before="0"/>
        <w:rPr>
          <w:b w:val="0"/>
          <w:bCs w:val="0"/>
          <w:i w:val="0"/>
          <w:iCs w:val="0"/>
        </w:rPr>
      </w:pPr>
      <w:r>
        <w:rPr>
          <w:b w:val="0"/>
          <w:bCs w:val="0"/>
          <w:i w:val="0"/>
          <w:iCs w:val="0"/>
          <w:noProof/>
        </w:rPr>
        <w:drawing>
          <wp:inline distT="0" distB="0" distL="0" distR="0" wp14:anchorId="59D03BEA" wp14:editId="45A72D84">
            <wp:extent cx="1670059" cy="1961202"/>
            <wp:effectExtent l="0" t="0" r="6350" b="1270"/>
            <wp:docPr id="6685883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1343" cy="1986196"/>
                    </a:xfrm>
                    <a:prstGeom prst="rect">
                      <a:avLst/>
                    </a:prstGeom>
                    <a:noFill/>
                    <a:ln>
                      <a:noFill/>
                    </a:ln>
                  </pic:spPr>
                </pic:pic>
              </a:graphicData>
            </a:graphic>
          </wp:inline>
        </w:drawing>
      </w:r>
      <w:r w:rsidR="007177B7">
        <w:rPr>
          <w:b w:val="0"/>
          <w:bCs w:val="0"/>
          <w:i w:val="0"/>
          <w:iCs w:val="0"/>
          <w:noProof/>
        </w:rPr>
        <w:drawing>
          <wp:inline distT="0" distB="0" distL="0" distR="0" wp14:anchorId="3A8E1550" wp14:editId="23E071AC">
            <wp:extent cx="1696398" cy="2020222"/>
            <wp:effectExtent l="0" t="0" r="0" b="0"/>
            <wp:docPr id="12513436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5747" cy="2043264"/>
                    </a:xfrm>
                    <a:prstGeom prst="rect">
                      <a:avLst/>
                    </a:prstGeom>
                    <a:noFill/>
                    <a:ln>
                      <a:noFill/>
                    </a:ln>
                  </pic:spPr>
                </pic:pic>
              </a:graphicData>
            </a:graphic>
          </wp:inline>
        </w:drawing>
      </w:r>
    </w:p>
    <w:p w14:paraId="3C817890" w14:textId="58339CB2" w:rsidR="00233755" w:rsidRPr="00505196" w:rsidRDefault="00233755" w:rsidP="00233755">
      <w:pPr>
        <w:jc w:val="both"/>
        <w:rPr>
          <w:sz w:val="10"/>
          <w:szCs w:val="10"/>
        </w:rPr>
      </w:pPr>
      <w:r w:rsidRPr="00505196">
        <w:rPr>
          <w:sz w:val="10"/>
        </w:rPr>
        <w:t>Note – Index based on c</w:t>
      </w:r>
      <w:r w:rsidRPr="00505196">
        <w:rPr>
          <w:sz w:val="10"/>
          <w:szCs w:val="10"/>
        </w:rPr>
        <w:t xml:space="preserve">urrent prices in US dollars. Original </w:t>
      </w:r>
      <w:r w:rsidRPr="0085163E">
        <w:rPr>
          <w:sz w:val="10"/>
          <w:szCs w:val="10"/>
        </w:rPr>
        <w:t xml:space="preserve">series. </w:t>
      </w:r>
      <w:r w:rsidR="00EC4901" w:rsidRPr="0085163E">
        <w:rPr>
          <w:sz w:val="10"/>
          <w:szCs w:val="10"/>
        </w:rPr>
        <w:t>September</w:t>
      </w:r>
      <w:r w:rsidRPr="0085163E">
        <w:rPr>
          <w:sz w:val="10"/>
          <w:szCs w:val="10"/>
        </w:rPr>
        <w:t xml:space="preserve"> 2024 </w:t>
      </w:r>
      <w:r w:rsidRPr="00505196">
        <w:rPr>
          <w:sz w:val="10"/>
          <w:szCs w:val="10"/>
        </w:rPr>
        <w:t>= 100.0. (a) Crude oil, United Kingdom Brent price per barrel. (b) Japan liquefied natural gas import price per million British thermal units on a cost, insurance, and freight basis. (c) United States hard red winter Gulf export price per tonne.</w:t>
      </w:r>
    </w:p>
    <w:p w14:paraId="475050AC" w14:textId="77777777" w:rsidR="009F4502" w:rsidRPr="009F4502" w:rsidRDefault="00233755" w:rsidP="009F4502">
      <w:pPr>
        <w:spacing w:before="40" w:after="40"/>
        <w:ind w:right="227"/>
        <w:jc w:val="both"/>
        <w:rPr>
          <w:sz w:val="2"/>
          <w:szCs w:val="2"/>
        </w:rPr>
      </w:pPr>
      <w:r w:rsidRPr="009F4502">
        <w:rPr>
          <w:sz w:val="10"/>
        </w:rPr>
        <w:t>Source: World Bank.</w:t>
      </w:r>
      <w:r w:rsidRPr="007B1AE5">
        <w:br w:type="column"/>
      </w:r>
    </w:p>
    <w:p w14:paraId="21C35F19" w14:textId="76565803" w:rsidR="00232085" w:rsidRPr="0085163E" w:rsidRDefault="00026429" w:rsidP="006058E8">
      <w:pPr>
        <w:pStyle w:val="ListParagraph"/>
        <w:numPr>
          <w:ilvl w:val="0"/>
          <w:numId w:val="9"/>
        </w:numPr>
        <w:spacing w:before="40" w:after="40"/>
        <w:ind w:right="227" w:hanging="357"/>
        <w:contextualSpacing w:val="0"/>
        <w:jc w:val="both"/>
        <w:rPr>
          <w:sz w:val="16"/>
          <w:szCs w:val="16"/>
        </w:rPr>
      </w:pPr>
      <w:r w:rsidRPr="0085163E">
        <w:rPr>
          <w:sz w:val="16"/>
          <w:szCs w:val="16"/>
        </w:rPr>
        <w:t>P</w:t>
      </w:r>
      <w:r w:rsidR="00232085" w:rsidRPr="0085163E">
        <w:rPr>
          <w:sz w:val="16"/>
          <w:szCs w:val="16"/>
        </w:rPr>
        <w:t xml:space="preserve">rices for Western Australia’s main energy exports have also </w:t>
      </w:r>
      <w:r w:rsidRPr="0085163E">
        <w:rPr>
          <w:sz w:val="16"/>
          <w:szCs w:val="16"/>
        </w:rPr>
        <w:t>settled</w:t>
      </w:r>
      <w:r w:rsidR="00232085" w:rsidRPr="0085163E">
        <w:rPr>
          <w:sz w:val="16"/>
          <w:szCs w:val="16"/>
        </w:rPr>
        <w:t xml:space="preserve"> </w:t>
      </w:r>
      <w:r w:rsidRPr="0085163E">
        <w:rPr>
          <w:sz w:val="16"/>
          <w:szCs w:val="16"/>
        </w:rPr>
        <w:t>in recent months</w:t>
      </w:r>
      <w:r w:rsidR="00232085" w:rsidRPr="0085163E">
        <w:rPr>
          <w:sz w:val="16"/>
          <w:szCs w:val="16"/>
        </w:rPr>
        <w:t xml:space="preserve">, </w:t>
      </w:r>
      <w:r w:rsidRPr="0085163E">
        <w:rPr>
          <w:sz w:val="16"/>
          <w:szCs w:val="16"/>
        </w:rPr>
        <w:t xml:space="preserve">relative to the </w:t>
      </w:r>
      <w:r w:rsidR="00232085" w:rsidRPr="0085163E">
        <w:rPr>
          <w:sz w:val="16"/>
          <w:szCs w:val="16"/>
        </w:rPr>
        <w:t>fluctuation</w:t>
      </w:r>
      <w:r w:rsidRPr="0085163E">
        <w:rPr>
          <w:sz w:val="16"/>
          <w:szCs w:val="16"/>
        </w:rPr>
        <w:t>s in recent years</w:t>
      </w:r>
      <w:r w:rsidR="00232085" w:rsidRPr="0085163E">
        <w:rPr>
          <w:sz w:val="16"/>
          <w:szCs w:val="16"/>
        </w:rPr>
        <w:t xml:space="preserve"> </w:t>
      </w:r>
      <w:r w:rsidR="00B56055" w:rsidRPr="0085163E">
        <w:rPr>
          <w:sz w:val="16"/>
          <w:szCs w:val="16"/>
        </w:rPr>
        <w:t>when</w:t>
      </w:r>
      <w:r w:rsidR="00232085" w:rsidRPr="0085163E">
        <w:rPr>
          <w:sz w:val="16"/>
          <w:szCs w:val="16"/>
        </w:rPr>
        <w:t xml:space="preserve"> geopolitical factors influenc</w:t>
      </w:r>
      <w:r w:rsidRPr="0085163E">
        <w:rPr>
          <w:sz w:val="16"/>
          <w:szCs w:val="16"/>
        </w:rPr>
        <w:t>ed</w:t>
      </w:r>
      <w:r w:rsidR="00232085" w:rsidRPr="0085163E">
        <w:rPr>
          <w:sz w:val="16"/>
          <w:szCs w:val="16"/>
        </w:rPr>
        <w:t xml:space="preserve"> </w:t>
      </w:r>
      <w:r w:rsidRPr="0085163E">
        <w:rPr>
          <w:sz w:val="16"/>
          <w:szCs w:val="16"/>
        </w:rPr>
        <w:t xml:space="preserve">energy </w:t>
      </w:r>
      <w:r w:rsidR="00232085" w:rsidRPr="0085163E">
        <w:rPr>
          <w:sz w:val="16"/>
          <w:szCs w:val="16"/>
        </w:rPr>
        <w:t>supply and demand.</w:t>
      </w:r>
    </w:p>
    <w:p w14:paraId="5F241494" w14:textId="74DD28C2" w:rsidR="00232085" w:rsidRPr="0085163E" w:rsidRDefault="00232085" w:rsidP="006058E8">
      <w:pPr>
        <w:pStyle w:val="ListParagraph"/>
        <w:numPr>
          <w:ilvl w:val="0"/>
          <w:numId w:val="10"/>
        </w:numPr>
        <w:spacing w:before="40" w:after="40"/>
        <w:ind w:right="227" w:hanging="357"/>
        <w:contextualSpacing w:val="0"/>
        <w:jc w:val="both"/>
        <w:rPr>
          <w:sz w:val="16"/>
          <w:szCs w:val="16"/>
        </w:rPr>
      </w:pPr>
      <w:r w:rsidRPr="0085163E">
        <w:rPr>
          <w:sz w:val="16"/>
          <w:szCs w:val="16"/>
        </w:rPr>
        <w:t>The crude oil price increased sharply in early 2022 from the onset of the Russia</w:t>
      </w:r>
      <w:r w:rsidRPr="0085163E">
        <w:rPr>
          <w:sz w:val="16"/>
          <w:szCs w:val="16"/>
        </w:rPr>
        <w:noBreakHyphen/>
        <w:t xml:space="preserve">Ukraine conflict but fell back as global markets settled. The average monthly crude oil price </w:t>
      </w:r>
      <w:r w:rsidR="00026429" w:rsidRPr="0085163E">
        <w:rPr>
          <w:sz w:val="16"/>
          <w:szCs w:val="16"/>
        </w:rPr>
        <w:t>was</w:t>
      </w:r>
      <w:r w:rsidRPr="0085163E">
        <w:rPr>
          <w:sz w:val="16"/>
          <w:szCs w:val="16"/>
        </w:rPr>
        <w:t xml:space="preserve"> US$</w:t>
      </w:r>
      <w:r w:rsidR="002D3D6C" w:rsidRPr="0085163E">
        <w:rPr>
          <w:sz w:val="16"/>
          <w:szCs w:val="16"/>
        </w:rPr>
        <w:t>68.</w:t>
      </w:r>
      <w:r w:rsidR="00F72211" w:rsidRPr="0085163E">
        <w:rPr>
          <w:sz w:val="16"/>
          <w:szCs w:val="16"/>
        </w:rPr>
        <w:t>0</w:t>
      </w:r>
      <w:r w:rsidRPr="0085163E">
        <w:rPr>
          <w:sz w:val="16"/>
          <w:szCs w:val="16"/>
        </w:rPr>
        <w:t xml:space="preserve"> a barrel in </w:t>
      </w:r>
      <w:r w:rsidR="00F72211" w:rsidRPr="0085163E">
        <w:rPr>
          <w:sz w:val="16"/>
          <w:szCs w:val="16"/>
        </w:rPr>
        <w:t>September</w:t>
      </w:r>
      <w:r w:rsidRPr="0085163E">
        <w:rPr>
          <w:sz w:val="16"/>
          <w:szCs w:val="16"/>
        </w:rPr>
        <w:t> 2025</w:t>
      </w:r>
      <w:r w:rsidR="00B71FDD" w:rsidRPr="0085163E">
        <w:rPr>
          <w:sz w:val="16"/>
          <w:szCs w:val="16"/>
        </w:rPr>
        <w:t xml:space="preserve">, </w:t>
      </w:r>
      <w:r w:rsidR="00EB2337" w:rsidRPr="0085163E">
        <w:rPr>
          <w:sz w:val="16"/>
          <w:szCs w:val="16"/>
        </w:rPr>
        <w:t>9</w:t>
      </w:r>
      <w:r w:rsidR="004C374F" w:rsidRPr="0085163E">
        <w:rPr>
          <w:sz w:val="16"/>
          <w:szCs w:val="16"/>
        </w:rPr>
        <w:t>% less than a year ago.</w:t>
      </w:r>
    </w:p>
    <w:p w14:paraId="06364B16" w14:textId="66D6047C" w:rsidR="00232085" w:rsidRPr="0085163E" w:rsidRDefault="00232085" w:rsidP="006058E8">
      <w:pPr>
        <w:pStyle w:val="ListParagraph"/>
        <w:numPr>
          <w:ilvl w:val="0"/>
          <w:numId w:val="10"/>
        </w:numPr>
        <w:spacing w:before="40" w:after="40"/>
        <w:ind w:left="717" w:right="227" w:hanging="357"/>
        <w:contextualSpacing w:val="0"/>
        <w:jc w:val="both"/>
        <w:rPr>
          <w:sz w:val="16"/>
          <w:szCs w:val="16"/>
        </w:rPr>
      </w:pPr>
      <w:r w:rsidRPr="0085163E">
        <w:rPr>
          <w:sz w:val="16"/>
          <w:szCs w:val="16"/>
        </w:rPr>
        <w:t xml:space="preserve">LNG prices are largely linked to crude oil prices </w:t>
      </w:r>
      <w:r w:rsidR="003A2033" w:rsidRPr="0085163E">
        <w:rPr>
          <w:sz w:val="16"/>
          <w:szCs w:val="16"/>
        </w:rPr>
        <w:t xml:space="preserve">(with a lag) </w:t>
      </w:r>
      <w:r w:rsidRPr="0085163E">
        <w:rPr>
          <w:sz w:val="16"/>
          <w:szCs w:val="16"/>
        </w:rPr>
        <w:t xml:space="preserve">but the disruption in global gas trade in 2022 added a degree of volatility to the LNG market. </w:t>
      </w:r>
      <w:r w:rsidR="0085278F" w:rsidRPr="0085163E">
        <w:rPr>
          <w:sz w:val="16"/>
          <w:szCs w:val="16"/>
        </w:rPr>
        <w:t>With LNG trade settling, t</w:t>
      </w:r>
      <w:r w:rsidRPr="0085163E">
        <w:rPr>
          <w:sz w:val="16"/>
          <w:szCs w:val="16"/>
        </w:rPr>
        <w:t>he</w:t>
      </w:r>
      <w:r w:rsidR="0085278F" w:rsidRPr="0085163E">
        <w:rPr>
          <w:sz w:val="16"/>
          <w:szCs w:val="16"/>
        </w:rPr>
        <w:t xml:space="preserve">re has been </w:t>
      </w:r>
      <w:r w:rsidR="00A15B72" w:rsidRPr="0085163E">
        <w:rPr>
          <w:sz w:val="16"/>
          <w:szCs w:val="16"/>
        </w:rPr>
        <w:t xml:space="preserve">less </w:t>
      </w:r>
      <w:r w:rsidR="0085278F" w:rsidRPr="0085163E">
        <w:rPr>
          <w:sz w:val="16"/>
          <w:szCs w:val="16"/>
        </w:rPr>
        <w:t>variation in the</w:t>
      </w:r>
      <w:r w:rsidRPr="0085163E">
        <w:rPr>
          <w:sz w:val="16"/>
          <w:szCs w:val="16"/>
        </w:rPr>
        <w:t xml:space="preserve"> average monthly LNG price </w:t>
      </w:r>
      <w:r w:rsidR="0085278F" w:rsidRPr="0085163E">
        <w:rPr>
          <w:sz w:val="16"/>
          <w:szCs w:val="16"/>
        </w:rPr>
        <w:t xml:space="preserve">over the past year. </w:t>
      </w:r>
      <w:r w:rsidR="00B518B0" w:rsidRPr="0085163E">
        <w:rPr>
          <w:sz w:val="16"/>
          <w:szCs w:val="16"/>
        </w:rPr>
        <w:t xml:space="preserve">In </w:t>
      </w:r>
      <w:r w:rsidR="00EB2337" w:rsidRPr="0085163E">
        <w:rPr>
          <w:sz w:val="16"/>
          <w:szCs w:val="16"/>
        </w:rPr>
        <w:t>September</w:t>
      </w:r>
      <w:r w:rsidR="00B518B0" w:rsidRPr="0085163E">
        <w:rPr>
          <w:sz w:val="16"/>
          <w:szCs w:val="16"/>
        </w:rPr>
        <w:t xml:space="preserve"> 2025, </w:t>
      </w:r>
      <w:r w:rsidR="001B0D8F" w:rsidRPr="0085163E">
        <w:rPr>
          <w:sz w:val="16"/>
          <w:szCs w:val="16"/>
        </w:rPr>
        <w:t>t</w:t>
      </w:r>
      <w:r w:rsidR="0085278F" w:rsidRPr="0085163E">
        <w:rPr>
          <w:sz w:val="16"/>
          <w:szCs w:val="16"/>
        </w:rPr>
        <w:t xml:space="preserve">he price </w:t>
      </w:r>
      <w:r w:rsidRPr="0085163E">
        <w:rPr>
          <w:sz w:val="16"/>
          <w:szCs w:val="16"/>
        </w:rPr>
        <w:t>was US$1</w:t>
      </w:r>
      <w:r w:rsidR="00A23945" w:rsidRPr="0085163E">
        <w:rPr>
          <w:sz w:val="16"/>
          <w:szCs w:val="16"/>
        </w:rPr>
        <w:t>1.</w:t>
      </w:r>
      <w:r w:rsidR="00EB2337" w:rsidRPr="0085163E">
        <w:rPr>
          <w:sz w:val="16"/>
          <w:szCs w:val="16"/>
        </w:rPr>
        <w:t>7</w:t>
      </w:r>
      <w:r w:rsidRPr="0085163E">
        <w:rPr>
          <w:sz w:val="16"/>
          <w:szCs w:val="16"/>
        </w:rPr>
        <w:t xml:space="preserve">0 per </w:t>
      </w:r>
      <w:proofErr w:type="spellStart"/>
      <w:r w:rsidRPr="0085163E">
        <w:rPr>
          <w:sz w:val="16"/>
          <w:szCs w:val="16"/>
        </w:rPr>
        <w:t>mmBT</w:t>
      </w:r>
      <w:r w:rsidR="00A844B8" w:rsidRPr="0085163E">
        <w:rPr>
          <w:sz w:val="16"/>
          <w:szCs w:val="16"/>
        </w:rPr>
        <w:t>U</w:t>
      </w:r>
      <w:proofErr w:type="spellEnd"/>
      <w:r w:rsidR="00A844B8" w:rsidRPr="0085163E">
        <w:rPr>
          <w:sz w:val="16"/>
          <w:szCs w:val="16"/>
        </w:rPr>
        <w:t xml:space="preserve">, down </w:t>
      </w:r>
      <w:r w:rsidR="001E5C9D" w:rsidRPr="0085163E">
        <w:rPr>
          <w:sz w:val="16"/>
          <w:szCs w:val="16"/>
        </w:rPr>
        <w:t>1</w:t>
      </w:r>
      <w:r w:rsidR="00C46C18" w:rsidRPr="0085163E">
        <w:rPr>
          <w:sz w:val="16"/>
          <w:szCs w:val="16"/>
        </w:rPr>
        <w:t>0</w:t>
      </w:r>
      <w:r w:rsidR="00A844B8" w:rsidRPr="0085163E">
        <w:rPr>
          <w:sz w:val="16"/>
          <w:szCs w:val="16"/>
        </w:rPr>
        <w:t xml:space="preserve">% on </w:t>
      </w:r>
      <w:r w:rsidR="00C46C18" w:rsidRPr="0085163E">
        <w:rPr>
          <w:sz w:val="16"/>
          <w:szCs w:val="16"/>
        </w:rPr>
        <w:t>September</w:t>
      </w:r>
      <w:r w:rsidR="003A2033" w:rsidRPr="0085163E">
        <w:rPr>
          <w:sz w:val="16"/>
          <w:szCs w:val="16"/>
        </w:rPr>
        <w:t> </w:t>
      </w:r>
      <w:r w:rsidR="00A844B8" w:rsidRPr="0085163E">
        <w:rPr>
          <w:sz w:val="16"/>
          <w:szCs w:val="16"/>
        </w:rPr>
        <w:t>2024.</w:t>
      </w:r>
    </w:p>
    <w:p w14:paraId="57BEF3B8" w14:textId="0EF19C0C" w:rsidR="00780A22" w:rsidRPr="0085163E" w:rsidRDefault="00232085" w:rsidP="006058E8">
      <w:pPr>
        <w:pStyle w:val="ListParagraph"/>
        <w:numPr>
          <w:ilvl w:val="0"/>
          <w:numId w:val="9"/>
        </w:numPr>
        <w:spacing w:before="40" w:after="40"/>
        <w:ind w:left="357" w:right="227" w:hanging="357"/>
        <w:contextualSpacing w:val="0"/>
        <w:jc w:val="both"/>
        <w:rPr>
          <w:sz w:val="16"/>
          <w:szCs w:val="16"/>
        </w:rPr>
        <w:sectPr w:rsidR="00780A22" w:rsidRPr="0085163E" w:rsidSect="00780A22">
          <w:type w:val="continuous"/>
          <w:pgSz w:w="11907" w:h="16840" w:code="9"/>
          <w:pgMar w:top="1701" w:right="425" w:bottom="567" w:left="567" w:header="709" w:footer="709" w:gutter="0"/>
          <w:cols w:num="2" w:space="113"/>
          <w:docGrid w:linePitch="360"/>
        </w:sectPr>
      </w:pPr>
      <w:r w:rsidRPr="0085163E">
        <w:rPr>
          <w:sz w:val="16"/>
          <w:szCs w:val="16"/>
        </w:rPr>
        <w:t xml:space="preserve">Global wheat prices tend to move with actual and expected growing conditions in wheat producing regions. Trade policies and changes in input costs (especially for transport) can also affect wheat prices, which partly explains the similar movements between the wheat price and the oil price in recent years. The average monthly price for wheat </w:t>
      </w:r>
      <w:r w:rsidR="00B56055" w:rsidRPr="0085163E">
        <w:rPr>
          <w:sz w:val="16"/>
          <w:szCs w:val="16"/>
        </w:rPr>
        <w:t>was</w:t>
      </w:r>
      <w:r w:rsidR="001C5073" w:rsidRPr="0085163E">
        <w:rPr>
          <w:sz w:val="16"/>
          <w:szCs w:val="16"/>
        </w:rPr>
        <w:t xml:space="preserve"> US$23</w:t>
      </w:r>
      <w:r w:rsidR="00C46C18" w:rsidRPr="0085163E">
        <w:rPr>
          <w:sz w:val="16"/>
          <w:szCs w:val="16"/>
        </w:rPr>
        <w:t>4</w:t>
      </w:r>
      <w:r w:rsidR="001C5073" w:rsidRPr="0085163E">
        <w:rPr>
          <w:sz w:val="16"/>
          <w:szCs w:val="16"/>
        </w:rPr>
        <w:t xml:space="preserve"> a tonne </w:t>
      </w:r>
      <w:r w:rsidR="00B56055" w:rsidRPr="0085163E">
        <w:rPr>
          <w:sz w:val="16"/>
          <w:szCs w:val="16"/>
        </w:rPr>
        <w:t>in</w:t>
      </w:r>
      <w:r w:rsidR="001C5073" w:rsidRPr="0085163E">
        <w:rPr>
          <w:sz w:val="16"/>
          <w:szCs w:val="16"/>
        </w:rPr>
        <w:t xml:space="preserve"> </w:t>
      </w:r>
      <w:r w:rsidR="00C46C18" w:rsidRPr="0085163E">
        <w:rPr>
          <w:sz w:val="16"/>
          <w:szCs w:val="16"/>
        </w:rPr>
        <w:t>September</w:t>
      </w:r>
      <w:r w:rsidR="00B56055" w:rsidRPr="0085163E">
        <w:rPr>
          <w:sz w:val="16"/>
          <w:szCs w:val="16"/>
        </w:rPr>
        <w:t> </w:t>
      </w:r>
      <w:r w:rsidR="001C5073" w:rsidRPr="0085163E">
        <w:rPr>
          <w:sz w:val="16"/>
          <w:szCs w:val="16"/>
        </w:rPr>
        <w:t>2025</w:t>
      </w:r>
      <w:r w:rsidR="00B56055" w:rsidRPr="0085163E">
        <w:rPr>
          <w:sz w:val="16"/>
          <w:szCs w:val="16"/>
        </w:rPr>
        <w:t xml:space="preserve">, </w:t>
      </w:r>
      <w:r w:rsidR="00C46C18" w:rsidRPr="0085163E">
        <w:rPr>
          <w:sz w:val="16"/>
          <w:szCs w:val="16"/>
        </w:rPr>
        <w:t>13</w:t>
      </w:r>
      <w:r w:rsidR="00B56055" w:rsidRPr="0085163E">
        <w:rPr>
          <w:sz w:val="16"/>
          <w:szCs w:val="16"/>
        </w:rPr>
        <w:t xml:space="preserve">% </w:t>
      </w:r>
      <w:r w:rsidR="00C46C18" w:rsidRPr="0085163E">
        <w:rPr>
          <w:sz w:val="16"/>
          <w:szCs w:val="16"/>
        </w:rPr>
        <w:t>less than a year ago</w:t>
      </w:r>
      <w:r w:rsidR="00780A22" w:rsidRPr="0085163E">
        <w:rPr>
          <w:sz w:val="16"/>
          <w:szCs w:val="16"/>
        </w:rPr>
        <w:t>.</w:t>
      </w:r>
    </w:p>
    <w:p w14:paraId="35D614D1" w14:textId="77777777" w:rsidR="0085278F" w:rsidRDefault="00233755" w:rsidP="0085278F">
      <w:pPr>
        <w:pStyle w:val="Heading4"/>
        <w:rPr>
          <w:i w:val="0"/>
          <w:iCs w:val="0"/>
          <w:color w:val="00997A"/>
          <w:sz w:val="20"/>
          <w:szCs w:val="20"/>
        </w:rPr>
        <w:sectPr w:rsidR="0085278F" w:rsidSect="00233755">
          <w:type w:val="continuous"/>
          <w:pgSz w:w="11907" w:h="16840" w:code="9"/>
          <w:pgMar w:top="1701" w:right="425" w:bottom="567" w:left="567" w:header="709" w:footer="709" w:gutter="0"/>
          <w:cols w:num="2" w:space="113"/>
          <w:docGrid w:linePitch="360"/>
        </w:sectPr>
      </w:pPr>
      <w:r w:rsidRPr="00CF7CD6">
        <w:rPr>
          <w:i w:val="0"/>
          <w:iCs w:val="0"/>
          <w:color w:val="00997A"/>
          <w:sz w:val="20"/>
          <w:szCs w:val="20"/>
        </w:rPr>
        <w:t>Australian dollar exchange rates</w:t>
      </w:r>
    </w:p>
    <w:p w14:paraId="0CCEA99C" w14:textId="4C562494" w:rsidR="00233755" w:rsidRPr="00BC52E7" w:rsidRDefault="00B455BF" w:rsidP="00976546">
      <w:pPr>
        <w:pStyle w:val="Heading4"/>
        <w:spacing w:before="0"/>
        <w:rPr>
          <w:b w:val="0"/>
          <w:bCs w:val="0"/>
          <w:i w:val="0"/>
          <w:iCs w:val="0"/>
        </w:rPr>
      </w:pPr>
      <w:r>
        <w:rPr>
          <w:b w:val="0"/>
          <w:bCs w:val="0"/>
          <w:i w:val="0"/>
          <w:iCs w:val="0"/>
          <w:noProof/>
        </w:rPr>
        <w:drawing>
          <wp:inline distT="0" distB="0" distL="0" distR="0" wp14:anchorId="2D81D31A" wp14:editId="0942E470">
            <wp:extent cx="3454400" cy="2057651"/>
            <wp:effectExtent l="0" t="0" r="0" b="0"/>
            <wp:docPr id="269076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8638" cy="2066132"/>
                    </a:xfrm>
                    <a:prstGeom prst="rect">
                      <a:avLst/>
                    </a:prstGeom>
                    <a:noFill/>
                    <a:ln>
                      <a:noFill/>
                    </a:ln>
                  </pic:spPr>
                </pic:pic>
              </a:graphicData>
            </a:graphic>
          </wp:inline>
        </w:drawing>
      </w:r>
    </w:p>
    <w:p w14:paraId="6F4D7360" w14:textId="77777777" w:rsidR="00233755" w:rsidRDefault="00233755" w:rsidP="00233755">
      <w:pPr>
        <w:jc w:val="both"/>
        <w:rPr>
          <w:sz w:val="10"/>
          <w:szCs w:val="10"/>
        </w:rPr>
      </w:pPr>
      <w:r w:rsidRPr="0055360E">
        <w:rPr>
          <w:sz w:val="10"/>
        </w:rPr>
        <w:t xml:space="preserve">Note – </w:t>
      </w:r>
      <w:r w:rsidRPr="0055360E">
        <w:rPr>
          <w:sz w:val="10"/>
          <w:szCs w:val="10"/>
        </w:rPr>
        <w:t>Trade weighted index May 1970 = 100.0.</w:t>
      </w:r>
    </w:p>
    <w:p w14:paraId="09502270" w14:textId="77777777" w:rsidR="00233755" w:rsidRDefault="00233755" w:rsidP="00233755">
      <w:pPr>
        <w:jc w:val="both"/>
        <w:rPr>
          <w:sz w:val="10"/>
          <w:szCs w:val="10"/>
        </w:rPr>
      </w:pPr>
      <w:r w:rsidRPr="0055360E">
        <w:rPr>
          <w:sz w:val="10"/>
          <w:szCs w:val="10"/>
        </w:rPr>
        <w:t>Source: RBA.</w:t>
      </w:r>
    </w:p>
    <w:p w14:paraId="3C18E193" w14:textId="6C335141" w:rsidR="00D22FB3" w:rsidRPr="0085163E"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D22FB3" w:rsidRPr="0085163E">
        <w:rPr>
          <w:sz w:val="16"/>
          <w:szCs w:val="16"/>
        </w:rPr>
        <w:t xml:space="preserve">The Australian dollar exchange rate is influenced by many factors, including the price of Australia’s main export commodities, and actual and expected differences in </w:t>
      </w:r>
      <w:r w:rsidR="00255899" w:rsidRPr="0085163E">
        <w:rPr>
          <w:sz w:val="16"/>
          <w:szCs w:val="16"/>
        </w:rPr>
        <w:t xml:space="preserve">global </w:t>
      </w:r>
      <w:r w:rsidR="00D22FB3" w:rsidRPr="0085163E">
        <w:rPr>
          <w:sz w:val="16"/>
          <w:szCs w:val="16"/>
        </w:rPr>
        <w:t>interest rates.</w:t>
      </w:r>
    </w:p>
    <w:p w14:paraId="2192A25D" w14:textId="2F97B7CD" w:rsidR="00D22FB3" w:rsidRPr="0085163E" w:rsidRDefault="00D22FB3" w:rsidP="006058E8">
      <w:pPr>
        <w:pStyle w:val="ListParagraph"/>
        <w:numPr>
          <w:ilvl w:val="0"/>
          <w:numId w:val="9"/>
        </w:numPr>
        <w:spacing w:before="40" w:after="40"/>
        <w:ind w:left="357" w:right="227" w:hanging="357"/>
        <w:contextualSpacing w:val="0"/>
        <w:jc w:val="both"/>
        <w:rPr>
          <w:sz w:val="16"/>
          <w:szCs w:val="16"/>
        </w:rPr>
      </w:pPr>
      <w:r w:rsidRPr="0085163E">
        <w:rPr>
          <w:sz w:val="16"/>
          <w:szCs w:val="16"/>
        </w:rPr>
        <w:t xml:space="preserve">The Australian dollar averaged </w:t>
      </w:r>
      <w:r w:rsidR="00CA0431" w:rsidRPr="0085163E">
        <w:rPr>
          <w:sz w:val="16"/>
          <w:szCs w:val="16"/>
        </w:rPr>
        <w:t>66.0</w:t>
      </w:r>
      <w:r w:rsidRPr="0085163E">
        <w:rPr>
          <w:sz w:val="16"/>
          <w:szCs w:val="16"/>
        </w:rPr>
        <w:t xml:space="preserve"> US cents in </w:t>
      </w:r>
      <w:r w:rsidR="00CA0431" w:rsidRPr="0085163E">
        <w:rPr>
          <w:sz w:val="16"/>
          <w:szCs w:val="16"/>
        </w:rPr>
        <w:t>September</w:t>
      </w:r>
      <w:r w:rsidR="00391696" w:rsidRPr="0085163E">
        <w:rPr>
          <w:sz w:val="16"/>
          <w:szCs w:val="16"/>
        </w:rPr>
        <w:t xml:space="preserve"> </w:t>
      </w:r>
      <w:r w:rsidRPr="0085163E">
        <w:rPr>
          <w:sz w:val="16"/>
          <w:szCs w:val="16"/>
        </w:rPr>
        <w:t>2025, 1.</w:t>
      </w:r>
      <w:r w:rsidR="00A67C0E" w:rsidRPr="0085163E">
        <w:rPr>
          <w:sz w:val="16"/>
          <w:szCs w:val="16"/>
        </w:rPr>
        <w:t>0</w:t>
      </w:r>
      <w:r w:rsidRPr="0085163E">
        <w:rPr>
          <w:sz w:val="16"/>
          <w:szCs w:val="16"/>
        </w:rPr>
        <w:t xml:space="preserve">% </w:t>
      </w:r>
      <w:r w:rsidR="006C55A4" w:rsidRPr="0085163E">
        <w:rPr>
          <w:sz w:val="16"/>
          <w:szCs w:val="16"/>
        </w:rPr>
        <w:t>higher</w:t>
      </w:r>
      <w:r w:rsidRPr="0085163E">
        <w:rPr>
          <w:sz w:val="16"/>
          <w:szCs w:val="16"/>
        </w:rPr>
        <w:t xml:space="preserve"> than the previous month </w:t>
      </w:r>
      <w:r w:rsidR="006C55A4" w:rsidRPr="0085163E">
        <w:rPr>
          <w:sz w:val="16"/>
          <w:szCs w:val="16"/>
        </w:rPr>
        <w:t>but</w:t>
      </w:r>
      <w:r w:rsidRPr="0085163E">
        <w:rPr>
          <w:sz w:val="16"/>
          <w:szCs w:val="16"/>
        </w:rPr>
        <w:t xml:space="preserve"> </w:t>
      </w:r>
      <w:r w:rsidR="00A67C0E" w:rsidRPr="0085163E">
        <w:rPr>
          <w:sz w:val="16"/>
          <w:szCs w:val="16"/>
        </w:rPr>
        <w:t>4.8</w:t>
      </w:r>
      <w:r w:rsidRPr="0085163E">
        <w:rPr>
          <w:sz w:val="16"/>
          <w:szCs w:val="16"/>
        </w:rPr>
        <w:t>% lower than one year ago.</w:t>
      </w:r>
    </w:p>
    <w:p w14:paraId="116B9B16" w14:textId="77777777" w:rsidR="00D22FB3" w:rsidRPr="0085163E" w:rsidRDefault="00D22FB3" w:rsidP="006058E8">
      <w:pPr>
        <w:pStyle w:val="ListParagraph"/>
        <w:numPr>
          <w:ilvl w:val="0"/>
          <w:numId w:val="9"/>
        </w:numPr>
        <w:spacing w:before="40" w:after="40"/>
        <w:ind w:left="357" w:right="227" w:hanging="357"/>
        <w:contextualSpacing w:val="0"/>
        <w:jc w:val="both"/>
        <w:rPr>
          <w:sz w:val="16"/>
          <w:szCs w:val="16"/>
        </w:rPr>
      </w:pPr>
      <w:r w:rsidRPr="0085163E">
        <w:rPr>
          <w:sz w:val="16"/>
          <w:szCs w:val="16"/>
        </w:rPr>
        <w:t>The trade</w:t>
      </w:r>
      <w:r w:rsidRPr="0085163E">
        <w:rPr>
          <w:sz w:val="16"/>
          <w:szCs w:val="16"/>
        </w:rPr>
        <w:noBreakHyphen/>
        <w:t>weighted index (TWI) accounts for a group of 17 foreign currencies based on their shares of trade with Australia and provides a broader measure of the Australian dollar.</w:t>
      </w:r>
    </w:p>
    <w:p w14:paraId="076B3598" w14:textId="264D6340" w:rsidR="00233755" w:rsidRPr="0085163E" w:rsidRDefault="00D22FB3" w:rsidP="006058E8">
      <w:pPr>
        <w:pStyle w:val="ListParagraph"/>
        <w:numPr>
          <w:ilvl w:val="0"/>
          <w:numId w:val="9"/>
        </w:numPr>
        <w:spacing w:before="40" w:after="40"/>
        <w:ind w:left="357" w:right="227" w:hanging="357"/>
        <w:contextualSpacing w:val="0"/>
        <w:jc w:val="both"/>
        <w:rPr>
          <w:sz w:val="16"/>
          <w:szCs w:val="16"/>
        </w:rPr>
      </w:pPr>
      <w:r w:rsidRPr="0085163E">
        <w:rPr>
          <w:sz w:val="16"/>
          <w:szCs w:val="16"/>
        </w:rPr>
        <w:t xml:space="preserve">The TWI has been relatively stable over the past few years, as the Australian dollar’s depreciation against the US dollar was offset by its appreciation against some other currencies. The TWI in </w:t>
      </w:r>
      <w:r w:rsidR="008C15CA" w:rsidRPr="0085163E">
        <w:rPr>
          <w:sz w:val="16"/>
          <w:szCs w:val="16"/>
        </w:rPr>
        <w:t>September</w:t>
      </w:r>
      <w:r w:rsidRPr="0085163E">
        <w:rPr>
          <w:sz w:val="16"/>
          <w:szCs w:val="16"/>
        </w:rPr>
        <w:t xml:space="preserve"> 2025 was </w:t>
      </w:r>
      <w:r w:rsidR="008C15CA" w:rsidRPr="0085163E">
        <w:rPr>
          <w:sz w:val="16"/>
          <w:szCs w:val="16"/>
        </w:rPr>
        <w:t>1</w:t>
      </w:r>
      <w:r w:rsidRPr="0085163E">
        <w:rPr>
          <w:sz w:val="16"/>
          <w:szCs w:val="16"/>
        </w:rPr>
        <w:t xml:space="preserve">.3% higher than the previous month but </w:t>
      </w:r>
      <w:r w:rsidR="008C15CA" w:rsidRPr="0085163E">
        <w:rPr>
          <w:sz w:val="16"/>
          <w:szCs w:val="16"/>
        </w:rPr>
        <w:t>2.</w:t>
      </w:r>
      <w:r w:rsidR="00964259" w:rsidRPr="0085163E">
        <w:rPr>
          <w:sz w:val="16"/>
          <w:szCs w:val="16"/>
        </w:rPr>
        <w:t>4</w:t>
      </w:r>
      <w:r w:rsidRPr="0085163E">
        <w:rPr>
          <w:sz w:val="16"/>
          <w:szCs w:val="16"/>
        </w:rPr>
        <w:t>% lower than one year ago</w:t>
      </w:r>
      <w:r w:rsidR="00233755" w:rsidRPr="0085163E">
        <w:rPr>
          <w:sz w:val="16"/>
          <w:szCs w:val="16"/>
        </w:rPr>
        <w:t>.</w:t>
      </w:r>
    </w:p>
    <w:p w14:paraId="36F3C86F"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415D175A"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4" w:name="_Consumer_prices_and"/>
      <w:bookmarkEnd w:id="14"/>
      <w:r w:rsidRPr="008F7AA0">
        <w:rPr>
          <w:bCs/>
          <w:color w:val="004C3D"/>
          <w:sz w:val="24"/>
          <w:szCs w:val="24"/>
        </w:rPr>
        <w:lastRenderedPageBreak/>
        <w:t>Consumer prices and interest rates</w:t>
      </w:r>
    </w:p>
    <w:p w14:paraId="2B55A70C"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FF6388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Consumer price index (change)</w:t>
      </w:r>
    </w:p>
    <w:p w14:paraId="73E42DBF" w14:textId="1F528647" w:rsidR="00233755" w:rsidRPr="007B1AE5" w:rsidRDefault="008513E0" w:rsidP="00233755">
      <w:r>
        <w:rPr>
          <w:noProof/>
        </w:rPr>
        <w:drawing>
          <wp:inline distT="0" distB="0" distL="0" distR="0" wp14:anchorId="116AC4BB" wp14:editId="47ACD1F6">
            <wp:extent cx="3375712" cy="1981200"/>
            <wp:effectExtent l="0" t="0" r="0" b="0"/>
            <wp:docPr id="710089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3151" cy="1985566"/>
                    </a:xfrm>
                    <a:prstGeom prst="rect">
                      <a:avLst/>
                    </a:prstGeom>
                    <a:noFill/>
                    <a:ln>
                      <a:noFill/>
                    </a:ln>
                  </pic:spPr>
                </pic:pic>
              </a:graphicData>
            </a:graphic>
          </wp:inline>
        </w:drawing>
      </w:r>
    </w:p>
    <w:p w14:paraId="13BBDEE4"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All groups consumer price index. Year</w:t>
      </w:r>
      <w:r>
        <w:rPr>
          <w:sz w:val="10"/>
          <w:szCs w:val="10"/>
        </w:rPr>
        <w:noBreakHyphen/>
      </w:r>
      <w:r w:rsidRPr="00AF759E">
        <w:rPr>
          <w:sz w:val="10"/>
          <w:szCs w:val="10"/>
        </w:rPr>
        <w:t>on</w:t>
      </w:r>
      <w:r>
        <w:rPr>
          <w:sz w:val="10"/>
          <w:szCs w:val="10"/>
        </w:rPr>
        <w:noBreakHyphen/>
      </w:r>
      <w:r w:rsidRPr="00AF759E">
        <w:rPr>
          <w:sz w:val="10"/>
          <w:szCs w:val="10"/>
        </w:rPr>
        <w:t>year change in quarterly index</w:t>
      </w:r>
      <w:r>
        <w:rPr>
          <w:sz w:val="10"/>
          <w:szCs w:val="10"/>
        </w:rPr>
        <w:t>.</w:t>
      </w:r>
      <w:r w:rsidRPr="00AF759E">
        <w:rPr>
          <w:sz w:val="10"/>
          <w:szCs w:val="10"/>
        </w:rPr>
        <w:t xml:space="preserve"> (a)</w:t>
      </w:r>
      <w:r>
        <w:rPr>
          <w:sz w:val="10"/>
          <w:szCs w:val="10"/>
        </w:rPr>
        <w:t> </w:t>
      </w:r>
      <w:r w:rsidRPr="00AF759E">
        <w:rPr>
          <w:sz w:val="10"/>
          <w:szCs w:val="10"/>
        </w:rPr>
        <w:t>Weighted average of eight capital cities.</w:t>
      </w:r>
    </w:p>
    <w:p w14:paraId="4461DA89" w14:textId="77777777" w:rsidR="009F4502" w:rsidRPr="009F4502" w:rsidRDefault="00233755" w:rsidP="009F4502">
      <w:pPr>
        <w:spacing w:before="40" w:after="40"/>
        <w:ind w:right="227"/>
        <w:jc w:val="both"/>
        <w:rPr>
          <w:sz w:val="2"/>
          <w:szCs w:val="2"/>
        </w:rPr>
      </w:pPr>
      <w:r w:rsidRPr="009F4502">
        <w:rPr>
          <w:sz w:val="10"/>
        </w:rPr>
        <w:t>Source: Based on ABS data.</w:t>
      </w:r>
      <w:r w:rsidRPr="007B1AE5">
        <w:br w:type="column"/>
      </w:r>
    </w:p>
    <w:p w14:paraId="464355EF" w14:textId="7ACB38D6" w:rsidR="00233755" w:rsidRPr="0085163E" w:rsidRDefault="00075306" w:rsidP="006058E8">
      <w:pPr>
        <w:pStyle w:val="ListParagraph"/>
        <w:numPr>
          <w:ilvl w:val="0"/>
          <w:numId w:val="9"/>
        </w:numPr>
        <w:spacing w:before="40" w:after="40"/>
        <w:ind w:right="227" w:hanging="357"/>
        <w:contextualSpacing w:val="0"/>
        <w:jc w:val="both"/>
        <w:rPr>
          <w:sz w:val="16"/>
          <w:szCs w:val="16"/>
        </w:rPr>
      </w:pPr>
      <w:r w:rsidRPr="0085163E">
        <w:rPr>
          <w:sz w:val="16"/>
          <w:szCs w:val="16"/>
        </w:rPr>
        <w:t xml:space="preserve">After falling </w:t>
      </w:r>
      <w:r w:rsidR="00230C3A" w:rsidRPr="0085163E">
        <w:rPr>
          <w:sz w:val="16"/>
          <w:szCs w:val="16"/>
        </w:rPr>
        <w:t xml:space="preserve">significantly from a high of </w:t>
      </w:r>
      <w:r w:rsidR="004316E0" w:rsidRPr="0085163E">
        <w:rPr>
          <w:sz w:val="16"/>
          <w:szCs w:val="16"/>
        </w:rPr>
        <w:t xml:space="preserve">8.3% in the December quarter 2022, </w:t>
      </w:r>
      <w:r w:rsidR="00230C3A" w:rsidRPr="0085163E">
        <w:rPr>
          <w:sz w:val="16"/>
          <w:szCs w:val="16"/>
        </w:rPr>
        <w:t>c</w:t>
      </w:r>
      <w:r w:rsidR="00233755" w:rsidRPr="0085163E">
        <w:rPr>
          <w:sz w:val="16"/>
          <w:szCs w:val="16"/>
        </w:rPr>
        <w:t xml:space="preserve">onsumer price inflation in Perth </w:t>
      </w:r>
      <w:r w:rsidR="00AB2D37" w:rsidRPr="0085163E">
        <w:rPr>
          <w:sz w:val="16"/>
          <w:szCs w:val="16"/>
        </w:rPr>
        <w:t>rose markedly</w:t>
      </w:r>
      <w:r w:rsidR="006D1A81" w:rsidRPr="0085163E">
        <w:rPr>
          <w:sz w:val="16"/>
          <w:szCs w:val="16"/>
        </w:rPr>
        <w:t xml:space="preserve"> </w:t>
      </w:r>
      <w:r w:rsidR="004269A7" w:rsidRPr="0085163E">
        <w:rPr>
          <w:sz w:val="16"/>
          <w:szCs w:val="16"/>
        </w:rPr>
        <w:t>in the September quarter 2025</w:t>
      </w:r>
      <w:r w:rsidR="006F41A2" w:rsidRPr="0085163E">
        <w:rPr>
          <w:sz w:val="16"/>
          <w:szCs w:val="16"/>
        </w:rPr>
        <w:t>.</w:t>
      </w:r>
    </w:p>
    <w:p w14:paraId="20449901" w14:textId="3D414C98" w:rsidR="00233755" w:rsidRPr="0085163E" w:rsidRDefault="00233755" w:rsidP="006058E8">
      <w:pPr>
        <w:pStyle w:val="ListParagraph"/>
        <w:numPr>
          <w:ilvl w:val="0"/>
          <w:numId w:val="9"/>
        </w:numPr>
        <w:spacing w:before="40" w:after="40"/>
        <w:ind w:right="227" w:hanging="357"/>
        <w:contextualSpacing w:val="0"/>
        <w:jc w:val="both"/>
        <w:rPr>
          <w:sz w:val="16"/>
          <w:szCs w:val="16"/>
        </w:rPr>
      </w:pPr>
      <w:r w:rsidRPr="0085163E">
        <w:rPr>
          <w:sz w:val="16"/>
          <w:szCs w:val="16"/>
        </w:rPr>
        <w:t>Perth’s annual inflation rate, as measured by year</w:t>
      </w:r>
      <w:r w:rsidRPr="0085163E">
        <w:rPr>
          <w:sz w:val="16"/>
          <w:szCs w:val="16"/>
        </w:rPr>
        <w:noBreakHyphen/>
        <w:t>on</w:t>
      </w:r>
      <w:r w:rsidRPr="0085163E">
        <w:rPr>
          <w:sz w:val="16"/>
          <w:szCs w:val="16"/>
        </w:rPr>
        <w:noBreakHyphen/>
        <w:t xml:space="preserve">year growth in the consumer price index (CPI), was </w:t>
      </w:r>
      <w:r w:rsidR="006F41A2" w:rsidRPr="0085163E">
        <w:rPr>
          <w:sz w:val="16"/>
          <w:szCs w:val="16"/>
        </w:rPr>
        <w:t>4.5</w:t>
      </w:r>
      <w:r w:rsidRPr="0085163E">
        <w:rPr>
          <w:sz w:val="16"/>
          <w:szCs w:val="16"/>
        </w:rPr>
        <w:t xml:space="preserve">% in the </w:t>
      </w:r>
      <w:r w:rsidR="006F41A2" w:rsidRPr="0085163E">
        <w:rPr>
          <w:sz w:val="16"/>
          <w:szCs w:val="16"/>
        </w:rPr>
        <w:t>September</w:t>
      </w:r>
      <w:r w:rsidRPr="0085163E">
        <w:rPr>
          <w:sz w:val="16"/>
          <w:szCs w:val="16"/>
        </w:rPr>
        <w:t xml:space="preserve"> quarter 2025, </w:t>
      </w:r>
      <w:r w:rsidR="006F41A2" w:rsidRPr="0085163E">
        <w:rPr>
          <w:sz w:val="16"/>
          <w:szCs w:val="16"/>
        </w:rPr>
        <w:t>up</w:t>
      </w:r>
      <w:r w:rsidRPr="0085163E">
        <w:rPr>
          <w:sz w:val="16"/>
          <w:szCs w:val="16"/>
        </w:rPr>
        <w:t xml:space="preserve"> from 2.</w:t>
      </w:r>
      <w:r w:rsidR="006F41A2" w:rsidRPr="0085163E">
        <w:rPr>
          <w:sz w:val="16"/>
          <w:szCs w:val="16"/>
        </w:rPr>
        <w:t>7</w:t>
      </w:r>
      <w:r w:rsidRPr="0085163E">
        <w:rPr>
          <w:sz w:val="16"/>
          <w:szCs w:val="16"/>
        </w:rPr>
        <w:t>% in the previous quarter.</w:t>
      </w:r>
    </w:p>
    <w:p w14:paraId="02AE736A" w14:textId="51EF5B3F" w:rsidR="00233755" w:rsidRPr="0085163E" w:rsidRDefault="00233755" w:rsidP="006058E8">
      <w:pPr>
        <w:pStyle w:val="ListParagraph"/>
        <w:numPr>
          <w:ilvl w:val="0"/>
          <w:numId w:val="9"/>
        </w:numPr>
        <w:spacing w:before="40" w:after="40"/>
        <w:ind w:left="357" w:right="227" w:hanging="357"/>
        <w:contextualSpacing w:val="0"/>
        <w:jc w:val="both"/>
        <w:rPr>
          <w:sz w:val="16"/>
          <w:szCs w:val="16"/>
        </w:rPr>
      </w:pPr>
      <w:r w:rsidRPr="0085163E">
        <w:rPr>
          <w:sz w:val="16"/>
          <w:szCs w:val="16"/>
        </w:rPr>
        <w:t xml:space="preserve">Perth’s annual CPI inflation has been above Australia’s annual CPI inflation over the past </w:t>
      </w:r>
      <w:r w:rsidR="00CA0B0C" w:rsidRPr="0085163E">
        <w:rPr>
          <w:sz w:val="16"/>
          <w:szCs w:val="16"/>
        </w:rPr>
        <w:t>six</w:t>
      </w:r>
      <w:r w:rsidRPr="0085163E">
        <w:rPr>
          <w:sz w:val="16"/>
          <w:szCs w:val="16"/>
        </w:rPr>
        <w:t xml:space="preserve"> quarters.</w:t>
      </w:r>
    </w:p>
    <w:p w14:paraId="798E57E3" w14:textId="61074ACB" w:rsidR="00233755" w:rsidRPr="0085163E" w:rsidRDefault="00233755" w:rsidP="006058E8">
      <w:pPr>
        <w:pStyle w:val="ListParagraph"/>
        <w:numPr>
          <w:ilvl w:val="0"/>
          <w:numId w:val="9"/>
        </w:numPr>
        <w:spacing w:before="40" w:after="40"/>
        <w:ind w:left="357" w:right="227" w:hanging="357"/>
        <w:contextualSpacing w:val="0"/>
        <w:jc w:val="both"/>
        <w:rPr>
          <w:sz w:val="16"/>
          <w:szCs w:val="16"/>
        </w:rPr>
      </w:pPr>
      <w:r w:rsidRPr="0085163E">
        <w:rPr>
          <w:sz w:val="16"/>
          <w:szCs w:val="16"/>
        </w:rPr>
        <w:t xml:space="preserve">In the </w:t>
      </w:r>
      <w:r w:rsidR="00CA0B0C" w:rsidRPr="0085163E">
        <w:rPr>
          <w:sz w:val="16"/>
          <w:szCs w:val="16"/>
        </w:rPr>
        <w:t>September</w:t>
      </w:r>
      <w:r w:rsidRPr="0085163E">
        <w:rPr>
          <w:sz w:val="16"/>
          <w:szCs w:val="16"/>
        </w:rPr>
        <w:t xml:space="preserve"> quarter 2025, Australia’s annual inflation rate was </w:t>
      </w:r>
      <w:r w:rsidR="00CA0B0C" w:rsidRPr="0085163E">
        <w:rPr>
          <w:sz w:val="16"/>
          <w:szCs w:val="16"/>
        </w:rPr>
        <w:t>3.2</w:t>
      </w:r>
      <w:r w:rsidRPr="0085163E">
        <w:rPr>
          <w:sz w:val="16"/>
          <w:szCs w:val="16"/>
        </w:rPr>
        <w:t xml:space="preserve">%, </w:t>
      </w:r>
      <w:r w:rsidR="00CA0B0C" w:rsidRPr="0085163E">
        <w:rPr>
          <w:sz w:val="16"/>
          <w:szCs w:val="16"/>
        </w:rPr>
        <w:t>up</w:t>
      </w:r>
      <w:r w:rsidR="00B70AAE" w:rsidRPr="0085163E">
        <w:rPr>
          <w:sz w:val="16"/>
          <w:szCs w:val="16"/>
        </w:rPr>
        <w:t xml:space="preserve"> from 2.</w:t>
      </w:r>
      <w:r w:rsidR="00CA0B0C" w:rsidRPr="0085163E">
        <w:rPr>
          <w:sz w:val="16"/>
          <w:szCs w:val="16"/>
        </w:rPr>
        <w:t>1</w:t>
      </w:r>
      <w:r w:rsidR="00B70AAE" w:rsidRPr="0085163E">
        <w:rPr>
          <w:sz w:val="16"/>
          <w:szCs w:val="16"/>
        </w:rPr>
        <w:t>% in</w:t>
      </w:r>
      <w:r w:rsidRPr="0085163E">
        <w:rPr>
          <w:sz w:val="16"/>
          <w:szCs w:val="16"/>
        </w:rPr>
        <w:t xml:space="preserve"> the previous quarter.</w:t>
      </w:r>
    </w:p>
    <w:p w14:paraId="64CE8A03" w14:textId="660B8803" w:rsidR="00233755" w:rsidRPr="0085163E" w:rsidRDefault="00DB7E42" w:rsidP="006058E8">
      <w:pPr>
        <w:pStyle w:val="ListParagraph"/>
        <w:numPr>
          <w:ilvl w:val="0"/>
          <w:numId w:val="9"/>
        </w:numPr>
        <w:spacing w:before="40" w:after="40"/>
        <w:ind w:left="357" w:right="227" w:hanging="357"/>
        <w:contextualSpacing w:val="0"/>
        <w:jc w:val="both"/>
        <w:rPr>
          <w:sz w:val="16"/>
          <w:szCs w:val="16"/>
        </w:rPr>
      </w:pPr>
      <w:r w:rsidRPr="0085163E">
        <w:rPr>
          <w:sz w:val="16"/>
          <w:szCs w:val="16"/>
        </w:rPr>
        <w:t xml:space="preserve">Electricity </w:t>
      </w:r>
      <w:r w:rsidR="00F40F8F" w:rsidRPr="0085163E">
        <w:rPr>
          <w:sz w:val="16"/>
          <w:szCs w:val="16"/>
        </w:rPr>
        <w:t xml:space="preserve">prices had a significant impact on the </w:t>
      </w:r>
      <w:r w:rsidR="006D7230" w:rsidRPr="0085163E">
        <w:rPr>
          <w:sz w:val="16"/>
          <w:szCs w:val="16"/>
        </w:rPr>
        <w:t>annual rates of inflation in</w:t>
      </w:r>
      <w:r w:rsidR="00F40F8F" w:rsidRPr="0085163E">
        <w:rPr>
          <w:sz w:val="16"/>
          <w:szCs w:val="16"/>
        </w:rPr>
        <w:t xml:space="preserve"> </w:t>
      </w:r>
      <w:r w:rsidR="00BA0D23" w:rsidRPr="0085163E">
        <w:rPr>
          <w:sz w:val="16"/>
          <w:szCs w:val="16"/>
        </w:rPr>
        <w:t>Perth and Australia</w:t>
      </w:r>
      <w:r w:rsidR="00FC5253" w:rsidRPr="0085163E">
        <w:rPr>
          <w:sz w:val="16"/>
          <w:szCs w:val="16"/>
        </w:rPr>
        <w:t xml:space="preserve"> as</w:t>
      </w:r>
      <w:r w:rsidR="00BA0D23" w:rsidRPr="0085163E">
        <w:rPr>
          <w:sz w:val="16"/>
          <w:szCs w:val="16"/>
        </w:rPr>
        <w:t xml:space="preserve"> </w:t>
      </w:r>
      <w:r w:rsidR="00FC5253" w:rsidRPr="0085163E">
        <w:rPr>
          <w:sz w:val="16"/>
          <w:szCs w:val="16"/>
        </w:rPr>
        <w:t>State Government rebates that were in place in September 2024</w:t>
      </w:r>
      <w:r w:rsidR="00F76B43" w:rsidRPr="0085163E">
        <w:rPr>
          <w:sz w:val="16"/>
          <w:szCs w:val="16"/>
        </w:rPr>
        <w:t xml:space="preserve"> </w:t>
      </w:r>
      <w:r w:rsidR="008B0901" w:rsidRPr="0085163E">
        <w:rPr>
          <w:sz w:val="16"/>
          <w:szCs w:val="16"/>
        </w:rPr>
        <w:t xml:space="preserve">in </w:t>
      </w:r>
      <w:r w:rsidR="0097320C" w:rsidRPr="0085163E">
        <w:rPr>
          <w:sz w:val="16"/>
          <w:szCs w:val="16"/>
        </w:rPr>
        <w:t>Western Australia</w:t>
      </w:r>
      <w:r w:rsidR="008B0901" w:rsidRPr="0085163E">
        <w:rPr>
          <w:sz w:val="16"/>
          <w:szCs w:val="16"/>
        </w:rPr>
        <w:t xml:space="preserve"> and other States </w:t>
      </w:r>
      <w:r w:rsidR="005E4810" w:rsidRPr="0085163E">
        <w:rPr>
          <w:sz w:val="16"/>
          <w:szCs w:val="16"/>
        </w:rPr>
        <w:t xml:space="preserve">(and </w:t>
      </w:r>
      <w:r w:rsidR="001B4A75" w:rsidRPr="0085163E">
        <w:rPr>
          <w:sz w:val="16"/>
          <w:szCs w:val="16"/>
        </w:rPr>
        <w:t xml:space="preserve">worked to </w:t>
      </w:r>
      <w:r w:rsidR="005E4810" w:rsidRPr="0085163E">
        <w:rPr>
          <w:sz w:val="16"/>
          <w:szCs w:val="16"/>
        </w:rPr>
        <w:t xml:space="preserve">reduce the price of electricity to consumers) </w:t>
      </w:r>
      <w:r w:rsidR="00E46277" w:rsidRPr="0085163E">
        <w:rPr>
          <w:sz w:val="16"/>
          <w:szCs w:val="16"/>
        </w:rPr>
        <w:t>had by September 2025 been used up and finished (</w:t>
      </w:r>
      <w:r w:rsidR="00F54301" w:rsidRPr="0085163E">
        <w:rPr>
          <w:sz w:val="16"/>
          <w:szCs w:val="16"/>
        </w:rPr>
        <w:t>resulting in a</w:t>
      </w:r>
      <w:r w:rsidR="001336BC" w:rsidRPr="0085163E">
        <w:rPr>
          <w:sz w:val="16"/>
          <w:szCs w:val="16"/>
        </w:rPr>
        <w:t xml:space="preserve"> </w:t>
      </w:r>
      <w:r w:rsidR="001B4A75" w:rsidRPr="0085163E">
        <w:rPr>
          <w:sz w:val="16"/>
          <w:szCs w:val="16"/>
        </w:rPr>
        <w:t xml:space="preserve">relatively </w:t>
      </w:r>
      <w:r w:rsidR="001336BC" w:rsidRPr="0085163E">
        <w:rPr>
          <w:sz w:val="16"/>
          <w:szCs w:val="16"/>
        </w:rPr>
        <w:t>large</w:t>
      </w:r>
      <w:r w:rsidR="00F54301" w:rsidRPr="0085163E">
        <w:rPr>
          <w:sz w:val="16"/>
          <w:szCs w:val="16"/>
        </w:rPr>
        <w:t xml:space="preserve"> increase in the price of electricity to consumers </w:t>
      </w:r>
      <w:r w:rsidR="00ED161C" w:rsidRPr="0085163E">
        <w:rPr>
          <w:sz w:val="16"/>
          <w:szCs w:val="16"/>
        </w:rPr>
        <w:t>compared to September 2024)</w:t>
      </w:r>
      <w:r w:rsidR="008448A8" w:rsidRPr="0085163E">
        <w:rPr>
          <w:sz w:val="16"/>
          <w:szCs w:val="16"/>
        </w:rPr>
        <w:t>.</w:t>
      </w:r>
    </w:p>
    <w:p w14:paraId="6291913F" w14:textId="77777777" w:rsidR="00233755" w:rsidRPr="00B75F67" w:rsidRDefault="00233755" w:rsidP="006058E8">
      <w:pPr>
        <w:pStyle w:val="ListParagraph"/>
        <w:numPr>
          <w:ilvl w:val="0"/>
          <w:numId w:val="9"/>
        </w:numPr>
        <w:jc w:val="both"/>
        <w:rPr>
          <w:sz w:val="16"/>
          <w:szCs w:val="16"/>
        </w:rPr>
        <w:sectPr w:rsidR="00233755" w:rsidRPr="00B75F67" w:rsidSect="00233755">
          <w:type w:val="continuous"/>
          <w:pgSz w:w="11907" w:h="16840" w:code="9"/>
          <w:pgMar w:top="1701" w:right="567" w:bottom="567" w:left="567" w:header="709" w:footer="709" w:gutter="0"/>
          <w:cols w:num="2" w:space="113"/>
          <w:docGrid w:linePitch="360"/>
        </w:sectPr>
      </w:pPr>
    </w:p>
    <w:p w14:paraId="057DF6E8" w14:textId="58EF2322"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Consumer price index by component (contribution to change): </w:t>
      </w:r>
      <w:r w:rsidR="00FB0154">
        <w:rPr>
          <w:i w:val="0"/>
          <w:iCs w:val="0"/>
          <w:color w:val="00997A"/>
          <w:sz w:val="20"/>
          <w:szCs w:val="20"/>
        </w:rPr>
        <w:t xml:space="preserve">September </w:t>
      </w:r>
      <w:r w:rsidRPr="009B6980">
        <w:rPr>
          <w:i w:val="0"/>
          <w:iCs w:val="0"/>
          <w:color w:val="00997A"/>
          <w:sz w:val="20"/>
          <w:szCs w:val="20"/>
        </w:rPr>
        <w:t>quarter</w:t>
      </w:r>
      <w:r w:rsidRPr="00CF7CD6">
        <w:rPr>
          <w:i w:val="0"/>
          <w:iCs w:val="0"/>
          <w:color w:val="00997A"/>
          <w:sz w:val="20"/>
          <w:szCs w:val="20"/>
        </w:rPr>
        <w:t xml:space="preserve"> 2025</w:t>
      </w:r>
    </w:p>
    <w:p w14:paraId="4C75CDAA" w14:textId="2EDB91E8" w:rsidR="00233755" w:rsidRPr="007B1AE5" w:rsidRDefault="001D47A0" w:rsidP="00233755">
      <w:r>
        <w:rPr>
          <w:noProof/>
        </w:rPr>
        <w:drawing>
          <wp:inline distT="0" distB="0" distL="0" distR="0" wp14:anchorId="76291E28" wp14:editId="2B72195F">
            <wp:extent cx="3439357" cy="1955800"/>
            <wp:effectExtent l="0" t="0" r="8890" b="6350"/>
            <wp:docPr id="18965500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43193" cy="1957981"/>
                    </a:xfrm>
                    <a:prstGeom prst="rect">
                      <a:avLst/>
                    </a:prstGeom>
                    <a:noFill/>
                    <a:ln>
                      <a:noFill/>
                    </a:ln>
                  </pic:spPr>
                </pic:pic>
              </a:graphicData>
            </a:graphic>
          </wp:inline>
        </w:drawing>
      </w:r>
    </w:p>
    <w:p w14:paraId="5E5FD31D"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w:t>
      </w:r>
      <w:r w:rsidRPr="003E33BA">
        <w:rPr>
          <w:sz w:val="10"/>
          <w:szCs w:val="10"/>
        </w:rPr>
        <w:t>price index. Year-on-year change in quarterly index. pp = </w:t>
      </w:r>
      <w:r w:rsidRPr="00AF759E">
        <w:rPr>
          <w:sz w:val="10"/>
          <w:szCs w:val="10"/>
        </w:rPr>
        <w:t>percentage points</w:t>
      </w:r>
      <w:r>
        <w:rPr>
          <w:sz w:val="10"/>
          <w:szCs w:val="10"/>
        </w:rPr>
        <w:t>.</w:t>
      </w:r>
      <w:r w:rsidRPr="00AF759E">
        <w:rPr>
          <w:sz w:val="10"/>
          <w:szCs w:val="10"/>
        </w:rPr>
        <w:t xml:space="preserve"> (a) Weighted average of eight capital cities</w:t>
      </w:r>
      <w:r>
        <w:rPr>
          <w:sz w:val="10"/>
          <w:szCs w:val="10"/>
        </w:rPr>
        <w:t>.</w:t>
      </w:r>
    </w:p>
    <w:p w14:paraId="1FDEF523" w14:textId="77777777" w:rsidR="00D55748" w:rsidRPr="00D55748" w:rsidRDefault="00233755" w:rsidP="00D55748">
      <w:pPr>
        <w:jc w:val="both"/>
        <w:rPr>
          <w:sz w:val="2"/>
          <w:szCs w:val="2"/>
        </w:rPr>
      </w:pPr>
      <w:r w:rsidRPr="00AF759E">
        <w:rPr>
          <w:sz w:val="10"/>
          <w:szCs w:val="10"/>
        </w:rPr>
        <w:t>Source: Based on ABS data.</w:t>
      </w:r>
      <w:r w:rsidRPr="007B1AE5">
        <w:br w:type="column"/>
      </w:r>
    </w:p>
    <w:p w14:paraId="462E227E" w14:textId="56525DCE" w:rsidR="00233755" w:rsidRPr="0085163E" w:rsidRDefault="00233755" w:rsidP="006058E8">
      <w:pPr>
        <w:pStyle w:val="ListParagraph"/>
        <w:numPr>
          <w:ilvl w:val="0"/>
          <w:numId w:val="9"/>
        </w:numPr>
        <w:spacing w:before="40" w:after="40"/>
        <w:ind w:right="227" w:hanging="357"/>
        <w:contextualSpacing w:val="0"/>
        <w:jc w:val="both"/>
        <w:rPr>
          <w:sz w:val="16"/>
          <w:szCs w:val="16"/>
        </w:rPr>
      </w:pPr>
      <w:r w:rsidRPr="0085163E">
        <w:rPr>
          <w:sz w:val="16"/>
          <w:szCs w:val="16"/>
        </w:rPr>
        <w:t xml:space="preserve">Housing (up </w:t>
      </w:r>
      <w:r w:rsidR="008C46C1" w:rsidRPr="0085163E">
        <w:rPr>
          <w:sz w:val="16"/>
          <w:szCs w:val="16"/>
        </w:rPr>
        <w:t>11.5</w:t>
      </w:r>
      <w:r w:rsidRPr="0085163E">
        <w:rPr>
          <w:sz w:val="16"/>
          <w:szCs w:val="16"/>
        </w:rPr>
        <w:t>%) made the largest contribution to the year</w:t>
      </w:r>
      <w:r w:rsidR="00D55748" w:rsidRPr="0085163E">
        <w:rPr>
          <w:sz w:val="16"/>
          <w:szCs w:val="16"/>
        </w:rPr>
        <w:noBreakHyphen/>
      </w:r>
      <w:r w:rsidRPr="0085163E">
        <w:rPr>
          <w:sz w:val="16"/>
          <w:szCs w:val="16"/>
        </w:rPr>
        <w:t>on</w:t>
      </w:r>
      <w:r w:rsidR="00D55748" w:rsidRPr="0085163E">
        <w:rPr>
          <w:sz w:val="16"/>
          <w:szCs w:val="16"/>
        </w:rPr>
        <w:noBreakHyphen/>
      </w:r>
      <w:r w:rsidRPr="0085163E">
        <w:rPr>
          <w:sz w:val="16"/>
          <w:szCs w:val="16"/>
        </w:rPr>
        <w:t xml:space="preserve">year </w:t>
      </w:r>
      <w:r w:rsidR="00D55748" w:rsidRPr="0085163E">
        <w:rPr>
          <w:sz w:val="16"/>
          <w:szCs w:val="16"/>
        </w:rPr>
        <w:t>increase</w:t>
      </w:r>
      <w:r w:rsidRPr="0085163E">
        <w:rPr>
          <w:sz w:val="16"/>
          <w:szCs w:val="16"/>
        </w:rPr>
        <w:t xml:space="preserve"> in Perth’s CPI in the </w:t>
      </w:r>
      <w:r w:rsidR="008C46C1" w:rsidRPr="0085163E">
        <w:rPr>
          <w:sz w:val="16"/>
          <w:szCs w:val="16"/>
        </w:rPr>
        <w:t>September</w:t>
      </w:r>
      <w:r w:rsidRPr="0085163E">
        <w:rPr>
          <w:sz w:val="16"/>
          <w:szCs w:val="16"/>
        </w:rPr>
        <w:t xml:space="preserve"> quarter 2025. Price increases were high for </w:t>
      </w:r>
      <w:r w:rsidR="00FF3352" w:rsidRPr="0085163E">
        <w:rPr>
          <w:sz w:val="16"/>
          <w:szCs w:val="16"/>
        </w:rPr>
        <w:t>u</w:t>
      </w:r>
      <w:r w:rsidR="00F074E2" w:rsidRPr="0085163E">
        <w:rPr>
          <w:sz w:val="16"/>
          <w:szCs w:val="16"/>
        </w:rPr>
        <w:t xml:space="preserve">tilities </w:t>
      </w:r>
      <w:r w:rsidR="00EA5070" w:rsidRPr="0085163E">
        <w:rPr>
          <w:sz w:val="16"/>
          <w:szCs w:val="16"/>
        </w:rPr>
        <w:t xml:space="preserve">(up </w:t>
      </w:r>
      <w:r w:rsidR="008A583F" w:rsidRPr="0085163E">
        <w:rPr>
          <w:sz w:val="16"/>
          <w:szCs w:val="16"/>
        </w:rPr>
        <w:t>43.9</w:t>
      </w:r>
      <w:r w:rsidR="007F6B7B" w:rsidRPr="0085163E">
        <w:rPr>
          <w:sz w:val="16"/>
          <w:szCs w:val="16"/>
        </w:rPr>
        <w:t>%</w:t>
      </w:r>
      <w:r w:rsidR="00EA5070" w:rsidRPr="0085163E">
        <w:rPr>
          <w:sz w:val="16"/>
          <w:szCs w:val="16"/>
        </w:rPr>
        <w:t xml:space="preserve">) and </w:t>
      </w:r>
      <w:r w:rsidR="000C7C58" w:rsidRPr="0085163E">
        <w:rPr>
          <w:sz w:val="16"/>
          <w:szCs w:val="16"/>
        </w:rPr>
        <w:t>rent</w:t>
      </w:r>
      <w:r w:rsidRPr="0085163E">
        <w:rPr>
          <w:sz w:val="16"/>
          <w:szCs w:val="16"/>
        </w:rPr>
        <w:t xml:space="preserve"> (up </w:t>
      </w:r>
      <w:r w:rsidR="008A583F" w:rsidRPr="0085163E">
        <w:rPr>
          <w:sz w:val="16"/>
          <w:szCs w:val="16"/>
        </w:rPr>
        <w:t>6.4</w:t>
      </w:r>
      <w:r w:rsidRPr="0085163E">
        <w:rPr>
          <w:sz w:val="16"/>
          <w:szCs w:val="16"/>
        </w:rPr>
        <w:t>%)</w:t>
      </w:r>
      <w:r w:rsidR="00EA5070" w:rsidRPr="0085163E">
        <w:rPr>
          <w:sz w:val="16"/>
          <w:szCs w:val="16"/>
        </w:rPr>
        <w:t>.</w:t>
      </w:r>
      <w:r w:rsidR="00C40121" w:rsidRPr="0085163E">
        <w:rPr>
          <w:sz w:val="16"/>
          <w:szCs w:val="16"/>
        </w:rPr>
        <w:t xml:space="preserve"> Electricity, a component of utilities</w:t>
      </w:r>
      <w:r w:rsidR="001048F1" w:rsidRPr="0085163E">
        <w:rPr>
          <w:sz w:val="16"/>
          <w:szCs w:val="16"/>
        </w:rPr>
        <w:t>,</w:t>
      </w:r>
      <w:r w:rsidR="00C40121" w:rsidRPr="0085163E">
        <w:rPr>
          <w:sz w:val="16"/>
          <w:szCs w:val="16"/>
        </w:rPr>
        <w:t xml:space="preserve"> was up </w:t>
      </w:r>
      <w:r w:rsidR="001E58BF" w:rsidRPr="0085163E">
        <w:rPr>
          <w:sz w:val="16"/>
          <w:szCs w:val="16"/>
        </w:rPr>
        <w:t>140.5</w:t>
      </w:r>
      <w:r w:rsidR="0085520D" w:rsidRPr="0085163E">
        <w:rPr>
          <w:sz w:val="16"/>
          <w:szCs w:val="16"/>
        </w:rPr>
        <w:t>%.</w:t>
      </w:r>
    </w:p>
    <w:p w14:paraId="72EE043A" w14:textId="0A409C77" w:rsidR="00233755" w:rsidRPr="0085163E" w:rsidRDefault="00233755" w:rsidP="006058E8">
      <w:pPr>
        <w:pStyle w:val="ListParagraph"/>
        <w:numPr>
          <w:ilvl w:val="0"/>
          <w:numId w:val="9"/>
        </w:numPr>
        <w:spacing w:before="40" w:after="40"/>
        <w:ind w:right="227" w:hanging="357"/>
        <w:contextualSpacing w:val="0"/>
        <w:jc w:val="both"/>
        <w:rPr>
          <w:sz w:val="16"/>
          <w:szCs w:val="16"/>
        </w:rPr>
      </w:pPr>
      <w:r w:rsidRPr="0085163E">
        <w:rPr>
          <w:sz w:val="16"/>
          <w:szCs w:val="16"/>
        </w:rPr>
        <w:t xml:space="preserve">Other CPI components that contributed to the rise in Perth’s CPI in the year to the </w:t>
      </w:r>
      <w:r w:rsidR="00FF6737" w:rsidRPr="0085163E">
        <w:rPr>
          <w:sz w:val="16"/>
          <w:szCs w:val="16"/>
        </w:rPr>
        <w:t>Sept</w:t>
      </w:r>
      <w:r w:rsidR="00BE6AB8" w:rsidRPr="0085163E">
        <w:rPr>
          <w:sz w:val="16"/>
          <w:szCs w:val="16"/>
        </w:rPr>
        <w:t>ember</w:t>
      </w:r>
      <w:r w:rsidRPr="0085163E">
        <w:rPr>
          <w:sz w:val="16"/>
          <w:szCs w:val="16"/>
        </w:rPr>
        <w:t xml:space="preserve"> quarter 2025 included:</w:t>
      </w:r>
    </w:p>
    <w:p w14:paraId="302517B6" w14:textId="10570E1A" w:rsidR="00233755" w:rsidRPr="0085163E" w:rsidRDefault="00233755" w:rsidP="006058E8">
      <w:pPr>
        <w:pStyle w:val="ListParagraph"/>
        <w:numPr>
          <w:ilvl w:val="0"/>
          <w:numId w:val="10"/>
        </w:numPr>
        <w:spacing w:before="40" w:after="40"/>
        <w:ind w:right="227" w:hanging="357"/>
        <w:contextualSpacing w:val="0"/>
        <w:jc w:val="both"/>
        <w:rPr>
          <w:sz w:val="16"/>
          <w:szCs w:val="16"/>
        </w:rPr>
      </w:pPr>
      <w:r w:rsidRPr="0085163E">
        <w:rPr>
          <w:sz w:val="16"/>
          <w:szCs w:val="16"/>
        </w:rPr>
        <w:t>food and non-alcoholic beverages (up 3.</w:t>
      </w:r>
      <w:r w:rsidR="001E0648" w:rsidRPr="0085163E">
        <w:rPr>
          <w:sz w:val="16"/>
          <w:szCs w:val="16"/>
        </w:rPr>
        <w:t>2</w:t>
      </w:r>
      <w:r w:rsidRPr="0085163E">
        <w:rPr>
          <w:sz w:val="16"/>
          <w:szCs w:val="16"/>
        </w:rPr>
        <w:t>%)</w:t>
      </w:r>
    </w:p>
    <w:p w14:paraId="1A0B77A9" w14:textId="29770F81" w:rsidR="00233755" w:rsidRPr="0085163E" w:rsidRDefault="001E0648" w:rsidP="006058E8">
      <w:pPr>
        <w:pStyle w:val="ListParagraph"/>
        <w:numPr>
          <w:ilvl w:val="0"/>
          <w:numId w:val="10"/>
        </w:numPr>
        <w:spacing w:before="40" w:after="40"/>
        <w:ind w:right="227" w:hanging="357"/>
        <w:contextualSpacing w:val="0"/>
        <w:jc w:val="both"/>
        <w:rPr>
          <w:sz w:val="16"/>
          <w:szCs w:val="16"/>
        </w:rPr>
      </w:pPr>
      <w:r w:rsidRPr="0085163E">
        <w:rPr>
          <w:sz w:val="16"/>
          <w:szCs w:val="16"/>
        </w:rPr>
        <w:t>transport</w:t>
      </w:r>
      <w:r w:rsidR="00233755" w:rsidRPr="0085163E">
        <w:rPr>
          <w:sz w:val="16"/>
          <w:szCs w:val="16"/>
        </w:rPr>
        <w:t xml:space="preserve"> (up </w:t>
      </w:r>
      <w:r w:rsidRPr="0085163E">
        <w:rPr>
          <w:sz w:val="16"/>
          <w:szCs w:val="16"/>
        </w:rPr>
        <w:t>1.4</w:t>
      </w:r>
      <w:r w:rsidR="00233755" w:rsidRPr="0085163E">
        <w:rPr>
          <w:sz w:val="16"/>
          <w:szCs w:val="16"/>
        </w:rPr>
        <w:t>%)</w:t>
      </w:r>
      <w:r w:rsidR="00AE3E60" w:rsidRPr="0085163E">
        <w:rPr>
          <w:sz w:val="16"/>
          <w:szCs w:val="16"/>
        </w:rPr>
        <w:t>.</w:t>
      </w:r>
    </w:p>
    <w:p w14:paraId="44FA605E" w14:textId="734FF19D" w:rsidR="00233755" w:rsidRPr="0085163E" w:rsidRDefault="009A4D9B" w:rsidP="006058E8">
      <w:pPr>
        <w:pStyle w:val="ListParagraph"/>
        <w:numPr>
          <w:ilvl w:val="0"/>
          <w:numId w:val="9"/>
        </w:numPr>
        <w:spacing w:before="40" w:after="40"/>
        <w:ind w:right="227" w:hanging="357"/>
        <w:contextualSpacing w:val="0"/>
        <w:jc w:val="both"/>
        <w:rPr>
          <w:sz w:val="16"/>
          <w:szCs w:val="16"/>
        </w:rPr>
      </w:pPr>
      <w:r w:rsidRPr="0085163E">
        <w:rPr>
          <w:sz w:val="16"/>
          <w:szCs w:val="16"/>
        </w:rPr>
        <w:t>Housing</w:t>
      </w:r>
      <w:r w:rsidR="00233755" w:rsidRPr="0085163E">
        <w:rPr>
          <w:sz w:val="16"/>
          <w:szCs w:val="16"/>
        </w:rPr>
        <w:t xml:space="preserve"> (up </w:t>
      </w:r>
      <w:r w:rsidRPr="0085163E">
        <w:rPr>
          <w:sz w:val="16"/>
          <w:szCs w:val="16"/>
        </w:rPr>
        <w:t>4.7</w:t>
      </w:r>
      <w:r w:rsidR="00233755" w:rsidRPr="0085163E">
        <w:rPr>
          <w:sz w:val="16"/>
          <w:szCs w:val="16"/>
        </w:rPr>
        <w:t>%) made the largest contribution to Australia’s year</w:t>
      </w:r>
      <w:r w:rsidR="0009389E" w:rsidRPr="0085163E">
        <w:rPr>
          <w:sz w:val="16"/>
          <w:szCs w:val="16"/>
        </w:rPr>
        <w:noBreakHyphen/>
      </w:r>
      <w:r w:rsidR="00233755" w:rsidRPr="0085163E">
        <w:rPr>
          <w:sz w:val="16"/>
          <w:szCs w:val="16"/>
        </w:rPr>
        <w:t>on</w:t>
      </w:r>
      <w:r w:rsidR="0009389E" w:rsidRPr="0085163E">
        <w:rPr>
          <w:sz w:val="16"/>
          <w:szCs w:val="16"/>
        </w:rPr>
        <w:noBreakHyphen/>
      </w:r>
      <w:r w:rsidR="00233755" w:rsidRPr="0085163E">
        <w:rPr>
          <w:sz w:val="16"/>
          <w:szCs w:val="16"/>
        </w:rPr>
        <w:t xml:space="preserve">year CPI growth in the </w:t>
      </w:r>
      <w:r w:rsidRPr="0085163E">
        <w:rPr>
          <w:sz w:val="16"/>
          <w:szCs w:val="16"/>
        </w:rPr>
        <w:t>September</w:t>
      </w:r>
      <w:r w:rsidR="00D55748" w:rsidRPr="0085163E">
        <w:rPr>
          <w:sz w:val="16"/>
          <w:szCs w:val="16"/>
        </w:rPr>
        <w:t> </w:t>
      </w:r>
      <w:r w:rsidR="00233755" w:rsidRPr="0085163E">
        <w:rPr>
          <w:sz w:val="16"/>
          <w:szCs w:val="16"/>
        </w:rPr>
        <w:t xml:space="preserve">quarter 2025, followed by </w:t>
      </w:r>
      <w:r w:rsidR="004249BC" w:rsidRPr="0085163E">
        <w:rPr>
          <w:sz w:val="16"/>
          <w:szCs w:val="16"/>
        </w:rPr>
        <w:t xml:space="preserve">food and </w:t>
      </w:r>
      <w:r w:rsidR="00505A7E" w:rsidRPr="0085163E">
        <w:rPr>
          <w:sz w:val="16"/>
          <w:szCs w:val="16"/>
        </w:rPr>
        <w:t>non-alcoholic</w:t>
      </w:r>
      <w:r w:rsidR="00347151" w:rsidRPr="0085163E">
        <w:rPr>
          <w:sz w:val="16"/>
          <w:szCs w:val="16"/>
        </w:rPr>
        <w:t xml:space="preserve"> beverages (up 3.1%) and </w:t>
      </w:r>
      <w:r w:rsidR="009E09A4" w:rsidRPr="0085163E">
        <w:rPr>
          <w:sz w:val="16"/>
          <w:szCs w:val="16"/>
        </w:rPr>
        <w:t xml:space="preserve">alcohol and tobacco </w:t>
      </w:r>
      <w:r w:rsidR="00233755" w:rsidRPr="0085163E">
        <w:rPr>
          <w:sz w:val="16"/>
          <w:szCs w:val="16"/>
        </w:rPr>
        <w:t xml:space="preserve">(up </w:t>
      </w:r>
      <w:r w:rsidR="00E36A7A" w:rsidRPr="0085163E">
        <w:rPr>
          <w:sz w:val="16"/>
          <w:szCs w:val="16"/>
        </w:rPr>
        <w:t>5.9</w:t>
      </w:r>
      <w:r w:rsidR="00233755" w:rsidRPr="0085163E">
        <w:rPr>
          <w:sz w:val="16"/>
          <w:szCs w:val="16"/>
        </w:rPr>
        <w:t>%)</w:t>
      </w:r>
      <w:r w:rsidR="00347151" w:rsidRPr="0085163E">
        <w:rPr>
          <w:sz w:val="16"/>
          <w:szCs w:val="16"/>
        </w:rPr>
        <w:t>.</w:t>
      </w:r>
    </w:p>
    <w:p w14:paraId="544FC50C" w14:textId="77777777" w:rsidR="00233755" w:rsidRPr="00EE3D47" w:rsidRDefault="00233755" w:rsidP="00233755">
      <w:pPr>
        <w:ind w:left="3"/>
        <w:rPr>
          <w:sz w:val="16"/>
          <w:szCs w:val="16"/>
        </w:rPr>
        <w:sectPr w:rsidR="00233755" w:rsidRPr="00EE3D47" w:rsidSect="00233755">
          <w:type w:val="continuous"/>
          <w:pgSz w:w="11907" w:h="16840" w:code="9"/>
          <w:pgMar w:top="1701" w:right="425" w:bottom="567" w:left="567" w:header="709" w:footer="709" w:gutter="0"/>
          <w:cols w:num="2" w:space="113"/>
          <w:docGrid w:linePitch="360"/>
        </w:sectPr>
      </w:pPr>
    </w:p>
    <w:p w14:paraId="5C9E71F7" w14:textId="77777777" w:rsidR="00D55748" w:rsidRPr="00CF7CD6" w:rsidRDefault="00233755" w:rsidP="00D55748">
      <w:pPr>
        <w:pStyle w:val="Heading4"/>
        <w:rPr>
          <w:i w:val="0"/>
          <w:iCs w:val="0"/>
          <w:color w:val="00997A"/>
          <w:sz w:val="20"/>
          <w:szCs w:val="20"/>
        </w:rPr>
        <w:sectPr w:rsidR="00D55748" w:rsidRPr="00CF7CD6" w:rsidSect="00D55748">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Monetary policy interest </w:t>
      </w:r>
      <w:r w:rsidR="006C5EE3">
        <w:rPr>
          <w:i w:val="0"/>
          <w:iCs w:val="0"/>
          <w:color w:val="00997A"/>
          <w:sz w:val="20"/>
          <w:szCs w:val="20"/>
        </w:rPr>
        <w:t>rates</w:t>
      </w:r>
    </w:p>
    <w:p w14:paraId="2FA73F7C" w14:textId="67F27A78" w:rsidR="00233755" w:rsidRPr="00BF5D04" w:rsidRDefault="00A05BC0" w:rsidP="00233755">
      <w:r>
        <w:rPr>
          <w:noProof/>
        </w:rPr>
        <w:drawing>
          <wp:inline distT="0" distB="0" distL="0" distR="0" wp14:anchorId="11590465" wp14:editId="529EE333">
            <wp:extent cx="3420000" cy="2110509"/>
            <wp:effectExtent l="0" t="0" r="0" b="4445"/>
            <wp:docPr id="1594329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000" cy="2110509"/>
                    </a:xfrm>
                    <a:prstGeom prst="rect">
                      <a:avLst/>
                    </a:prstGeom>
                    <a:noFill/>
                    <a:ln>
                      <a:noFill/>
                    </a:ln>
                  </pic:spPr>
                </pic:pic>
              </a:graphicData>
            </a:graphic>
          </wp:inline>
        </w:drawing>
      </w:r>
    </w:p>
    <w:p w14:paraId="3E3B35F0" w14:textId="42246DC0" w:rsidR="00233755" w:rsidRPr="003E33BA" w:rsidRDefault="00233755" w:rsidP="00233755">
      <w:pPr>
        <w:jc w:val="both"/>
        <w:rPr>
          <w:sz w:val="10"/>
          <w:szCs w:val="10"/>
        </w:rPr>
      </w:pPr>
      <w:r w:rsidRPr="00DC4955">
        <w:rPr>
          <w:color w:val="000000" w:themeColor="text1"/>
          <w:sz w:val="10"/>
          <w:szCs w:val="10"/>
        </w:rPr>
        <w:t>Note</w:t>
      </w:r>
      <w:r w:rsidRPr="00DC4955">
        <w:rPr>
          <w:color w:val="000000" w:themeColor="text1"/>
          <w:sz w:val="10"/>
        </w:rPr>
        <w:t xml:space="preserve"> – </w:t>
      </w:r>
      <w:r w:rsidRPr="00DC4955">
        <w:rPr>
          <w:color w:val="000000" w:themeColor="text1"/>
          <w:sz w:val="10"/>
          <w:szCs w:val="10"/>
        </w:rPr>
        <w:t xml:space="preserve">As of </w:t>
      </w:r>
      <w:r w:rsidR="00E6771C">
        <w:rPr>
          <w:color w:val="000000" w:themeColor="text1"/>
          <w:sz w:val="10"/>
          <w:szCs w:val="10"/>
        </w:rPr>
        <w:t>4</w:t>
      </w:r>
      <w:r w:rsidR="005C7163">
        <w:rPr>
          <w:color w:val="000000" w:themeColor="text1"/>
          <w:sz w:val="10"/>
          <w:szCs w:val="10"/>
        </w:rPr>
        <w:t xml:space="preserve"> No</w:t>
      </w:r>
      <w:r w:rsidR="00263E34">
        <w:rPr>
          <w:color w:val="000000" w:themeColor="text1"/>
          <w:sz w:val="10"/>
          <w:szCs w:val="10"/>
        </w:rPr>
        <w:t>vember</w:t>
      </w:r>
      <w:r w:rsidRPr="00DC4955">
        <w:rPr>
          <w:color w:val="000000" w:themeColor="text1"/>
          <w:sz w:val="10"/>
          <w:szCs w:val="10"/>
        </w:rPr>
        <w:t xml:space="preserve"> 2025 (a) Federal </w:t>
      </w:r>
      <w:r w:rsidRPr="003E33BA">
        <w:rPr>
          <w:sz w:val="10"/>
          <w:szCs w:val="10"/>
        </w:rPr>
        <w:t>funds maximum target rate until December 2008 and the midpoint of the target range for the federal funds rate from January 2009 onwards. (b) Policy rate. (c) Bank rate. (d) Refinancing rate. (e) Cash rate.</w:t>
      </w:r>
    </w:p>
    <w:p w14:paraId="00911361" w14:textId="77777777" w:rsidR="00233755" w:rsidRPr="003E33BA" w:rsidRDefault="00233755" w:rsidP="00233755">
      <w:pPr>
        <w:jc w:val="both"/>
        <w:rPr>
          <w:sz w:val="10"/>
          <w:szCs w:val="10"/>
        </w:rPr>
      </w:pPr>
      <w:r w:rsidRPr="003E33BA">
        <w:rPr>
          <w:sz w:val="10"/>
          <w:szCs w:val="10"/>
        </w:rPr>
        <w:t>Source: RBA and Central Banks.</w:t>
      </w:r>
    </w:p>
    <w:p w14:paraId="58A125E3" w14:textId="023D78A8" w:rsidR="00233755" w:rsidRPr="009B6980"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A90EC5">
        <w:rPr>
          <w:sz w:val="16"/>
          <w:szCs w:val="16"/>
        </w:rPr>
        <w:t xml:space="preserve">Higher inflation led to many countries tightening monetary policy from late 2021 to 2023. </w:t>
      </w:r>
      <w:r w:rsidR="00D55748" w:rsidRPr="009B6980">
        <w:rPr>
          <w:color w:val="000000" w:themeColor="text1"/>
          <w:sz w:val="16"/>
          <w:szCs w:val="16"/>
        </w:rPr>
        <w:t>With</w:t>
      </w:r>
      <w:r w:rsidRPr="009B6980">
        <w:rPr>
          <w:color w:val="000000" w:themeColor="text1"/>
          <w:sz w:val="16"/>
          <w:szCs w:val="16"/>
        </w:rPr>
        <w:t xml:space="preserve"> inflation and inflationary expectations </w:t>
      </w:r>
      <w:r w:rsidR="00D55748" w:rsidRPr="009B6980">
        <w:rPr>
          <w:color w:val="000000" w:themeColor="text1"/>
          <w:sz w:val="16"/>
          <w:szCs w:val="16"/>
        </w:rPr>
        <w:t>falling, monetary policy in many countries is now in an easing cycle</w:t>
      </w:r>
      <w:r w:rsidRPr="009B6980">
        <w:rPr>
          <w:color w:val="000000" w:themeColor="text1"/>
          <w:sz w:val="16"/>
          <w:szCs w:val="16"/>
        </w:rPr>
        <w:t>.</w:t>
      </w:r>
    </w:p>
    <w:p w14:paraId="39375167" w14:textId="1D9DB5E2" w:rsidR="00233755" w:rsidRPr="00EA2D70" w:rsidRDefault="00233755" w:rsidP="006058E8">
      <w:pPr>
        <w:pStyle w:val="ListParagraph"/>
        <w:numPr>
          <w:ilvl w:val="0"/>
          <w:numId w:val="9"/>
        </w:numPr>
        <w:spacing w:before="40" w:after="40"/>
        <w:ind w:left="357" w:right="227" w:hanging="357"/>
        <w:contextualSpacing w:val="0"/>
        <w:jc w:val="both"/>
        <w:rPr>
          <w:sz w:val="16"/>
          <w:szCs w:val="16"/>
        </w:rPr>
      </w:pPr>
      <w:r w:rsidRPr="00EA2D70">
        <w:rPr>
          <w:sz w:val="16"/>
          <w:szCs w:val="16"/>
        </w:rPr>
        <w:t xml:space="preserve">The Reserve Bank of Australia </w:t>
      </w:r>
      <w:r w:rsidR="00CD3834" w:rsidRPr="00EA2D70">
        <w:rPr>
          <w:sz w:val="16"/>
          <w:szCs w:val="16"/>
        </w:rPr>
        <w:t>(RBA) i</w:t>
      </w:r>
      <w:r w:rsidRPr="00EA2D70">
        <w:rPr>
          <w:sz w:val="16"/>
          <w:szCs w:val="16"/>
        </w:rPr>
        <w:t xml:space="preserve">ncreased Australia’s official interest rate from 0.10% to 4.35% between </w:t>
      </w:r>
      <w:r w:rsidRPr="00EA2D70" w:rsidDel="005019AD">
        <w:rPr>
          <w:sz w:val="16"/>
          <w:szCs w:val="16"/>
        </w:rPr>
        <w:t>May </w:t>
      </w:r>
      <w:r w:rsidRPr="00EA2D70">
        <w:rPr>
          <w:sz w:val="16"/>
          <w:szCs w:val="16"/>
        </w:rPr>
        <w:t xml:space="preserve">2022 and November 2023. The </w:t>
      </w:r>
      <w:r w:rsidR="00CD3834" w:rsidRPr="00EA2D70">
        <w:rPr>
          <w:sz w:val="16"/>
          <w:szCs w:val="16"/>
        </w:rPr>
        <w:t>RBA</w:t>
      </w:r>
      <w:r w:rsidRPr="00EA2D70">
        <w:rPr>
          <w:sz w:val="16"/>
          <w:szCs w:val="16"/>
        </w:rPr>
        <w:t xml:space="preserve"> </w:t>
      </w:r>
      <w:r w:rsidR="00AE6B49" w:rsidRPr="00EA2D70">
        <w:rPr>
          <w:sz w:val="16"/>
          <w:szCs w:val="16"/>
        </w:rPr>
        <w:t xml:space="preserve">has reduced the </w:t>
      </w:r>
      <w:r w:rsidRPr="00EA2D70">
        <w:rPr>
          <w:sz w:val="16"/>
          <w:szCs w:val="16"/>
        </w:rPr>
        <w:t xml:space="preserve">cash rate </w:t>
      </w:r>
      <w:r w:rsidR="00AE6B49" w:rsidRPr="00EA2D70">
        <w:rPr>
          <w:sz w:val="16"/>
          <w:szCs w:val="16"/>
        </w:rPr>
        <w:t xml:space="preserve">by </w:t>
      </w:r>
      <w:r w:rsidR="00AE6B49" w:rsidRPr="00EA2D70" w:rsidDel="00444FF5">
        <w:rPr>
          <w:sz w:val="16"/>
          <w:szCs w:val="16"/>
        </w:rPr>
        <w:t>25</w:t>
      </w:r>
      <w:r w:rsidR="00D74556" w:rsidRPr="00EA2D70" w:rsidDel="00444FF5">
        <w:rPr>
          <w:sz w:val="16"/>
          <w:szCs w:val="16"/>
        </w:rPr>
        <w:t> </w:t>
      </w:r>
      <w:r w:rsidR="00AE6B49" w:rsidRPr="00EA2D70">
        <w:rPr>
          <w:sz w:val="16"/>
          <w:szCs w:val="16"/>
        </w:rPr>
        <w:t xml:space="preserve">basis points three times since </w:t>
      </w:r>
      <w:r w:rsidR="00AE6B49" w:rsidRPr="00EA2D70" w:rsidDel="0050535B">
        <w:rPr>
          <w:sz w:val="16"/>
          <w:szCs w:val="16"/>
        </w:rPr>
        <w:t>Feb</w:t>
      </w:r>
      <w:r w:rsidRPr="00EA2D70" w:rsidDel="0050535B">
        <w:rPr>
          <w:sz w:val="16"/>
          <w:szCs w:val="16"/>
        </w:rPr>
        <w:t>ruary </w:t>
      </w:r>
      <w:r w:rsidRPr="00EA2D70">
        <w:rPr>
          <w:sz w:val="16"/>
          <w:szCs w:val="16"/>
        </w:rPr>
        <w:t>2025</w:t>
      </w:r>
      <w:r w:rsidR="00874667" w:rsidRPr="00EA2D70">
        <w:rPr>
          <w:sz w:val="16"/>
          <w:szCs w:val="16"/>
        </w:rPr>
        <w:t xml:space="preserve"> </w:t>
      </w:r>
      <w:r w:rsidR="0023576D" w:rsidRPr="00EA2D70">
        <w:rPr>
          <w:sz w:val="16"/>
          <w:szCs w:val="16"/>
        </w:rPr>
        <w:t xml:space="preserve">but kept the </w:t>
      </w:r>
      <w:r w:rsidR="00CD3834" w:rsidRPr="00EA2D70">
        <w:rPr>
          <w:sz w:val="16"/>
          <w:szCs w:val="16"/>
        </w:rPr>
        <w:t>cash rate</w:t>
      </w:r>
      <w:r w:rsidRPr="00EA2D70">
        <w:rPr>
          <w:sz w:val="16"/>
          <w:szCs w:val="16"/>
        </w:rPr>
        <w:t xml:space="preserve"> </w:t>
      </w:r>
      <w:r w:rsidR="0023576D" w:rsidRPr="00EA2D70">
        <w:rPr>
          <w:sz w:val="16"/>
          <w:szCs w:val="16"/>
        </w:rPr>
        <w:t xml:space="preserve">unchanged at </w:t>
      </w:r>
      <w:r w:rsidRPr="00EA2D70">
        <w:rPr>
          <w:sz w:val="16"/>
          <w:szCs w:val="16"/>
        </w:rPr>
        <w:t>3.</w:t>
      </w:r>
      <w:r w:rsidR="00AE6B49" w:rsidRPr="00EA2D70">
        <w:rPr>
          <w:sz w:val="16"/>
          <w:szCs w:val="16"/>
        </w:rPr>
        <w:t>60</w:t>
      </w:r>
      <w:r w:rsidRPr="00EA2D70">
        <w:rPr>
          <w:sz w:val="16"/>
          <w:szCs w:val="16"/>
        </w:rPr>
        <w:t>%</w:t>
      </w:r>
      <w:r w:rsidR="0023576D" w:rsidRPr="00EA2D70">
        <w:rPr>
          <w:sz w:val="16"/>
          <w:szCs w:val="16"/>
        </w:rPr>
        <w:t xml:space="preserve"> in </w:t>
      </w:r>
      <w:r w:rsidR="00507E84" w:rsidRPr="00EA2D70">
        <w:rPr>
          <w:sz w:val="16"/>
          <w:szCs w:val="16"/>
        </w:rPr>
        <w:t>November</w:t>
      </w:r>
      <w:r w:rsidR="0023576D" w:rsidRPr="00EA2D70">
        <w:rPr>
          <w:sz w:val="16"/>
          <w:szCs w:val="16"/>
        </w:rPr>
        <w:t xml:space="preserve"> 2025</w:t>
      </w:r>
      <w:r w:rsidRPr="00EA2D70">
        <w:rPr>
          <w:sz w:val="16"/>
          <w:szCs w:val="16"/>
        </w:rPr>
        <w:t>.</w:t>
      </w:r>
    </w:p>
    <w:p w14:paraId="1A3ABCDA" w14:textId="77777777" w:rsidR="00233755" w:rsidRPr="00EA2D70" w:rsidRDefault="00233755" w:rsidP="006058E8">
      <w:pPr>
        <w:pStyle w:val="ListParagraph"/>
        <w:numPr>
          <w:ilvl w:val="0"/>
          <w:numId w:val="9"/>
        </w:numPr>
        <w:spacing w:before="40" w:after="40"/>
        <w:ind w:left="357" w:right="227" w:hanging="357"/>
        <w:contextualSpacing w:val="0"/>
        <w:jc w:val="both"/>
        <w:rPr>
          <w:sz w:val="16"/>
          <w:szCs w:val="16"/>
        </w:rPr>
      </w:pPr>
      <w:r w:rsidRPr="00EA2D70">
        <w:rPr>
          <w:sz w:val="16"/>
          <w:szCs w:val="16"/>
        </w:rPr>
        <w:t>Monetary policy in the US, UK and Euro Area followed a similar trajectory to Australia in 2022 and 2023, but earlier disinflation allowed central banks in these markets to start cutting interest rates sooner than Australia. Rate cuts in these markets have been:</w:t>
      </w:r>
    </w:p>
    <w:p w14:paraId="5A6BC844" w14:textId="0A933B5D" w:rsidR="00233755" w:rsidRPr="00EA2D70" w:rsidRDefault="00233755" w:rsidP="006058E8">
      <w:pPr>
        <w:pStyle w:val="ListParagraph"/>
        <w:numPr>
          <w:ilvl w:val="1"/>
          <w:numId w:val="9"/>
        </w:numPr>
        <w:spacing w:before="40" w:after="40"/>
        <w:ind w:right="227"/>
        <w:contextualSpacing w:val="0"/>
        <w:jc w:val="both"/>
        <w:rPr>
          <w:sz w:val="16"/>
          <w:szCs w:val="16"/>
        </w:rPr>
      </w:pPr>
      <w:r w:rsidRPr="00EA2D70">
        <w:rPr>
          <w:sz w:val="16"/>
          <w:szCs w:val="16"/>
        </w:rPr>
        <w:t>European Central Bank: 2</w:t>
      </w:r>
      <w:r w:rsidR="002A1512" w:rsidRPr="00EA2D70">
        <w:rPr>
          <w:sz w:val="16"/>
          <w:szCs w:val="16"/>
        </w:rPr>
        <w:t>35</w:t>
      </w:r>
      <w:r w:rsidRPr="00EA2D70">
        <w:rPr>
          <w:sz w:val="16"/>
          <w:szCs w:val="16"/>
        </w:rPr>
        <w:t xml:space="preserve"> basis points from </w:t>
      </w:r>
      <w:r w:rsidRPr="00EA2D70" w:rsidDel="00EA3504">
        <w:rPr>
          <w:sz w:val="16"/>
          <w:szCs w:val="16"/>
        </w:rPr>
        <w:t>June </w:t>
      </w:r>
      <w:r w:rsidRPr="00EA2D70">
        <w:rPr>
          <w:sz w:val="16"/>
          <w:szCs w:val="16"/>
        </w:rPr>
        <w:t>2024, with the policy rate at 2.</w:t>
      </w:r>
      <w:r w:rsidR="002A1512" w:rsidRPr="00EA2D70">
        <w:rPr>
          <w:sz w:val="16"/>
          <w:szCs w:val="16"/>
        </w:rPr>
        <w:t>15</w:t>
      </w:r>
      <w:r w:rsidRPr="00EA2D70">
        <w:rPr>
          <w:sz w:val="16"/>
          <w:szCs w:val="16"/>
        </w:rPr>
        <w:t xml:space="preserve">% in </w:t>
      </w:r>
      <w:r w:rsidR="005C6310" w:rsidRPr="00EA2D70">
        <w:rPr>
          <w:sz w:val="16"/>
          <w:szCs w:val="16"/>
        </w:rPr>
        <w:t xml:space="preserve">October </w:t>
      </w:r>
      <w:r w:rsidRPr="00EA2D70">
        <w:rPr>
          <w:sz w:val="16"/>
          <w:szCs w:val="16"/>
        </w:rPr>
        <w:t>2025</w:t>
      </w:r>
    </w:p>
    <w:p w14:paraId="73EEC712" w14:textId="35B87D03" w:rsidR="00233755" w:rsidRPr="00EA2D70" w:rsidRDefault="00233755" w:rsidP="006058E8">
      <w:pPr>
        <w:pStyle w:val="ListParagraph"/>
        <w:numPr>
          <w:ilvl w:val="1"/>
          <w:numId w:val="9"/>
        </w:numPr>
        <w:spacing w:before="40" w:after="40"/>
        <w:ind w:right="227"/>
        <w:contextualSpacing w:val="0"/>
        <w:jc w:val="both"/>
        <w:rPr>
          <w:sz w:val="16"/>
          <w:szCs w:val="16"/>
        </w:rPr>
      </w:pPr>
      <w:r w:rsidRPr="00EA2D70">
        <w:rPr>
          <w:sz w:val="16"/>
          <w:szCs w:val="16"/>
        </w:rPr>
        <w:t>Bank of England: 1</w:t>
      </w:r>
      <w:r w:rsidR="00AE6B49" w:rsidRPr="00EA2D70">
        <w:rPr>
          <w:sz w:val="16"/>
          <w:szCs w:val="16"/>
        </w:rPr>
        <w:t>25</w:t>
      </w:r>
      <w:r w:rsidRPr="00EA2D70">
        <w:rPr>
          <w:sz w:val="16"/>
          <w:szCs w:val="16"/>
        </w:rPr>
        <w:t xml:space="preserve"> basis points from </w:t>
      </w:r>
      <w:r w:rsidRPr="00EA2D70" w:rsidDel="0015301D">
        <w:rPr>
          <w:sz w:val="16"/>
          <w:szCs w:val="16"/>
        </w:rPr>
        <w:t>August </w:t>
      </w:r>
      <w:r w:rsidRPr="00EA2D70">
        <w:rPr>
          <w:sz w:val="16"/>
          <w:szCs w:val="16"/>
        </w:rPr>
        <w:t>2024, with the policy rate at 4.</w:t>
      </w:r>
      <w:r w:rsidR="00AE6B49" w:rsidRPr="00EA2D70">
        <w:rPr>
          <w:sz w:val="16"/>
          <w:szCs w:val="16"/>
        </w:rPr>
        <w:t>00</w:t>
      </w:r>
      <w:r w:rsidRPr="00EA2D70">
        <w:rPr>
          <w:sz w:val="16"/>
          <w:szCs w:val="16"/>
        </w:rPr>
        <w:t xml:space="preserve">% in </w:t>
      </w:r>
      <w:r w:rsidR="009B3702" w:rsidRPr="00EA2D70">
        <w:rPr>
          <w:sz w:val="16"/>
          <w:szCs w:val="16"/>
        </w:rPr>
        <w:t>October</w:t>
      </w:r>
      <w:r w:rsidRPr="00EA2D70">
        <w:rPr>
          <w:sz w:val="16"/>
          <w:szCs w:val="16"/>
        </w:rPr>
        <w:t> 2025</w:t>
      </w:r>
    </w:p>
    <w:p w14:paraId="2A57ECBC" w14:textId="4D5925BE" w:rsidR="00233755" w:rsidRPr="00EA2D70" w:rsidRDefault="00233755" w:rsidP="006058E8">
      <w:pPr>
        <w:pStyle w:val="ListParagraph"/>
        <w:numPr>
          <w:ilvl w:val="1"/>
          <w:numId w:val="9"/>
        </w:numPr>
        <w:spacing w:before="40" w:after="40"/>
        <w:ind w:right="227"/>
        <w:contextualSpacing w:val="0"/>
        <w:jc w:val="both"/>
        <w:rPr>
          <w:sz w:val="16"/>
          <w:szCs w:val="16"/>
        </w:rPr>
      </w:pPr>
      <w:r w:rsidRPr="00EA2D70">
        <w:rPr>
          <w:sz w:val="16"/>
          <w:szCs w:val="16"/>
        </w:rPr>
        <w:t xml:space="preserve">US Federal Reserve: </w:t>
      </w:r>
      <w:r w:rsidRPr="00EA2D70" w:rsidDel="0015301D">
        <w:rPr>
          <w:sz w:val="16"/>
          <w:szCs w:val="16"/>
        </w:rPr>
        <w:t>1</w:t>
      </w:r>
      <w:r w:rsidR="00CA3776" w:rsidRPr="00EA2D70" w:rsidDel="0015301D">
        <w:rPr>
          <w:sz w:val="16"/>
          <w:szCs w:val="16"/>
        </w:rPr>
        <w:t>50</w:t>
      </w:r>
      <w:r w:rsidRPr="00EA2D70" w:rsidDel="0015301D">
        <w:rPr>
          <w:sz w:val="16"/>
          <w:szCs w:val="16"/>
        </w:rPr>
        <w:t> </w:t>
      </w:r>
      <w:r w:rsidRPr="00EA2D70">
        <w:rPr>
          <w:sz w:val="16"/>
          <w:szCs w:val="16"/>
        </w:rPr>
        <w:t xml:space="preserve">basis points from </w:t>
      </w:r>
      <w:r w:rsidR="00B56055" w:rsidRPr="00EA2D70" w:rsidDel="0015301D">
        <w:rPr>
          <w:sz w:val="16"/>
          <w:szCs w:val="16"/>
        </w:rPr>
        <w:t>September</w:t>
      </w:r>
      <w:r w:rsidRPr="00EA2D70" w:rsidDel="0015301D">
        <w:rPr>
          <w:sz w:val="16"/>
          <w:szCs w:val="16"/>
        </w:rPr>
        <w:t> </w:t>
      </w:r>
      <w:r w:rsidRPr="00EA2D70">
        <w:rPr>
          <w:sz w:val="16"/>
          <w:szCs w:val="16"/>
        </w:rPr>
        <w:t xml:space="preserve">2024, with the </w:t>
      </w:r>
      <w:r w:rsidR="006753BF" w:rsidRPr="00EA2D70">
        <w:rPr>
          <w:sz w:val="16"/>
          <w:szCs w:val="16"/>
        </w:rPr>
        <w:t xml:space="preserve">midpoint of its </w:t>
      </w:r>
      <w:r w:rsidRPr="00EA2D70">
        <w:rPr>
          <w:sz w:val="16"/>
          <w:szCs w:val="16"/>
        </w:rPr>
        <w:t xml:space="preserve">policy rate at </w:t>
      </w:r>
      <w:r w:rsidR="00CA3776" w:rsidRPr="00EA2D70">
        <w:rPr>
          <w:sz w:val="16"/>
          <w:szCs w:val="16"/>
        </w:rPr>
        <w:t>3.8</w:t>
      </w:r>
      <w:r w:rsidR="009B2A54" w:rsidRPr="00EA2D70">
        <w:rPr>
          <w:sz w:val="16"/>
          <w:szCs w:val="16"/>
        </w:rPr>
        <w:t>75</w:t>
      </w:r>
      <w:r w:rsidRPr="00EA2D70">
        <w:rPr>
          <w:sz w:val="16"/>
          <w:szCs w:val="16"/>
        </w:rPr>
        <w:t xml:space="preserve">% in </w:t>
      </w:r>
      <w:r w:rsidR="00CA3776" w:rsidRPr="00EA2D70">
        <w:rPr>
          <w:sz w:val="16"/>
          <w:szCs w:val="16"/>
        </w:rPr>
        <w:t>October</w:t>
      </w:r>
      <w:r w:rsidRPr="00EA2D70">
        <w:rPr>
          <w:sz w:val="16"/>
          <w:szCs w:val="16"/>
        </w:rPr>
        <w:t> 2025.</w:t>
      </w:r>
    </w:p>
    <w:p w14:paraId="0A21B10E" w14:textId="77A4D67F" w:rsidR="00233755" w:rsidRPr="005D20A9" w:rsidRDefault="00233755" w:rsidP="006058E8">
      <w:pPr>
        <w:pStyle w:val="ListParagraph"/>
        <w:numPr>
          <w:ilvl w:val="0"/>
          <w:numId w:val="9"/>
        </w:numPr>
        <w:spacing w:before="40" w:after="40"/>
        <w:ind w:left="357" w:right="227" w:hanging="357"/>
        <w:contextualSpacing w:val="0"/>
        <w:jc w:val="both"/>
        <w:rPr>
          <w:sz w:val="16"/>
          <w:szCs w:val="16"/>
        </w:rPr>
      </w:pPr>
      <w:r w:rsidRPr="005D20A9">
        <w:rPr>
          <w:sz w:val="16"/>
          <w:szCs w:val="16"/>
        </w:rPr>
        <w:t xml:space="preserve">Japan has been an exception as its increase in inflation occurred later. The Bank of Japan increased interest rates for the first time in 17 years in March 2024 with further increases in July 2024 and January 2025. </w:t>
      </w:r>
      <w:r w:rsidRPr="00EA2D70">
        <w:rPr>
          <w:sz w:val="16"/>
          <w:szCs w:val="16"/>
        </w:rPr>
        <w:t xml:space="preserve">The policy rate remained at 0.5% in </w:t>
      </w:r>
      <w:r w:rsidR="00CA3776" w:rsidRPr="00EA2D70">
        <w:rPr>
          <w:sz w:val="16"/>
          <w:szCs w:val="16"/>
        </w:rPr>
        <w:t>October</w:t>
      </w:r>
      <w:r w:rsidR="005D20A9" w:rsidRPr="00EA2D70">
        <w:rPr>
          <w:sz w:val="16"/>
          <w:szCs w:val="16"/>
        </w:rPr>
        <w:t> </w:t>
      </w:r>
      <w:r w:rsidRPr="00EA2D70">
        <w:rPr>
          <w:sz w:val="16"/>
          <w:szCs w:val="16"/>
        </w:rPr>
        <w:t>2025.</w:t>
      </w:r>
    </w:p>
    <w:p w14:paraId="499227DF" w14:textId="77777777" w:rsidR="00233755" w:rsidRPr="00112067" w:rsidRDefault="00233755" w:rsidP="006058E8">
      <w:pPr>
        <w:pStyle w:val="ListParagraph"/>
        <w:numPr>
          <w:ilvl w:val="0"/>
          <w:numId w:val="9"/>
        </w:numPr>
        <w:spacing w:before="40" w:after="40"/>
        <w:ind w:left="357" w:right="227" w:hanging="357"/>
        <w:contextualSpacing w:val="0"/>
        <w:jc w:val="both"/>
        <w:rPr>
          <w:sz w:val="16"/>
          <w:szCs w:val="16"/>
        </w:rPr>
        <w:sectPr w:rsidR="00233755" w:rsidRPr="00112067" w:rsidSect="00233755">
          <w:type w:val="continuous"/>
          <w:pgSz w:w="11907" w:h="16840" w:code="9"/>
          <w:pgMar w:top="1701" w:right="425" w:bottom="567" w:left="567" w:header="709" w:footer="709" w:gutter="0"/>
          <w:cols w:num="2" w:space="113"/>
          <w:docGrid w:linePitch="360"/>
        </w:sectPr>
      </w:pPr>
    </w:p>
    <w:p w14:paraId="0710824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5" w:name="_Labour_market_–"/>
      <w:bookmarkEnd w:id="15"/>
      <w:r w:rsidRPr="008F7AA0">
        <w:rPr>
          <w:bCs/>
          <w:color w:val="004C3D"/>
          <w:sz w:val="24"/>
          <w:szCs w:val="24"/>
        </w:rPr>
        <w:lastRenderedPageBreak/>
        <w:t>Labour market – employment</w:t>
      </w:r>
    </w:p>
    <w:p w14:paraId="1F62F00E"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1A01224"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Employment and total monthly hours worked (change)</w:t>
      </w:r>
    </w:p>
    <w:p w14:paraId="64E4CCBD" w14:textId="3370BF9A" w:rsidR="00233755" w:rsidRPr="007B1AE5" w:rsidRDefault="009D0C60" w:rsidP="00233755">
      <w:r>
        <w:rPr>
          <w:noProof/>
        </w:rPr>
        <w:drawing>
          <wp:inline distT="0" distB="0" distL="0" distR="0" wp14:anchorId="1C08DB66" wp14:editId="53E87F63">
            <wp:extent cx="3426691" cy="1972138"/>
            <wp:effectExtent l="0" t="0" r="2540" b="9525"/>
            <wp:docPr id="864461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4189" cy="1982208"/>
                    </a:xfrm>
                    <a:prstGeom prst="rect">
                      <a:avLst/>
                    </a:prstGeom>
                    <a:noFill/>
                    <a:ln>
                      <a:noFill/>
                    </a:ln>
                  </pic:spPr>
                </pic:pic>
              </a:graphicData>
            </a:graphic>
          </wp:inline>
        </w:drawing>
      </w:r>
    </w:p>
    <w:p w14:paraId="388F4A7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12-month rolling average for employed persons</w:t>
      </w:r>
      <w:r>
        <w:rPr>
          <w:sz w:val="10"/>
          <w:szCs w:val="10"/>
        </w:rPr>
        <w:t xml:space="preserve"> and </w:t>
      </w:r>
      <w:r w:rsidRPr="00AF759E">
        <w:rPr>
          <w:sz w:val="10"/>
          <w:szCs w:val="10"/>
        </w:rPr>
        <w:t xml:space="preserve">total </w:t>
      </w:r>
      <w:r>
        <w:rPr>
          <w:sz w:val="10"/>
          <w:szCs w:val="10"/>
        </w:rPr>
        <w:t xml:space="preserve">monthly </w:t>
      </w:r>
      <w:r w:rsidRPr="00AF759E">
        <w:rPr>
          <w:sz w:val="10"/>
          <w:szCs w:val="10"/>
        </w:rPr>
        <w:t>hours worked. Year</w:t>
      </w:r>
      <w:r>
        <w:rPr>
          <w:sz w:val="10"/>
          <w:szCs w:val="10"/>
        </w:rPr>
        <w:noBreakHyphen/>
      </w:r>
      <w:r w:rsidRPr="00AF759E">
        <w:rPr>
          <w:sz w:val="10"/>
          <w:szCs w:val="10"/>
        </w:rPr>
        <w:t>on</w:t>
      </w:r>
      <w:r>
        <w:rPr>
          <w:sz w:val="10"/>
          <w:szCs w:val="10"/>
        </w:rPr>
        <w:noBreakHyphen/>
      </w:r>
      <w:r w:rsidRPr="00AF759E">
        <w:rPr>
          <w:sz w:val="10"/>
          <w:szCs w:val="10"/>
        </w:rPr>
        <w:t>year change in monthly series.</w:t>
      </w:r>
    </w:p>
    <w:p w14:paraId="6C27E4CF" w14:textId="77777777" w:rsidR="00233755" w:rsidRPr="00AF759E" w:rsidRDefault="00233755" w:rsidP="00233755">
      <w:pPr>
        <w:jc w:val="both"/>
        <w:rPr>
          <w:sz w:val="10"/>
          <w:szCs w:val="10"/>
        </w:rPr>
      </w:pPr>
      <w:r w:rsidRPr="00AF759E">
        <w:rPr>
          <w:sz w:val="10"/>
          <w:szCs w:val="10"/>
        </w:rPr>
        <w:t>Source: Based on ABS data.</w:t>
      </w:r>
    </w:p>
    <w:p w14:paraId="5181BA88" w14:textId="56212046" w:rsidR="00233755" w:rsidRPr="00EA2D70"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C23306">
        <w:rPr>
          <w:sz w:val="16"/>
          <w:szCs w:val="16"/>
        </w:rPr>
        <w:t>Employment growth in Western Australia has fallen from the very high rates reached during the economic recovery from the COVID</w:t>
      </w:r>
      <w:r w:rsidRPr="00C23306">
        <w:rPr>
          <w:sz w:val="16"/>
          <w:szCs w:val="16"/>
        </w:rPr>
        <w:noBreakHyphen/>
        <w:t xml:space="preserve">19 pandemic but has been sustained at a relatively high level as high net </w:t>
      </w:r>
      <w:r w:rsidRPr="00EA2D70">
        <w:rPr>
          <w:sz w:val="16"/>
          <w:szCs w:val="16"/>
        </w:rPr>
        <w:t>overseas migration has resulted in a large increase in the working age population.</w:t>
      </w:r>
    </w:p>
    <w:p w14:paraId="78DDCB72" w14:textId="0E7C8960" w:rsidR="00233755" w:rsidRPr="00EA2D70" w:rsidRDefault="00233755" w:rsidP="006058E8">
      <w:pPr>
        <w:pStyle w:val="ListParagraph"/>
        <w:numPr>
          <w:ilvl w:val="0"/>
          <w:numId w:val="9"/>
        </w:numPr>
        <w:spacing w:before="40" w:after="40"/>
        <w:ind w:left="357" w:right="227" w:hanging="357"/>
        <w:contextualSpacing w:val="0"/>
        <w:jc w:val="both"/>
        <w:rPr>
          <w:sz w:val="16"/>
          <w:szCs w:val="16"/>
        </w:rPr>
      </w:pPr>
      <w:bookmarkStart w:id="16" w:name="_Hlk175827850"/>
      <w:r w:rsidRPr="00EA2D70">
        <w:rPr>
          <w:sz w:val="16"/>
          <w:szCs w:val="16"/>
        </w:rPr>
        <w:t xml:space="preserve">Western Australia’s annual average employment rose </w:t>
      </w:r>
      <w:r w:rsidR="00493100" w:rsidRPr="00EA2D70">
        <w:rPr>
          <w:sz w:val="16"/>
          <w:szCs w:val="16"/>
        </w:rPr>
        <w:t>2.</w:t>
      </w:r>
      <w:r w:rsidR="00DE71D7" w:rsidRPr="00EA2D70">
        <w:rPr>
          <w:sz w:val="16"/>
          <w:szCs w:val="16"/>
        </w:rPr>
        <w:t>6</w:t>
      </w:r>
      <w:r w:rsidRPr="00EA2D70">
        <w:rPr>
          <w:sz w:val="16"/>
          <w:szCs w:val="16"/>
        </w:rPr>
        <w:t>% to 1.6</w:t>
      </w:r>
      <w:r w:rsidR="00955234" w:rsidRPr="00EA2D70">
        <w:rPr>
          <w:sz w:val="16"/>
          <w:szCs w:val="16"/>
        </w:rPr>
        <w:t>5</w:t>
      </w:r>
      <w:r w:rsidRPr="00EA2D70">
        <w:rPr>
          <w:sz w:val="16"/>
          <w:szCs w:val="16"/>
        </w:rPr>
        <w:t xml:space="preserve"> million in </w:t>
      </w:r>
      <w:r w:rsidR="00955234" w:rsidRPr="00EA2D70">
        <w:rPr>
          <w:sz w:val="16"/>
          <w:szCs w:val="16"/>
        </w:rPr>
        <w:t>September</w:t>
      </w:r>
      <w:r w:rsidRPr="00EA2D70">
        <w:rPr>
          <w:sz w:val="16"/>
          <w:szCs w:val="16"/>
        </w:rPr>
        <w:t> 2025.</w:t>
      </w:r>
    </w:p>
    <w:bookmarkEnd w:id="16"/>
    <w:p w14:paraId="6FD2BEA9" w14:textId="4FDFEE20" w:rsidR="00233755" w:rsidRPr="00EA2D70" w:rsidRDefault="008714BB" w:rsidP="006058E8">
      <w:pPr>
        <w:pStyle w:val="ListParagraph"/>
        <w:numPr>
          <w:ilvl w:val="0"/>
          <w:numId w:val="9"/>
        </w:numPr>
        <w:spacing w:before="40" w:after="40"/>
        <w:ind w:left="357" w:right="227" w:hanging="357"/>
        <w:contextualSpacing w:val="0"/>
        <w:jc w:val="both"/>
        <w:rPr>
          <w:sz w:val="16"/>
          <w:szCs w:val="16"/>
        </w:rPr>
      </w:pPr>
      <w:r w:rsidRPr="00EA2D70">
        <w:rPr>
          <w:sz w:val="16"/>
          <w:szCs w:val="16"/>
        </w:rPr>
        <w:t>The WA Government State Budget 2025</w:t>
      </w:r>
      <w:r w:rsidRPr="00EA2D70">
        <w:rPr>
          <w:sz w:val="16"/>
          <w:szCs w:val="16"/>
        </w:rPr>
        <w:noBreakHyphen/>
        <w:t xml:space="preserve">26 </w:t>
      </w:r>
      <w:r w:rsidR="00233755" w:rsidRPr="00EA2D70">
        <w:rPr>
          <w:sz w:val="16"/>
          <w:szCs w:val="16"/>
        </w:rPr>
        <w:t>forecasts Western Australia’s annual average employment will increase by 1.75% in 2025</w:t>
      </w:r>
      <w:r w:rsidR="00233755" w:rsidRPr="00EA2D70">
        <w:rPr>
          <w:sz w:val="16"/>
          <w:szCs w:val="16"/>
        </w:rPr>
        <w:noBreakHyphen/>
        <w:t>26.</w:t>
      </w:r>
    </w:p>
    <w:p w14:paraId="4AA6B0C8" w14:textId="02ED9343" w:rsidR="00233755" w:rsidRPr="00EA2D70" w:rsidRDefault="008B59E8" w:rsidP="006058E8">
      <w:pPr>
        <w:pStyle w:val="ListParagraph"/>
        <w:numPr>
          <w:ilvl w:val="0"/>
          <w:numId w:val="9"/>
        </w:numPr>
        <w:spacing w:before="40" w:after="40"/>
        <w:ind w:left="357" w:right="227" w:hanging="357"/>
        <w:contextualSpacing w:val="0"/>
        <w:jc w:val="both"/>
        <w:rPr>
          <w:sz w:val="16"/>
          <w:szCs w:val="16"/>
        </w:rPr>
      </w:pPr>
      <w:bookmarkStart w:id="17" w:name="_Hlk175827856"/>
      <w:r w:rsidRPr="00EA2D70">
        <w:rPr>
          <w:sz w:val="16"/>
          <w:szCs w:val="16"/>
        </w:rPr>
        <w:t>Annual average g</w:t>
      </w:r>
      <w:r w:rsidR="00233755" w:rsidRPr="00EA2D70">
        <w:rPr>
          <w:sz w:val="16"/>
          <w:szCs w:val="16"/>
        </w:rPr>
        <w:t xml:space="preserve">rowth in hours worked has </w:t>
      </w:r>
      <w:r w:rsidR="005D20A9" w:rsidRPr="00EA2D70">
        <w:rPr>
          <w:sz w:val="16"/>
          <w:szCs w:val="16"/>
        </w:rPr>
        <w:t>outpaced</w:t>
      </w:r>
      <w:r w:rsidR="00233755" w:rsidRPr="00EA2D70">
        <w:rPr>
          <w:sz w:val="16"/>
          <w:szCs w:val="16"/>
        </w:rPr>
        <w:t xml:space="preserve"> employment growth </w:t>
      </w:r>
      <w:r w:rsidR="00196CFF" w:rsidRPr="00EA2D70">
        <w:rPr>
          <w:sz w:val="16"/>
          <w:szCs w:val="16"/>
        </w:rPr>
        <w:t xml:space="preserve">over the past </w:t>
      </w:r>
      <w:r w:rsidR="009B08F3" w:rsidRPr="00EA2D70">
        <w:rPr>
          <w:sz w:val="16"/>
          <w:szCs w:val="16"/>
        </w:rPr>
        <w:t>six</w:t>
      </w:r>
      <w:r w:rsidR="00196CFF" w:rsidRPr="00EA2D70">
        <w:rPr>
          <w:sz w:val="16"/>
          <w:szCs w:val="16"/>
        </w:rPr>
        <w:t xml:space="preserve"> months</w:t>
      </w:r>
      <w:r w:rsidR="005D20A9" w:rsidRPr="00EA2D70">
        <w:rPr>
          <w:sz w:val="16"/>
          <w:szCs w:val="16"/>
        </w:rPr>
        <w:t>.</w:t>
      </w:r>
      <w:r w:rsidR="00DF6549" w:rsidRPr="00EA2D70">
        <w:rPr>
          <w:sz w:val="16"/>
          <w:szCs w:val="16"/>
        </w:rPr>
        <w:t xml:space="preserve"> </w:t>
      </w:r>
      <w:r w:rsidR="00233755" w:rsidRPr="00EA2D70">
        <w:rPr>
          <w:sz w:val="16"/>
          <w:szCs w:val="16"/>
        </w:rPr>
        <w:t xml:space="preserve">Western Australia’s annual average monthly hours worked in all jobs rose </w:t>
      </w:r>
      <w:r w:rsidR="00196CFF" w:rsidRPr="00EA2D70">
        <w:rPr>
          <w:sz w:val="16"/>
          <w:szCs w:val="16"/>
        </w:rPr>
        <w:t>4.</w:t>
      </w:r>
      <w:r w:rsidR="00493100" w:rsidRPr="00EA2D70">
        <w:rPr>
          <w:sz w:val="16"/>
          <w:szCs w:val="16"/>
        </w:rPr>
        <w:t>1</w:t>
      </w:r>
      <w:r w:rsidR="00233755" w:rsidRPr="00EA2D70">
        <w:rPr>
          <w:sz w:val="16"/>
          <w:szCs w:val="16"/>
        </w:rPr>
        <w:t xml:space="preserve">% to </w:t>
      </w:r>
      <w:r w:rsidR="00F94267" w:rsidRPr="00EA2D70">
        <w:rPr>
          <w:sz w:val="16"/>
          <w:szCs w:val="16"/>
        </w:rPr>
        <w:t>233.</w:t>
      </w:r>
      <w:r w:rsidR="00075804" w:rsidRPr="00EA2D70">
        <w:rPr>
          <w:sz w:val="16"/>
          <w:szCs w:val="16"/>
        </w:rPr>
        <w:t>6</w:t>
      </w:r>
      <w:r w:rsidR="00233755" w:rsidRPr="00EA2D70">
        <w:rPr>
          <w:sz w:val="16"/>
          <w:szCs w:val="16"/>
        </w:rPr>
        <w:t xml:space="preserve"> million hours in </w:t>
      </w:r>
      <w:r w:rsidR="00075804" w:rsidRPr="00EA2D70">
        <w:rPr>
          <w:sz w:val="16"/>
          <w:szCs w:val="16"/>
        </w:rPr>
        <w:t>September</w:t>
      </w:r>
      <w:r w:rsidR="00233755" w:rsidRPr="00EA2D70">
        <w:rPr>
          <w:sz w:val="16"/>
          <w:szCs w:val="16"/>
        </w:rPr>
        <w:t> 2025.</w:t>
      </w:r>
    </w:p>
    <w:bookmarkEnd w:id="17"/>
    <w:p w14:paraId="77D8BAED" w14:textId="0AAECD8F" w:rsidR="00233755" w:rsidRPr="00EA2D70" w:rsidRDefault="00233755" w:rsidP="006058E8">
      <w:pPr>
        <w:pStyle w:val="ListParagraph"/>
        <w:numPr>
          <w:ilvl w:val="0"/>
          <w:numId w:val="9"/>
        </w:numPr>
        <w:spacing w:before="40" w:after="40"/>
        <w:ind w:left="357" w:right="227" w:hanging="357"/>
        <w:contextualSpacing w:val="0"/>
        <w:jc w:val="both"/>
        <w:rPr>
          <w:sz w:val="16"/>
          <w:szCs w:val="16"/>
        </w:rPr>
      </w:pPr>
      <w:r w:rsidRPr="00EA2D70">
        <w:rPr>
          <w:sz w:val="16"/>
          <w:szCs w:val="16"/>
        </w:rPr>
        <w:t xml:space="preserve">With growth in hours worked </w:t>
      </w:r>
      <w:r w:rsidR="00DF6549" w:rsidRPr="00EA2D70">
        <w:rPr>
          <w:sz w:val="16"/>
          <w:szCs w:val="16"/>
        </w:rPr>
        <w:t>higher than</w:t>
      </w:r>
      <w:r w:rsidRPr="00EA2D70">
        <w:rPr>
          <w:sz w:val="16"/>
          <w:szCs w:val="16"/>
        </w:rPr>
        <w:t xml:space="preserve"> growth in employment, there was a </w:t>
      </w:r>
      <w:r w:rsidR="00F94267" w:rsidRPr="00EA2D70">
        <w:rPr>
          <w:sz w:val="16"/>
          <w:szCs w:val="16"/>
        </w:rPr>
        <w:t>1.</w:t>
      </w:r>
      <w:r w:rsidR="000D21D3" w:rsidRPr="00EA2D70">
        <w:rPr>
          <w:sz w:val="16"/>
          <w:szCs w:val="16"/>
        </w:rPr>
        <w:t>5</w:t>
      </w:r>
      <w:r w:rsidR="00F14A28" w:rsidRPr="00EA2D70">
        <w:rPr>
          <w:sz w:val="16"/>
          <w:szCs w:val="16"/>
        </w:rPr>
        <w:t xml:space="preserve">% </w:t>
      </w:r>
      <w:r w:rsidRPr="00EA2D70">
        <w:rPr>
          <w:sz w:val="16"/>
          <w:szCs w:val="16"/>
        </w:rPr>
        <w:t>increase in the annual average of hours worked per</w:t>
      </w:r>
      <w:r w:rsidR="008B59E8" w:rsidRPr="00EA2D70">
        <w:rPr>
          <w:sz w:val="16"/>
          <w:szCs w:val="16"/>
        </w:rPr>
        <w:t> </w:t>
      </w:r>
      <w:r w:rsidRPr="00EA2D70">
        <w:rPr>
          <w:sz w:val="16"/>
          <w:szCs w:val="16"/>
        </w:rPr>
        <w:t xml:space="preserve">employed person (per month) in </w:t>
      </w:r>
      <w:r w:rsidR="000D21D3" w:rsidRPr="00EA2D70">
        <w:rPr>
          <w:sz w:val="16"/>
          <w:szCs w:val="16"/>
        </w:rPr>
        <w:t>September</w:t>
      </w:r>
      <w:r w:rsidRPr="00EA2D70">
        <w:rPr>
          <w:sz w:val="16"/>
          <w:szCs w:val="16"/>
        </w:rPr>
        <w:t> 2025 to 14</w:t>
      </w:r>
      <w:r w:rsidR="00F14A28" w:rsidRPr="00EA2D70">
        <w:rPr>
          <w:sz w:val="16"/>
          <w:szCs w:val="16"/>
        </w:rPr>
        <w:t>1.</w:t>
      </w:r>
      <w:r w:rsidR="000D21D3" w:rsidRPr="00EA2D70">
        <w:rPr>
          <w:sz w:val="16"/>
          <w:szCs w:val="16"/>
        </w:rPr>
        <w:t>9</w:t>
      </w:r>
      <w:r w:rsidR="00F37B51" w:rsidRPr="00EA2D70">
        <w:rPr>
          <w:sz w:val="16"/>
          <w:szCs w:val="16"/>
        </w:rPr>
        <w:t> </w:t>
      </w:r>
      <w:r w:rsidRPr="00EA2D70">
        <w:rPr>
          <w:sz w:val="16"/>
          <w:szCs w:val="16"/>
        </w:rPr>
        <w:t>hours.</w:t>
      </w:r>
    </w:p>
    <w:p w14:paraId="508817DF" w14:textId="77777777" w:rsidR="00233755" w:rsidRPr="00433FA4" w:rsidRDefault="00233755" w:rsidP="006058E8">
      <w:pPr>
        <w:pStyle w:val="ListParagraph"/>
        <w:numPr>
          <w:ilvl w:val="0"/>
          <w:numId w:val="10"/>
        </w:numPr>
        <w:spacing w:before="40" w:after="40"/>
        <w:ind w:hanging="357"/>
        <w:contextualSpacing w:val="0"/>
        <w:jc w:val="both"/>
        <w:rPr>
          <w:sz w:val="16"/>
          <w:szCs w:val="16"/>
        </w:rPr>
        <w:sectPr w:rsidR="00233755" w:rsidRPr="00433FA4" w:rsidSect="00233755">
          <w:type w:val="continuous"/>
          <w:pgSz w:w="11907" w:h="16840" w:code="9"/>
          <w:pgMar w:top="1701" w:right="425" w:bottom="567" w:left="567" w:header="709" w:footer="709" w:gutter="0"/>
          <w:cols w:num="2" w:space="113"/>
          <w:docGrid w:linePitch="360"/>
        </w:sectPr>
      </w:pPr>
    </w:p>
    <w:p w14:paraId="1008B6EF" w14:textId="16058E0C"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Employment by industry (change):</w:t>
      </w:r>
      <w:r w:rsidR="00FD5EF3">
        <w:rPr>
          <w:i w:val="0"/>
          <w:iCs w:val="0"/>
          <w:color w:val="00997A"/>
          <w:sz w:val="20"/>
          <w:szCs w:val="20"/>
        </w:rPr>
        <w:t xml:space="preserve"> Se</w:t>
      </w:r>
      <w:r w:rsidR="00337744">
        <w:rPr>
          <w:i w:val="0"/>
          <w:iCs w:val="0"/>
          <w:color w:val="00997A"/>
          <w:sz w:val="20"/>
          <w:szCs w:val="20"/>
        </w:rPr>
        <w:t>p</w:t>
      </w:r>
      <w:r w:rsidR="00FD5EF3">
        <w:rPr>
          <w:i w:val="0"/>
          <w:iCs w:val="0"/>
          <w:color w:val="00997A"/>
          <w:sz w:val="20"/>
          <w:szCs w:val="20"/>
        </w:rPr>
        <w:t>tember</w:t>
      </w:r>
      <w:r w:rsidR="00337744">
        <w:rPr>
          <w:i w:val="0"/>
          <w:iCs w:val="0"/>
          <w:color w:val="00997A"/>
          <w:sz w:val="20"/>
          <w:szCs w:val="20"/>
        </w:rPr>
        <w:t xml:space="preserve"> </w:t>
      </w:r>
      <w:r w:rsidRPr="00CF7CD6">
        <w:rPr>
          <w:i w:val="0"/>
          <w:iCs w:val="0"/>
          <w:color w:val="00997A"/>
          <w:sz w:val="20"/>
          <w:szCs w:val="20"/>
        </w:rPr>
        <w:t>quarter 2025</w:t>
      </w:r>
    </w:p>
    <w:p w14:paraId="55830151" w14:textId="1C42547F" w:rsidR="00626E22" w:rsidRPr="007B1AE5" w:rsidRDefault="00630DB8" w:rsidP="00626E22">
      <w:pPr>
        <w:rPr>
          <w:rFonts w:eastAsiaTheme="majorEastAsia"/>
        </w:rPr>
      </w:pPr>
      <w:r>
        <w:rPr>
          <w:rFonts w:eastAsiaTheme="majorEastAsia"/>
          <w:noProof/>
        </w:rPr>
        <w:drawing>
          <wp:inline distT="0" distB="0" distL="0" distR="0" wp14:anchorId="189F1A99" wp14:editId="7C7C0534">
            <wp:extent cx="3410130" cy="2106202"/>
            <wp:effectExtent l="0" t="0" r="0" b="8890"/>
            <wp:docPr id="3567222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3969" cy="2114749"/>
                    </a:xfrm>
                    <a:prstGeom prst="rect">
                      <a:avLst/>
                    </a:prstGeom>
                    <a:noFill/>
                    <a:ln>
                      <a:noFill/>
                    </a:ln>
                  </pic:spPr>
                </pic:pic>
              </a:graphicData>
            </a:graphic>
          </wp:inline>
        </w:drawing>
      </w:r>
    </w:p>
    <w:p w14:paraId="7CFB675C" w14:textId="1DD660A3" w:rsidR="00233755" w:rsidRPr="00AF759E" w:rsidRDefault="00233755" w:rsidP="00233755">
      <w:pPr>
        <w:jc w:val="both"/>
        <w:rPr>
          <w:sz w:val="10"/>
          <w:szCs w:val="10"/>
        </w:rPr>
      </w:pPr>
      <w:r w:rsidRPr="000C0C45">
        <w:rPr>
          <w:sz w:val="10"/>
        </w:rPr>
        <w:t xml:space="preserve">Note – </w:t>
      </w:r>
      <w:r w:rsidRPr="00AF759E">
        <w:rPr>
          <w:sz w:val="10"/>
          <w:szCs w:val="10"/>
        </w:rPr>
        <w:t>Original series. Change between the sum of the latest four quarters and the sum of the same quarters of the previous year.</w:t>
      </w:r>
      <w:r w:rsidRPr="00CF411A">
        <w:rPr>
          <w:sz w:val="10"/>
          <w:szCs w:val="10"/>
        </w:rPr>
        <w:t xml:space="preserve"> </w:t>
      </w:r>
      <w:r w:rsidRPr="00AF759E">
        <w:rPr>
          <w:sz w:val="10"/>
          <w:szCs w:val="10"/>
        </w:rPr>
        <w:t xml:space="preserve">Data is collected for the middle month of each quarter </w:t>
      </w:r>
      <w:r>
        <w:rPr>
          <w:sz w:val="10"/>
          <w:szCs w:val="10"/>
        </w:rPr>
        <w:t>(</w:t>
      </w:r>
      <w:r w:rsidRPr="00AF759E">
        <w:rPr>
          <w:sz w:val="10"/>
          <w:szCs w:val="10"/>
        </w:rPr>
        <w:t>February, May, August and November</w:t>
      </w:r>
      <w:r>
        <w:rPr>
          <w:sz w:val="10"/>
          <w:szCs w:val="10"/>
        </w:rPr>
        <w:t>)</w:t>
      </w:r>
      <w:r w:rsidRPr="00AF759E">
        <w:rPr>
          <w:sz w:val="10"/>
          <w:szCs w:val="10"/>
        </w:rPr>
        <w:t>.</w:t>
      </w:r>
    </w:p>
    <w:p w14:paraId="53B9294F" w14:textId="77777777" w:rsidR="00233755" w:rsidRPr="00AF759E" w:rsidRDefault="00233755" w:rsidP="00233755">
      <w:pPr>
        <w:jc w:val="both"/>
        <w:rPr>
          <w:sz w:val="10"/>
          <w:szCs w:val="10"/>
        </w:rPr>
      </w:pPr>
      <w:r w:rsidRPr="00AF759E">
        <w:rPr>
          <w:sz w:val="10"/>
          <w:szCs w:val="10"/>
        </w:rPr>
        <w:t>Source: Based on ABS data.</w:t>
      </w:r>
    </w:p>
    <w:p w14:paraId="36BD7E75" w14:textId="62B3B9A0" w:rsidR="00F439A9" w:rsidRPr="0044256D"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4B1F6A" w:rsidRPr="0044256D">
        <w:rPr>
          <w:color w:val="000000" w:themeColor="text1"/>
          <w:sz w:val="16"/>
          <w:szCs w:val="16"/>
        </w:rPr>
        <w:t xml:space="preserve">Retail trade </w:t>
      </w:r>
      <w:r w:rsidR="003E3097" w:rsidRPr="0044256D">
        <w:rPr>
          <w:color w:val="000000" w:themeColor="text1"/>
          <w:sz w:val="16"/>
          <w:szCs w:val="16"/>
        </w:rPr>
        <w:t>had the largest rise in average employment in Western Australia</w:t>
      </w:r>
      <w:r w:rsidR="00626E22" w:rsidRPr="0044256D">
        <w:rPr>
          <w:color w:val="000000" w:themeColor="text1"/>
          <w:sz w:val="16"/>
          <w:szCs w:val="16"/>
        </w:rPr>
        <w:t xml:space="preserve"> in the four quarters to September 2025</w:t>
      </w:r>
      <w:r w:rsidR="003E3097" w:rsidRPr="0044256D">
        <w:rPr>
          <w:color w:val="000000" w:themeColor="text1"/>
          <w:sz w:val="16"/>
          <w:szCs w:val="16"/>
        </w:rPr>
        <w:t xml:space="preserve">, </w:t>
      </w:r>
      <w:r w:rsidR="00626E22" w:rsidRPr="0044256D">
        <w:rPr>
          <w:color w:val="000000" w:themeColor="text1"/>
          <w:sz w:val="16"/>
          <w:szCs w:val="16"/>
        </w:rPr>
        <w:t xml:space="preserve">increasing by </w:t>
      </w:r>
      <w:r w:rsidR="004B1F6A" w:rsidRPr="0044256D">
        <w:rPr>
          <w:color w:val="000000" w:themeColor="text1"/>
          <w:sz w:val="16"/>
          <w:szCs w:val="16"/>
        </w:rPr>
        <w:t>13,128</w:t>
      </w:r>
      <w:r w:rsidR="003E3097" w:rsidRPr="0044256D">
        <w:rPr>
          <w:color w:val="000000" w:themeColor="text1"/>
          <w:sz w:val="16"/>
          <w:szCs w:val="16"/>
        </w:rPr>
        <w:t>.</w:t>
      </w:r>
    </w:p>
    <w:p w14:paraId="5DFC2326" w14:textId="4DCC624E" w:rsidR="003E3097" w:rsidRPr="0044256D" w:rsidRDefault="004B1F6A" w:rsidP="006058E8">
      <w:pPr>
        <w:pStyle w:val="ListParagraph"/>
        <w:numPr>
          <w:ilvl w:val="0"/>
          <w:numId w:val="9"/>
        </w:numPr>
        <w:spacing w:before="40" w:after="40"/>
        <w:ind w:right="227" w:hanging="357"/>
        <w:contextualSpacing w:val="0"/>
        <w:jc w:val="both"/>
        <w:rPr>
          <w:color w:val="000000" w:themeColor="text1"/>
          <w:sz w:val="16"/>
          <w:szCs w:val="16"/>
        </w:rPr>
      </w:pPr>
      <w:r w:rsidRPr="0044256D">
        <w:rPr>
          <w:color w:val="000000" w:themeColor="text1"/>
          <w:sz w:val="16"/>
          <w:szCs w:val="16"/>
        </w:rPr>
        <w:t>Public a</w:t>
      </w:r>
      <w:r w:rsidR="003E3097" w:rsidRPr="0044256D">
        <w:rPr>
          <w:color w:val="000000" w:themeColor="text1"/>
          <w:sz w:val="16"/>
          <w:szCs w:val="16"/>
        </w:rPr>
        <w:t xml:space="preserve">dministration and </w:t>
      </w:r>
      <w:r w:rsidRPr="0044256D">
        <w:rPr>
          <w:color w:val="000000" w:themeColor="text1"/>
          <w:sz w:val="16"/>
          <w:szCs w:val="16"/>
        </w:rPr>
        <w:t xml:space="preserve">safety </w:t>
      </w:r>
      <w:r w:rsidR="003E3097" w:rsidRPr="0044256D">
        <w:rPr>
          <w:color w:val="000000" w:themeColor="text1"/>
          <w:sz w:val="16"/>
          <w:szCs w:val="16"/>
        </w:rPr>
        <w:t xml:space="preserve">(up </w:t>
      </w:r>
      <w:r w:rsidRPr="0044256D">
        <w:rPr>
          <w:color w:val="000000" w:themeColor="text1"/>
          <w:sz w:val="16"/>
          <w:szCs w:val="16"/>
        </w:rPr>
        <w:t>9,033</w:t>
      </w:r>
      <w:r w:rsidR="003E3097" w:rsidRPr="0044256D">
        <w:rPr>
          <w:color w:val="000000" w:themeColor="text1"/>
          <w:sz w:val="16"/>
          <w:szCs w:val="16"/>
        </w:rPr>
        <w:t xml:space="preserve">) and </w:t>
      </w:r>
      <w:r w:rsidRPr="0044256D">
        <w:rPr>
          <w:color w:val="000000" w:themeColor="text1"/>
          <w:sz w:val="16"/>
          <w:szCs w:val="16"/>
        </w:rPr>
        <w:t>electricity, gas, water and waste services</w:t>
      </w:r>
      <w:r w:rsidR="003E3097" w:rsidRPr="0044256D">
        <w:rPr>
          <w:color w:val="000000" w:themeColor="text1"/>
          <w:sz w:val="16"/>
          <w:szCs w:val="16"/>
        </w:rPr>
        <w:t xml:space="preserve"> (up 8,</w:t>
      </w:r>
      <w:r w:rsidRPr="0044256D">
        <w:rPr>
          <w:color w:val="000000" w:themeColor="text1"/>
          <w:sz w:val="16"/>
          <w:szCs w:val="16"/>
        </w:rPr>
        <w:t>560</w:t>
      </w:r>
      <w:r w:rsidR="003E3097" w:rsidRPr="0044256D">
        <w:rPr>
          <w:color w:val="000000" w:themeColor="text1"/>
          <w:sz w:val="16"/>
          <w:szCs w:val="16"/>
        </w:rPr>
        <w:t>) also had large increases in average employment over the same period.</w:t>
      </w:r>
    </w:p>
    <w:p w14:paraId="2CDD5BAC" w14:textId="248D1DCB" w:rsidR="003E3097" w:rsidRPr="0044256D" w:rsidRDefault="003E3097" w:rsidP="006058E8">
      <w:pPr>
        <w:pStyle w:val="ListParagraph"/>
        <w:numPr>
          <w:ilvl w:val="0"/>
          <w:numId w:val="9"/>
        </w:numPr>
        <w:spacing w:before="40" w:after="40"/>
        <w:ind w:right="227" w:hanging="357"/>
        <w:contextualSpacing w:val="0"/>
        <w:jc w:val="both"/>
        <w:rPr>
          <w:color w:val="000000" w:themeColor="text1"/>
          <w:sz w:val="16"/>
          <w:szCs w:val="16"/>
        </w:rPr>
      </w:pPr>
      <w:r w:rsidRPr="0044256D">
        <w:rPr>
          <w:color w:val="000000" w:themeColor="text1"/>
          <w:sz w:val="16"/>
          <w:szCs w:val="16"/>
        </w:rPr>
        <w:t>Wholesale trade had the largest fall in average employment in Western Australia</w:t>
      </w:r>
      <w:r w:rsidR="00626E22" w:rsidRPr="0044256D">
        <w:rPr>
          <w:color w:val="000000" w:themeColor="text1"/>
          <w:sz w:val="16"/>
          <w:szCs w:val="16"/>
        </w:rPr>
        <w:t xml:space="preserve"> in the four quarters to September 2025</w:t>
      </w:r>
      <w:r w:rsidRPr="0044256D">
        <w:rPr>
          <w:color w:val="000000" w:themeColor="text1"/>
          <w:sz w:val="16"/>
          <w:szCs w:val="16"/>
        </w:rPr>
        <w:t>, falling by 9,</w:t>
      </w:r>
      <w:r w:rsidR="00C1731A" w:rsidRPr="0044256D">
        <w:rPr>
          <w:color w:val="000000" w:themeColor="text1"/>
          <w:sz w:val="16"/>
          <w:szCs w:val="16"/>
        </w:rPr>
        <w:t>781</w:t>
      </w:r>
      <w:r w:rsidRPr="0044256D">
        <w:rPr>
          <w:color w:val="000000" w:themeColor="text1"/>
          <w:sz w:val="16"/>
          <w:szCs w:val="16"/>
        </w:rPr>
        <w:t xml:space="preserve"> between, followed by </w:t>
      </w:r>
      <w:r w:rsidR="00C1731A" w:rsidRPr="0044256D">
        <w:rPr>
          <w:color w:val="000000" w:themeColor="text1"/>
          <w:sz w:val="16"/>
          <w:szCs w:val="16"/>
        </w:rPr>
        <w:t>health care and social assistance (down</w:t>
      </w:r>
      <w:r w:rsidR="00626E22" w:rsidRPr="0044256D">
        <w:rPr>
          <w:color w:val="000000" w:themeColor="text1"/>
          <w:sz w:val="16"/>
          <w:szCs w:val="16"/>
        </w:rPr>
        <w:t> </w:t>
      </w:r>
      <w:r w:rsidR="00C1731A" w:rsidRPr="0044256D">
        <w:rPr>
          <w:color w:val="000000" w:themeColor="text1"/>
          <w:sz w:val="16"/>
          <w:szCs w:val="16"/>
        </w:rPr>
        <w:t>9,322) and finance and insurance services</w:t>
      </w:r>
      <w:r w:rsidRPr="0044256D">
        <w:rPr>
          <w:color w:val="000000" w:themeColor="text1"/>
          <w:sz w:val="16"/>
          <w:szCs w:val="16"/>
        </w:rPr>
        <w:t xml:space="preserve"> (down 4,</w:t>
      </w:r>
      <w:r w:rsidR="00C1731A" w:rsidRPr="0044256D">
        <w:rPr>
          <w:color w:val="000000" w:themeColor="text1"/>
          <w:sz w:val="16"/>
          <w:szCs w:val="16"/>
        </w:rPr>
        <w:t>3</w:t>
      </w:r>
      <w:r w:rsidRPr="0044256D">
        <w:rPr>
          <w:color w:val="000000" w:themeColor="text1"/>
          <w:sz w:val="16"/>
          <w:szCs w:val="16"/>
        </w:rPr>
        <w:t>08)</w:t>
      </w:r>
      <w:r w:rsidR="00C1731A" w:rsidRPr="0044256D">
        <w:rPr>
          <w:color w:val="000000" w:themeColor="text1"/>
          <w:sz w:val="16"/>
          <w:szCs w:val="16"/>
        </w:rPr>
        <w:t>.</w:t>
      </w:r>
    </w:p>
    <w:p w14:paraId="79D5A81A" w14:textId="43129A6B" w:rsidR="00233755" w:rsidRPr="00845A8D" w:rsidRDefault="00233755" w:rsidP="006058E8">
      <w:pPr>
        <w:pStyle w:val="ListParagraph"/>
        <w:numPr>
          <w:ilvl w:val="0"/>
          <w:numId w:val="9"/>
        </w:numPr>
        <w:spacing w:before="40" w:after="40"/>
        <w:ind w:right="227" w:hanging="357"/>
        <w:contextualSpacing w:val="0"/>
        <w:jc w:val="both"/>
        <w:rPr>
          <w:sz w:val="16"/>
          <w:szCs w:val="16"/>
        </w:rPr>
        <w:sectPr w:rsidR="00233755" w:rsidRPr="00845A8D" w:rsidSect="00233755">
          <w:type w:val="continuous"/>
          <w:pgSz w:w="11907" w:h="16840" w:code="9"/>
          <w:pgMar w:top="1701" w:right="425" w:bottom="567" w:left="567" w:header="709" w:footer="709" w:gutter="0"/>
          <w:cols w:num="2" w:space="113"/>
          <w:docGrid w:linePitch="360"/>
        </w:sectPr>
      </w:pPr>
    </w:p>
    <w:p w14:paraId="149EF269"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Participation rate</w:t>
      </w:r>
    </w:p>
    <w:p w14:paraId="30C652E1" w14:textId="571F2BD2" w:rsidR="00233755" w:rsidRPr="007B1AE5" w:rsidRDefault="00F54398" w:rsidP="00233755">
      <w:pPr>
        <w:rPr>
          <w:rFonts w:eastAsiaTheme="majorEastAsia"/>
        </w:rPr>
      </w:pPr>
      <w:r>
        <w:rPr>
          <w:rFonts w:eastAsiaTheme="majorEastAsia"/>
          <w:noProof/>
        </w:rPr>
        <w:drawing>
          <wp:inline distT="0" distB="0" distL="0" distR="0" wp14:anchorId="44BEF426" wp14:editId="20133A15">
            <wp:extent cx="3407466" cy="2022764"/>
            <wp:effectExtent l="0" t="0" r="2540" b="0"/>
            <wp:docPr id="629230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8599" cy="2029373"/>
                    </a:xfrm>
                    <a:prstGeom prst="rect">
                      <a:avLst/>
                    </a:prstGeom>
                    <a:noFill/>
                    <a:ln>
                      <a:noFill/>
                    </a:ln>
                  </pic:spPr>
                </pic:pic>
              </a:graphicData>
            </a:graphic>
          </wp:inline>
        </w:drawing>
      </w:r>
    </w:p>
    <w:p w14:paraId="4366461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Monthly series.</w:t>
      </w:r>
    </w:p>
    <w:p w14:paraId="459B138E" w14:textId="77777777" w:rsidR="00233755" w:rsidRPr="00AF759E" w:rsidRDefault="00233755" w:rsidP="00233755">
      <w:pPr>
        <w:jc w:val="both"/>
        <w:rPr>
          <w:sz w:val="10"/>
          <w:szCs w:val="10"/>
        </w:rPr>
      </w:pPr>
      <w:r w:rsidRPr="00AF759E">
        <w:rPr>
          <w:sz w:val="10"/>
          <w:szCs w:val="10"/>
        </w:rPr>
        <w:t>Source: Based on ABS data.</w:t>
      </w:r>
    </w:p>
    <w:p w14:paraId="694A0174" w14:textId="6B18183C" w:rsidR="00233755" w:rsidRPr="00EA2D70"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EA2D70">
        <w:rPr>
          <w:sz w:val="16"/>
          <w:szCs w:val="16"/>
        </w:rPr>
        <w:t xml:space="preserve">Western Australia’s participation rate was </w:t>
      </w:r>
      <w:r w:rsidR="00546366" w:rsidRPr="00EA2D70">
        <w:rPr>
          <w:sz w:val="16"/>
          <w:szCs w:val="16"/>
        </w:rPr>
        <w:t>68.4</w:t>
      </w:r>
      <w:r w:rsidR="008A7F0E" w:rsidRPr="00EA2D70">
        <w:rPr>
          <w:sz w:val="16"/>
          <w:szCs w:val="16"/>
        </w:rPr>
        <w:t>%</w:t>
      </w:r>
      <w:r w:rsidRPr="00EA2D70">
        <w:rPr>
          <w:sz w:val="16"/>
          <w:szCs w:val="16"/>
        </w:rPr>
        <w:t xml:space="preserve"> in </w:t>
      </w:r>
      <w:r w:rsidR="00546366" w:rsidRPr="00EA2D70">
        <w:rPr>
          <w:sz w:val="16"/>
          <w:szCs w:val="16"/>
        </w:rPr>
        <w:t>September</w:t>
      </w:r>
      <w:r w:rsidRPr="00EA2D70">
        <w:rPr>
          <w:sz w:val="16"/>
          <w:szCs w:val="16"/>
        </w:rPr>
        <w:t xml:space="preserve"> 2025, </w:t>
      </w:r>
      <w:r w:rsidR="00546366" w:rsidRPr="00EA2D70">
        <w:rPr>
          <w:sz w:val="16"/>
          <w:szCs w:val="16"/>
        </w:rPr>
        <w:t>up</w:t>
      </w:r>
      <w:r w:rsidR="00493100" w:rsidRPr="00EA2D70">
        <w:rPr>
          <w:sz w:val="16"/>
          <w:szCs w:val="16"/>
        </w:rPr>
        <w:t xml:space="preserve"> from 6</w:t>
      </w:r>
      <w:r w:rsidR="00546366" w:rsidRPr="00EA2D70">
        <w:rPr>
          <w:sz w:val="16"/>
          <w:szCs w:val="16"/>
        </w:rPr>
        <w:t>8</w:t>
      </w:r>
      <w:r w:rsidR="00493100" w:rsidRPr="00EA2D70">
        <w:rPr>
          <w:sz w:val="16"/>
          <w:szCs w:val="16"/>
        </w:rPr>
        <w:t xml:space="preserve">.0% in </w:t>
      </w:r>
      <w:r w:rsidR="00FA757C" w:rsidRPr="00EA2D70">
        <w:rPr>
          <w:sz w:val="16"/>
          <w:szCs w:val="16"/>
        </w:rPr>
        <w:t>Aug</w:t>
      </w:r>
      <w:r w:rsidR="0039119E" w:rsidRPr="00EA2D70">
        <w:rPr>
          <w:sz w:val="16"/>
          <w:szCs w:val="16"/>
        </w:rPr>
        <w:t>ust</w:t>
      </w:r>
      <w:r w:rsidR="009D1625" w:rsidRPr="00EA2D70">
        <w:rPr>
          <w:sz w:val="16"/>
          <w:szCs w:val="16"/>
        </w:rPr>
        <w:t> </w:t>
      </w:r>
      <w:r w:rsidR="00493100" w:rsidRPr="00EA2D70">
        <w:rPr>
          <w:sz w:val="16"/>
          <w:szCs w:val="16"/>
        </w:rPr>
        <w:t>2025</w:t>
      </w:r>
      <w:r w:rsidRPr="00EA2D70">
        <w:rPr>
          <w:sz w:val="16"/>
          <w:szCs w:val="16"/>
        </w:rPr>
        <w:t>.</w:t>
      </w:r>
    </w:p>
    <w:p w14:paraId="5726BB4C" w14:textId="3C4A199D" w:rsidR="00233755" w:rsidRPr="00EA2D70" w:rsidRDefault="00233755" w:rsidP="006058E8">
      <w:pPr>
        <w:pStyle w:val="ListParagraph"/>
        <w:numPr>
          <w:ilvl w:val="0"/>
          <w:numId w:val="9"/>
        </w:numPr>
        <w:spacing w:before="40" w:after="40"/>
        <w:ind w:left="357" w:right="227" w:hanging="357"/>
        <w:contextualSpacing w:val="0"/>
        <w:jc w:val="both"/>
        <w:rPr>
          <w:sz w:val="16"/>
          <w:szCs w:val="16"/>
        </w:rPr>
      </w:pPr>
      <w:r w:rsidRPr="00EA2D70">
        <w:rPr>
          <w:sz w:val="16"/>
          <w:szCs w:val="16"/>
        </w:rPr>
        <w:t xml:space="preserve">Australia’s participation rate was </w:t>
      </w:r>
      <w:r w:rsidR="007E360D" w:rsidRPr="00EA2D70">
        <w:rPr>
          <w:sz w:val="16"/>
          <w:szCs w:val="16"/>
        </w:rPr>
        <w:t>67.0</w:t>
      </w:r>
      <w:r w:rsidRPr="00EA2D70">
        <w:rPr>
          <w:sz w:val="16"/>
          <w:szCs w:val="16"/>
        </w:rPr>
        <w:t xml:space="preserve">% in </w:t>
      </w:r>
      <w:r w:rsidR="0039119E" w:rsidRPr="00EA2D70">
        <w:rPr>
          <w:sz w:val="16"/>
          <w:szCs w:val="16"/>
        </w:rPr>
        <w:t>September </w:t>
      </w:r>
      <w:r w:rsidRPr="00EA2D70">
        <w:rPr>
          <w:sz w:val="16"/>
          <w:szCs w:val="16"/>
        </w:rPr>
        <w:t xml:space="preserve">2025, </w:t>
      </w:r>
      <w:r w:rsidR="007E360D" w:rsidRPr="00EA2D70">
        <w:rPr>
          <w:sz w:val="16"/>
          <w:szCs w:val="16"/>
        </w:rPr>
        <w:t>up</w:t>
      </w:r>
      <w:r w:rsidR="00493100" w:rsidRPr="00EA2D70">
        <w:rPr>
          <w:sz w:val="16"/>
          <w:szCs w:val="16"/>
        </w:rPr>
        <w:t xml:space="preserve"> from </w:t>
      </w:r>
      <w:r w:rsidR="007E360D" w:rsidRPr="00EA2D70">
        <w:rPr>
          <w:sz w:val="16"/>
          <w:szCs w:val="16"/>
        </w:rPr>
        <w:t>66.9</w:t>
      </w:r>
      <w:r w:rsidR="00493100" w:rsidRPr="00EA2D70">
        <w:rPr>
          <w:sz w:val="16"/>
          <w:szCs w:val="16"/>
        </w:rPr>
        <w:t xml:space="preserve">% in </w:t>
      </w:r>
      <w:r w:rsidR="004767F8" w:rsidRPr="00EA2D70">
        <w:rPr>
          <w:sz w:val="16"/>
          <w:szCs w:val="16"/>
        </w:rPr>
        <w:t>August</w:t>
      </w:r>
      <w:r w:rsidR="009D1625" w:rsidRPr="00EA2D70">
        <w:rPr>
          <w:sz w:val="16"/>
          <w:szCs w:val="16"/>
        </w:rPr>
        <w:t> </w:t>
      </w:r>
      <w:r w:rsidR="00493100" w:rsidRPr="00EA2D70">
        <w:rPr>
          <w:sz w:val="16"/>
          <w:szCs w:val="16"/>
        </w:rPr>
        <w:t>2025.</w:t>
      </w:r>
    </w:p>
    <w:p w14:paraId="03EC2BA1" w14:textId="77777777" w:rsidR="00233755" w:rsidRPr="00F439A9" w:rsidRDefault="00233755" w:rsidP="006058E8">
      <w:pPr>
        <w:pStyle w:val="ListParagraph"/>
        <w:numPr>
          <w:ilvl w:val="0"/>
          <w:numId w:val="9"/>
        </w:numPr>
        <w:spacing w:before="40" w:after="40"/>
        <w:ind w:left="357" w:right="227" w:hanging="357"/>
        <w:contextualSpacing w:val="0"/>
        <w:jc w:val="both"/>
        <w:rPr>
          <w:sz w:val="16"/>
          <w:szCs w:val="16"/>
        </w:rPr>
      </w:pPr>
      <w:r w:rsidRPr="00F439A9">
        <w:rPr>
          <w:sz w:val="16"/>
          <w:szCs w:val="16"/>
        </w:rPr>
        <w:t>Western Australia’s participation rate has consistently been higher than Australia’s participation rate. The largest recorded difference was in October 2012 at 4.5 percentage points.</w:t>
      </w:r>
    </w:p>
    <w:p w14:paraId="16526AE0" w14:textId="72CD3159" w:rsidR="00233755" w:rsidRPr="00F439A9" w:rsidRDefault="008714BB" w:rsidP="006058E8">
      <w:pPr>
        <w:pStyle w:val="ListParagraph"/>
        <w:numPr>
          <w:ilvl w:val="0"/>
          <w:numId w:val="9"/>
        </w:numPr>
        <w:spacing w:before="40" w:after="40"/>
        <w:ind w:left="357" w:right="227" w:hanging="357"/>
        <w:contextualSpacing w:val="0"/>
        <w:jc w:val="both"/>
        <w:rPr>
          <w:sz w:val="16"/>
          <w:szCs w:val="16"/>
        </w:rPr>
      </w:pPr>
      <w:r w:rsidRPr="00F439A9">
        <w:rPr>
          <w:sz w:val="16"/>
          <w:szCs w:val="16"/>
        </w:rPr>
        <w:t>The WA Government State Budget 2025</w:t>
      </w:r>
      <w:r w:rsidRPr="00F439A9">
        <w:rPr>
          <w:sz w:val="16"/>
          <w:szCs w:val="16"/>
        </w:rPr>
        <w:noBreakHyphen/>
        <w:t xml:space="preserve">26 </w:t>
      </w:r>
      <w:r w:rsidR="00233755" w:rsidRPr="00F439A9">
        <w:rPr>
          <w:sz w:val="16"/>
          <w:szCs w:val="16"/>
        </w:rPr>
        <w:t>forecasts Western Australia’s participation rate will average 68.9% in 2025</w:t>
      </w:r>
      <w:r w:rsidR="00233755" w:rsidRPr="00F439A9">
        <w:rPr>
          <w:sz w:val="16"/>
          <w:szCs w:val="16"/>
        </w:rPr>
        <w:noBreakHyphen/>
        <w:t>26.</w:t>
      </w:r>
    </w:p>
    <w:p w14:paraId="72DACD5E"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4F057F9D" w14:textId="731DA732"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8" w:name="_Labour_market_–_1"/>
      <w:bookmarkEnd w:id="18"/>
      <w:r w:rsidRPr="008F7AA0">
        <w:rPr>
          <w:bCs/>
          <w:color w:val="004C3D"/>
          <w:sz w:val="24"/>
          <w:szCs w:val="24"/>
        </w:rPr>
        <w:lastRenderedPageBreak/>
        <w:t>Labour market –</w:t>
      </w:r>
      <w:r w:rsidR="003C7A5E">
        <w:rPr>
          <w:bCs/>
          <w:color w:val="004C3D"/>
          <w:sz w:val="24"/>
          <w:szCs w:val="24"/>
        </w:rPr>
        <w:t xml:space="preserve"> </w:t>
      </w:r>
      <w:r w:rsidRPr="008F7AA0">
        <w:rPr>
          <w:bCs/>
          <w:color w:val="004C3D"/>
          <w:sz w:val="24"/>
          <w:szCs w:val="24"/>
        </w:rPr>
        <w:t>vacancies</w:t>
      </w:r>
      <w:r w:rsidR="003C7A5E">
        <w:rPr>
          <w:bCs/>
          <w:color w:val="004C3D"/>
          <w:sz w:val="24"/>
          <w:szCs w:val="24"/>
        </w:rPr>
        <w:t xml:space="preserve"> and spare capacity</w:t>
      </w:r>
    </w:p>
    <w:p w14:paraId="20FD9C9A"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A87F9D1" w14:textId="77777777" w:rsidR="003C7A5E" w:rsidRPr="00CF7CD6" w:rsidRDefault="003C7A5E" w:rsidP="003C7A5E">
      <w:pPr>
        <w:pStyle w:val="Heading4"/>
        <w:spacing w:before="0"/>
        <w:rPr>
          <w:i w:val="0"/>
          <w:iCs w:val="0"/>
          <w:color w:val="00997A"/>
          <w:sz w:val="20"/>
          <w:szCs w:val="20"/>
        </w:rPr>
        <w:sectPr w:rsidR="003C7A5E" w:rsidRPr="00CF7CD6" w:rsidSect="003C7A5E">
          <w:type w:val="continuous"/>
          <w:pgSz w:w="11907" w:h="16840" w:code="9"/>
          <w:pgMar w:top="1701" w:right="425" w:bottom="567" w:left="567" w:header="709" w:footer="709" w:gutter="0"/>
          <w:cols w:space="708"/>
          <w:docGrid w:linePitch="360"/>
        </w:sectPr>
      </w:pPr>
      <w:r w:rsidRPr="00CF7CD6">
        <w:rPr>
          <w:i w:val="0"/>
          <w:iCs w:val="0"/>
          <w:color w:val="00997A"/>
          <w:sz w:val="20"/>
          <w:szCs w:val="20"/>
        </w:rPr>
        <w:t>Internet vacancies by occupation group</w:t>
      </w:r>
    </w:p>
    <w:p w14:paraId="0D879CCC" w14:textId="0BCF3622" w:rsidR="003C7A5E" w:rsidRPr="00AB75F8" w:rsidRDefault="006C10E0" w:rsidP="003C7A5E">
      <w:pPr>
        <w:pStyle w:val="Heading4"/>
        <w:rPr>
          <w:b w:val="0"/>
          <w:bCs w:val="0"/>
          <w:i w:val="0"/>
          <w:iCs w:val="0"/>
        </w:rPr>
      </w:pPr>
      <w:r>
        <w:rPr>
          <w:b w:val="0"/>
          <w:bCs w:val="0"/>
          <w:i w:val="0"/>
          <w:iCs w:val="0"/>
          <w:noProof/>
        </w:rPr>
        <w:drawing>
          <wp:inline distT="0" distB="0" distL="0" distR="0" wp14:anchorId="750360B2" wp14:editId="08BADBF3">
            <wp:extent cx="3391228" cy="1995055"/>
            <wp:effectExtent l="0" t="0" r="0" b="5715"/>
            <wp:docPr id="1180158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6875" cy="2004260"/>
                    </a:xfrm>
                    <a:prstGeom prst="rect">
                      <a:avLst/>
                    </a:prstGeom>
                    <a:noFill/>
                    <a:ln>
                      <a:noFill/>
                    </a:ln>
                  </pic:spPr>
                </pic:pic>
              </a:graphicData>
            </a:graphic>
          </wp:inline>
        </w:drawing>
      </w:r>
    </w:p>
    <w:p w14:paraId="2696F7BB" w14:textId="77777777" w:rsidR="003C7A5E" w:rsidRPr="00AF759E" w:rsidRDefault="003C7A5E" w:rsidP="003C7A5E">
      <w:pPr>
        <w:jc w:val="both"/>
        <w:rPr>
          <w:sz w:val="10"/>
          <w:szCs w:val="10"/>
        </w:rPr>
      </w:pPr>
      <w:r w:rsidRPr="000C0C45">
        <w:rPr>
          <w:sz w:val="10"/>
        </w:rPr>
        <w:t xml:space="preserve">Note – </w:t>
      </w:r>
      <w:r w:rsidRPr="00AF759E">
        <w:rPr>
          <w:sz w:val="10"/>
          <w:szCs w:val="10"/>
        </w:rPr>
        <w:t xml:space="preserve">Seasonally adjusted series. Online job advertisements on SEEK, CareerOne and Australian </w:t>
      </w:r>
      <w:proofErr w:type="spellStart"/>
      <w:r w:rsidRPr="00AF759E">
        <w:rPr>
          <w:sz w:val="10"/>
          <w:szCs w:val="10"/>
        </w:rPr>
        <w:t>JobSearch</w:t>
      </w:r>
      <w:proofErr w:type="spellEnd"/>
      <w:r w:rsidRPr="00AF759E">
        <w:rPr>
          <w:sz w:val="10"/>
          <w:szCs w:val="10"/>
        </w:rPr>
        <w:t>. Excludes job advertisements on other online job boards, employer web sites, newspapers, and word of mouth. (a) Community and personal services; clerical and administrative; sales; and other.</w:t>
      </w:r>
    </w:p>
    <w:p w14:paraId="08AA8E90" w14:textId="77777777" w:rsidR="003C7A5E" w:rsidRPr="00AF759E" w:rsidRDefault="003C7A5E" w:rsidP="003C7A5E">
      <w:pPr>
        <w:jc w:val="both"/>
        <w:rPr>
          <w:sz w:val="10"/>
          <w:szCs w:val="10"/>
        </w:rPr>
      </w:pPr>
      <w:r w:rsidRPr="00AF759E">
        <w:rPr>
          <w:sz w:val="10"/>
          <w:szCs w:val="10"/>
        </w:rPr>
        <w:t>Source: Jobs and Skills Australia</w:t>
      </w:r>
      <w:r>
        <w:rPr>
          <w:sz w:val="10"/>
          <w:szCs w:val="10"/>
        </w:rPr>
        <w:t>.</w:t>
      </w:r>
    </w:p>
    <w:p w14:paraId="122BE4AF" w14:textId="222EA932" w:rsidR="003C7A5E" w:rsidRPr="00513C19" w:rsidRDefault="003C7A5E" w:rsidP="006058E8">
      <w:pPr>
        <w:pStyle w:val="ListParagraph"/>
        <w:numPr>
          <w:ilvl w:val="0"/>
          <w:numId w:val="9"/>
        </w:numPr>
        <w:spacing w:before="40" w:after="40"/>
        <w:ind w:right="227" w:hanging="357"/>
        <w:contextualSpacing w:val="0"/>
        <w:jc w:val="both"/>
        <w:rPr>
          <w:color w:val="00B0F0"/>
          <w:sz w:val="16"/>
          <w:szCs w:val="16"/>
        </w:rPr>
      </w:pPr>
      <w:r w:rsidRPr="007B1AE5">
        <w:br w:type="column"/>
      </w:r>
      <w:r w:rsidRPr="001D447B">
        <w:rPr>
          <w:sz w:val="16"/>
          <w:szCs w:val="16"/>
        </w:rPr>
        <w:t>Job vacancies have fallen noticeably over the past two years but have stabilised in recent months above pre</w:t>
      </w:r>
      <w:r w:rsidRPr="001D447B">
        <w:rPr>
          <w:sz w:val="16"/>
          <w:szCs w:val="16"/>
        </w:rPr>
        <w:noBreakHyphen/>
        <w:t>COVID</w:t>
      </w:r>
      <w:r w:rsidRPr="001D447B">
        <w:rPr>
          <w:sz w:val="16"/>
          <w:szCs w:val="16"/>
        </w:rPr>
        <w:noBreakHyphen/>
        <w:t>19 levels.</w:t>
      </w:r>
    </w:p>
    <w:p w14:paraId="38F0D428" w14:textId="24C1C175" w:rsidR="003C7A5E" w:rsidRPr="00EA2D70" w:rsidRDefault="003C7A5E" w:rsidP="006058E8">
      <w:pPr>
        <w:pStyle w:val="ListParagraph"/>
        <w:numPr>
          <w:ilvl w:val="0"/>
          <w:numId w:val="9"/>
        </w:numPr>
        <w:spacing w:before="40" w:after="40"/>
        <w:ind w:right="227" w:hanging="357"/>
        <w:contextualSpacing w:val="0"/>
        <w:jc w:val="both"/>
        <w:rPr>
          <w:sz w:val="16"/>
          <w:szCs w:val="16"/>
        </w:rPr>
      </w:pPr>
      <w:r w:rsidRPr="00EA2D70">
        <w:rPr>
          <w:sz w:val="16"/>
          <w:szCs w:val="16"/>
        </w:rPr>
        <w:t xml:space="preserve">Western Australia had </w:t>
      </w:r>
      <w:r w:rsidR="00C13F26" w:rsidRPr="00EA2D70">
        <w:rPr>
          <w:sz w:val="16"/>
          <w:szCs w:val="16"/>
        </w:rPr>
        <w:t>26,207</w:t>
      </w:r>
      <w:r w:rsidRPr="00EA2D70">
        <w:rPr>
          <w:sz w:val="16"/>
          <w:szCs w:val="16"/>
        </w:rPr>
        <w:t xml:space="preserve"> internet job advertisements in </w:t>
      </w:r>
      <w:r w:rsidR="000A7C95" w:rsidRPr="00EA2D70">
        <w:rPr>
          <w:sz w:val="16"/>
          <w:szCs w:val="16"/>
        </w:rPr>
        <w:t>September</w:t>
      </w:r>
      <w:r w:rsidRPr="00EA2D70">
        <w:rPr>
          <w:sz w:val="16"/>
          <w:szCs w:val="16"/>
        </w:rPr>
        <w:t xml:space="preserve"> 2025, </w:t>
      </w:r>
      <w:r w:rsidR="001D447B" w:rsidRPr="00EA2D70">
        <w:rPr>
          <w:sz w:val="16"/>
          <w:szCs w:val="16"/>
        </w:rPr>
        <w:t>4.</w:t>
      </w:r>
      <w:r w:rsidR="00B457B9" w:rsidRPr="00EA2D70">
        <w:rPr>
          <w:sz w:val="16"/>
          <w:szCs w:val="16"/>
        </w:rPr>
        <w:t>4</w:t>
      </w:r>
      <w:r w:rsidR="001D447B" w:rsidRPr="00EA2D70">
        <w:rPr>
          <w:sz w:val="16"/>
          <w:szCs w:val="16"/>
        </w:rPr>
        <w:t xml:space="preserve">% </w:t>
      </w:r>
      <w:r w:rsidR="00B457B9" w:rsidRPr="00EA2D70">
        <w:rPr>
          <w:sz w:val="16"/>
          <w:szCs w:val="16"/>
        </w:rPr>
        <w:t>more</w:t>
      </w:r>
      <w:r w:rsidRPr="00EA2D70">
        <w:rPr>
          <w:sz w:val="16"/>
          <w:szCs w:val="16"/>
        </w:rPr>
        <w:t xml:space="preserve"> than the previous month </w:t>
      </w:r>
      <w:r w:rsidR="007B3516" w:rsidRPr="00EA2D70">
        <w:rPr>
          <w:sz w:val="16"/>
          <w:szCs w:val="16"/>
        </w:rPr>
        <w:t>but</w:t>
      </w:r>
      <w:r w:rsidRPr="00EA2D70">
        <w:rPr>
          <w:sz w:val="16"/>
          <w:szCs w:val="16"/>
        </w:rPr>
        <w:t xml:space="preserve"> </w:t>
      </w:r>
      <w:r w:rsidR="007B3516" w:rsidRPr="00EA2D70">
        <w:rPr>
          <w:sz w:val="16"/>
          <w:szCs w:val="16"/>
        </w:rPr>
        <w:t>6.5</w:t>
      </w:r>
      <w:r w:rsidRPr="00EA2D70">
        <w:rPr>
          <w:sz w:val="16"/>
          <w:szCs w:val="16"/>
        </w:rPr>
        <w:t>% less than one year ago.</w:t>
      </w:r>
    </w:p>
    <w:p w14:paraId="23F00C86" w14:textId="194D6B40" w:rsidR="00E0686A" w:rsidRPr="00EA2D70" w:rsidRDefault="00E0686A" w:rsidP="00E0686A">
      <w:pPr>
        <w:pStyle w:val="ListParagraph"/>
        <w:numPr>
          <w:ilvl w:val="0"/>
          <w:numId w:val="9"/>
        </w:numPr>
        <w:spacing w:before="40" w:after="40"/>
        <w:ind w:right="227" w:hanging="357"/>
        <w:contextualSpacing w:val="0"/>
        <w:jc w:val="both"/>
        <w:rPr>
          <w:sz w:val="16"/>
          <w:szCs w:val="16"/>
        </w:rPr>
      </w:pPr>
      <w:r w:rsidRPr="00EA2D70">
        <w:rPr>
          <w:sz w:val="16"/>
          <w:szCs w:val="16"/>
        </w:rPr>
        <w:t xml:space="preserve">Between </w:t>
      </w:r>
      <w:r w:rsidR="00EB7624" w:rsidRPr="00EA2D70">
        <w:rPr>
          <w:sz w:val="16"/>
          <w:szCs w:val="16"/>
        </w:rPr>
        <w:t>September</w:t>
      </w:r>
      <w:r w:rsidR="008B59E8" w:rsidRPr="00EA2D70">
        <w:rPr>
          <w:sz w:val="16"/>
          <w:szCs w:val="16"/>
        </w:rPr>
        <w:t> </w:t>
      </w:r>
      <w:r w:rsidRPr="00EA2D70">
        <w:rPr>
          <w:sz w:val="16"/>
          <w:szCs w:val="16"/>
        </w:rPr>
        <w:t xml:space="preserve">2024 and </w:t>
      </w:r>
      <w:r w:rsidR="00EB7624" w:rsidRPr="00EA2D70">
        <w:rPr>
          <w:sz w:val="16"/>
          <w:szCs w:val="16"/>
        </w:rPr>
        <w:t>September</w:t>
      </w:r>
      <w:r w:rsidR="008B59E8" w:rsidRPr="00EA2D70">
        <w:rPr>
          <w:sz w:val="16"/>
          <w:szCs w:val="16"/>
        </w:rPr>
        <w:t> </w:t>
      </w:r>
      <w:r w:rsidRPr="00EA2D70">
        <w:rPr>
          <w:sz w:val="16"/>
          <w:szCs w:val="16"/>
        </w:rPr>
        <w:t xml:space="preserve">2025, internet job vacancies </w:t>
      </w:r>
      <w:r w:rsidR="00626E22" w:rsidRPr="00EA2D70">
        <w:rPr>
          <w:sz w:val="16"/>
          <w:szCs w:val="16"/>
        </w:rPr>
        <w:t xml:space="preserve">in Western Australia </w:t>
      </w:r>
      <w:r w:rsidRPr="00EA2D70">
        <w:rPr>
          <w:sz w:val="16"/>
          <w:szCs w:val="16"/>
        </w:rPr>
        <w:t>for:</w:t>
      </w:r>
    </w:p>
    <w:p w14:paraId="70118CBF" w14:textId="53E521FE" w:rsidR="001D447B" w:rsidRPr="00EA2D70" w:rsidRDefault="00D74556" w:rsidP="001D447B">
      <w:pPr>
        <w:pStyle w:val="ListParagraph"/>
        <w:numPr>
          <w:ilvl w:val="0"/>
          <w:numId w:val="10"/>
        </w:numPr>
        <w:spacing w:before="40" w:after="40"/>
        <w:ind w:right="227" w:hanging="357"/>
        <w:contextualSpacing w:val="0"/>
        <w:jc w:val="both"/>
        <w:rPr>
          <w:sz w:val="16"/>
          <w:szCs w:val="16"/>
        </w:rPr>
      </w:pPr>
      <w:r w:rsidRPr="00EA2D70">
        <w:rPr>
          <w:sz w:val="16"/>
          <w:szCs w:val="16"/>
        </w:rPr>
        <w:t>m</w:t>
      </w:r>
      <w:r w:rsidR="001D447B" w:rsidRPr="00EA2D70">
        <w:rPr>
          <w:sz w:val="16"/>
          <w:szCs w:val="16"/>
        </w:rPr>
        <w:t>anagers and professionals fell 1</w:t>
      </w:r>
      <w:r w:rsidR="009A483B" w:rsidRPr="00EA2D70">
        <w:rPr>
          <w:sz w:val="16"/>
          <w:szCs w:val="16"/>
        </w:rPr>
        <w:t>0</w:t>
      </w:r>
      <w:r w:rsidR="001D447B" w:rsidRPr="00EA2D70">
        <w:rPr>
          <w:sz w:val="16"/>
          <w:szCs w:val="16"/>
        </w:rPr>
        <w:t xml:space="preserve">% to </w:t>
      </w:r>
      <w:r w:rsidR="00F83033" w:rsidRPr="00EA2D70">
        <w:rPr>
          <w:sz w:val="16"/>
          <w:szCs w:val="16"/>
        </w:rPr>
        <w:t>9,262</w:t>
      </w:r>
    </w:p>
    <w:p w14:paraId="4B1D3E61" w14:textId="01C56CD0" w:rsidR="00E0686A" w:rsidRPr="00EA2D70" w:rsidRDefault="00D74556" w:rsidP="00E0686A">
      <w:pPr>
        <w:pStyle w:val="ListParagraph"/>
        <w:numPr>
          <w:ilvl w:val="0"/>
          <w:numId w:val="10"/>
        </w:numPr>
        <w:spacing w:before="40" w:after="40"/>
        <w:ind w:right="227" w:hanging="357"/>
        <w:contextualSpacing w:val="0"/>
        <w:jc w:val="both"/>
        <w:rPr>
          <w:sz w:val="16"/>
          <w:szCs w:val="16"/>
        </w:rPr>
      </w:pPr>
      <w:r w:rsidRPr="00EA2D70">
        <w:rPr>
          <w:sz w:val="16"/>
          <w:szCs w:val="16"/>
        </w:rPr>
        <w:t>o</w:t>
      </w:r>
      <w:r w:rsidR="00E0686A" w:rsidRPr="00EA2D70">
        <w:rPr>
          <w:sz w:val="16"/>
          <w:szCs w:val="16"/>
        </w:rPr>
        <w:t xml:space="preserve">ther occupations (including community and personal services, clerical and administrative and sales workers) fell </w:t>
      </w:r>
      <w:r w:rsidR="001D447B" w:rsidRPr="00EA2D70">
        <w:rPr>
          <w:sz w:val="16"/>
          <w:szCs w:val="16"/>
        </w:rPr>
        <w:t>1</w:t>
      </w:r>
      <w:r w:rsidR="00F83033" w:rsidRPr="00EA2D70">
        <w:rPr>
          <w:sz w:val="16"/>
          <w:szCs w:val="16"/>
        </w:rPr>
        <w:t>0</w:t>
      </w:r>
      <w:r w:rsidR="00E0686A" w:rsidRPr="00EA2D70">
        <w:rPr>
          <w:sz w:val="16"/>
          <w:szCs w:val="16"/>
        </w:rPr>
        <w:t>% to 7,</w:t>
      </w:r>
      <w:r w:rsidR="00D06FD7" w:rsidRPr="00EA2D70">
        <w:rPr>
          <w:sz w:val="16"/>
          <w:szCs w:val="16"/>
        </w:rPr>
        <w:t>450</w:t>
      </w:r>
    </w:p>
    <w:p w14:paraId="3BEEF6F1" w14:textId="209AC291" w:rsidR="00E0686A" w:rsidRPr="00EA2D70" w:rsidRDefault="00D74556" w:rsidP="00E0686A">
      <w:pPr>
        <w:pStyle w:val="ListParagraph"/>
        <w:numPr>
          <w:ilvl w:val="0"/>
          <w:numId w:val="10"/>
        </w:numPr>
        <w:spacing w:before="40" w:after="40"/>
        <w:ind w:right="227" w:hanging="357"/>
        <w:contextualSpacing w:val="0"/>
        <w:jc w:val="both"/>
        <w:rPr>
          <w:sz w:val="16"/>
          <w:szCs w:val="16"/>
        </w:rPr>
      </w:pPr>
      <w:r w:rsidRPr="00EA2D70">
        <w:rPr>
          <w:sz w:val="16"/>
          <w:szCs w:val="16"/>
        </w:rPr>
        <w:t>t</w:t>
      </w:r>
      <w:r w:rsidR="00E0686A" w:rsidRPr="00EA2D70">
        <w:rPr>
          <w:sz w:val="16"/>
          <w:szCs w:val="16"/>
        </w:rPr>
        <w:t xml:space="preserve">echnicians and trades workers fell </w:t>
      </w:r>
      <w:r w:rsidR="001D447B" w:rsidRPr="00EA2D70">
        <w:rPr>
          <w:sz w:val="16"/>
          <w:szCs w:val="16"/>
        </w:rPr>
        <w:t>6</w:t>
      </w:r>
      <w:r w:rsidR="00E0686A" w:rsidRPr="00EA2D70">
        <w:rPr>
          <w:sz w:val="16"/>
          <w:szCs w:val="16"/>
        </w:rPr>
        <w:t>% to 5,</w:t>
      </w:r>
      <w:r w:rsidR="001D447B" w:rsidRPr="00EA2D70">
        <w:rPr>
          <w:sz w:val="16"/>
          <w:szCs w:val="16"/>
        </w:rPr>
        <w:t>2</w:t>
      </w:r>
      <w:r w:rsidR="00D06FD7" w:rsidRPr="00EA2D70">
        <w:rPr>
          <w:sz w:val="16"/>
          <w:szCs w:val="16"/>
        </w:rPr>
        <w:t>90</w:t>
      </w:r>
    </w:p>
    <w:p w14:paraId="57F51C42" w14:textId="5886B2A3" w:rsidR="00E0686A" w:rsidRPr="00EA2D70" w:rsidRDefault="00D74556" w:rsidP="008B59E8">
      <w:pPr>
        <w:pStyle w:val="ListParagraph"/>
        <w:numPr>
          <w:ilvl w:val="0"/>
          <w:numId w:val="10"/>
        </w:numPr>
        <w:spacing w:before="40" w:after="40"/>
        <w:ind w:right="227" w:hanging="357"/>
        <w:contextualSpacing w:val="0"/>
        <w:jc w:val="both"/>
        <w:rPr>
          <w:sz w:val="16"/>
          <w:szCs w:val="16"/>
        </w:rPr>
      </w:pPr>
      <w:r w:rsidRPr="00EA2D70">
        <w:rPr>
          <w:sz w:val="16"/>
          <w:szCs w:val="16"/>
        </w:rPr>
        <w:t>m</w:t>
      </w:r>
      <w:r w:rsidR="00E0686A" w:rsidRPr="00EA2D70">
        <w:rPr>
          <w:sz w:val="16"/>
          <w:szCs w:val="16"/>
        </w:rPr>
        <w:t xml:space="preserve">achinery operators, drivers and labourers rose </w:t>
      </w:r>
      <w:r w:rsidR="00874897" w:rsidRPr="00EA2D70">
        <w:rPr>
          <w:sz w:val="16"/>
          <w:szCs w:val="16"/>
        </w:rPr>
        <w:t>9</w:t>
      </w:r>
      <w:r w:rsidR="00E0686A" w:rsidRPr="00EA2D70">
        <w:rPr>
          <w:sz w:val="16"/>
          <w:szCs w:val="16"/>
        </w:rPr>
        <w:t xml:space="preserve">% to </w:t>
      </w:r>
      <w:r w:rsidR="00874897" w:rsidRPr="00EA2D70">
        <w:rPr>
          <w:sz w:val="16"/>
          <w:szCs w:val="16"/>
        </w:rPr>
        <w:t>4,204</w:t>
      </w:r>
      <w:r w:rsidR="00E0686A" w:rsidRPr="00EA2D70">
        <w:rPr>
          <w:sz w:val="16"/>
          <w:szCs w:val="16"/>
        </w:rPr>
        <w:t>.</w:t>
      </w:r>
    </w:p>
    <w:p w14:paraId="617070E9" w14:textId="6451EE42" w:rsidR="0065387B" w:rsidRPr="00EA2D70" w:rsidRDefault="0065387B" w:rsidP="00E0686A">
      <w:pPr>
        <w:pStyle w:val="ListParagraph"/>
        <w:numPr>
          <w:ilvl w:val="0"/>
          <w:numId w:val="9"/>
        </w:numPr>
        <w:spacing w:before="40" w:after="40"/>
        <w:ind w:right="227" w:hanging="357"/>
        <w:contextualSpacing w:val="0"/>
        <w:jc w:val="both"/>
        <w:rPr>
          <w:sz w:val="16"/>
          <w:szCs w:val="16"/>
        </w:rPr>
      </w:pPr>
      <w:r w:rsidRPr="00EA2D70">
        <w:rPr>
          <w:sz w:val="16"/>
          <w:szCs w:val="16"/>
        </w:rPr>
        <w:t xml:space="preserve">In </w:t>
      </w:r>
      <w:r w:rsidR="005F0AF0" w:rsidRPr="00EA2D70">
        <w:rPr>
          <w:sz w:val="16"/>
          <w:szCs w:val="16"/>
        </w:rPr>
        <w:t>September</w:t>
      </w:r>
      <w:r w:rsidR="008B59E8" w:rsidRPr="00EA2D70">
        <w:rPr>
          <w:sz w:val="16"/>
          <w:szCs w:val="16"/>
        </w:rPr>
        <w:t> </w:t>
      </w:r>
      <w:r w:rsidRPr="00EA2D70">
        <w:rPr>
          <w:sz w:val="16"/>
          <w:szCs w:val="16"/>
        </w:rPr>
        <w:t xml:space="preserve">2025, </w:t>
      </w:r>
      <w:r w:rsidR="00E51DC0" w:rsidRPr="00EA2D70">
        <w:rPr>
          <w:sz w:val="16"/>
          <w:szCs w:val="16"/>
        </w:rPr>
        <w:t xml:space="preserve">the highest number of </w:t>
      </w:r>
      <w:r w:rsidRPr="00EA2D70">
        <w:rPr>
          <w:sz w:val="16"/>
          <w:szCs w:val="16"/>
        </w:rPr>
        <w:t xml:space="preserve">internet job vacancies </w:t>
      </w:r>
      <w:r w:rsidR="00626E22" w:rsidRPr="00EA2D70">
        <w:rPr>
          <w:sz w:val="16"/>
          <w:szCs w:val="16"/>
        </w:rPr>
        <w:t xml:space="preserve">in Western Australia </w:t>
      </w:r>
      <w:r w:rsidR="00E51DC0" w:rsidRPr="00EA2D70">
        <w:rPr>
          <w:sz w:val="16"/>
          <w:szCs w:val="16"/>
        </w:rPr>
        <w:t>were</w:t>
      </w:r>
      <w:r w:rsidRPr="00EA2D70">
        <w:rPr>
          <w:sz w:val="16"/>
          <w:szCs w:val="16"/>
        </w:rPr>
        <w:t xml:space="preserve"> for:</w:t>
      </w:r>
    </w:p>
    <w:p w14:paraId="5A02312D" w14:textId="3249E692" w:rsidR="00944158" w:rsidRPr="00EA2D70" w:rsidRDefault="00D74556" w:rsidP="00944158">
      <w:pPr>
        <w:pStyle w:val="ListParagraph"/>
        <w:numPr>
          <w:ilvl w:val="0"/>
          <w:numId w:val="10"/>
        </w:numPr>
        <w:spacing w:before="40" w:after="40"/>
        <w:ind w:right="227" w:hanging="357"/>
        <w:contextualSpacing w:val="0"/>
        <w:jc w:val="both"/>
        <w:rPr>
          <w:sz w:val="16"/>
          <w:szCs w:val="16"/>
        </w:rPr>
      </w:pPr>
      <w:r w:rsidRPr="00EA2D70">
        <w:rPr>
          <w:sz w:val="16"/>
          <w:szCs w:val="16"/>
        </w:rPr>
        <w:t>a</w:t>
      </w:r>
      <w:r w:rsidR="00944158" w:rsidRPr="00EA2D70">
        <w:rPr>
          <w:sz w:val="16"/>
          <w:szCs w:val="16"/>
        </w:rPr>
        <w:t>utomotive and engineering trades workers (2,</w:t>
      </w:r>
      <w:r w:rsidR="00F66EC8" w:rsidRPr="00EA2D70">
        <w:rPr>
          <w:sz w:val="16"/>
          <w:szCs w:val="16"/>
        </w:rPr>
        <w:t>015</w:t>
      </w:r>
      <w:r w:rsidR="00944158" w:rsidRPr="00EA2D70">
        <w:rPr>
          <w:sz w:val="16"/>
          <w:szCs w:val="16"/>
        </w:rPr>
        <w:t>)</w:t>
      </w:r>
    </w:p>
    <w:p w14:paraId="4537D06C" w14:textId="63F2C56D" w:rsidR="00DA24A1" w:rsidRPr="00EA2D70" w:rsidRDefault="00D74556" w:rsidP="00DA24A1">
      <w:pPr>
        <w:pStyle w:val="ListParagraph"/>
        <w:numPr>
          <w:ilvl w:val="0"/>
          <w:numId w:val="10"/>
        </w:numPr>
        <w:spacing w:before="40" w:after="40"/>
        <w:ind w:right="227" w:hanging="357"/>
        <w:contextualSpacing w:val="0"/>
        <w:jc w:val="both"/>
        <w:rPr>
          <w:sz w:val="16"/>
          <w:szCs w:val="16"/>
        </w:rPr>
      </w:pPr>
      <w:r w:rsidRPr="00EA2D70">
        <w:rPr>
          <w:sz w:val="16"/>
          <w:szCs w:val="16"/>
        </w:rPr>
        <w:t>g</w:t>
      </w:r>
      <w:r w:rsidR="00DA24A1" w:rsidRPr="00EA2D70">
        <w:rPr>
          <w:sz w:val="16"/>
          <w:szCs w:val="16"/>
        </w:rPr>
        <w:t>eneral-inquiry clerks, call centre workers and receptionists (1,</w:t>
      </w:r>
      <w:r w:rsidR="001D447B" w:rsidRPr="00EA2D70">
        <w:rPr>
          <w:sz w:val="16"/>
          <w:szCs w:val="16"/>
        </w:rPr>
        <w:t>7</w:t>
      </w:r>
      <w:r w:rsidR="00F66EC8" w:rsidRPr="00EA2D70">
        <w:rPr>
          <w:sz w:val="16"/>
          <w:szCs w:val="16"/>
        </w:rPr>
        <w:t>90</w:t>
      </w:r>
      <w:r w:rsidR="00DA24A1" w:rsidRPr="00EA2D70">
        <w:rPr>
          <w:sz w:val="16"/>
          <w:szCs w:val="16"/>
        </w:rPr>
        <w:t>)</w:t>
      </w:r>
    </w:p>
    <w:p w14:paraId="229831A6" w14:textId="76365BE2" w:rsidR="001D447B" w:rsidRPr="00EA2D70" w:rsidRDefault="00D74556" w:rsidP="001D447B">
      <w:pPr>
        <w:pStyle w:val="ListParagraph"/>
        <w:numPr>
          <w:ilvl w:val="0"/>
          <w:numId w:val="10"/>
        </w:numPr>
        <w:spacing w:before="40" w:after="40"/>
        <w:ind w:right="227" w:hanging="357"/>
        <w:contextualSpacing w:val="0"/>
        <w:jc w:val="both"/>
        <w:rPr>
          <w:sz w:val="16"/>
          <w:szCs w:val="16"/>
        </w:rPr>
      </w:pPr>
      <w:r w:rsidRPr="00EA2D70">
        <w:rPr>
          <w:sz w:val="16"/>
          <w:szCs w:val="16"/>
        </w:rPr>
        <w:t>s</w:t>
      </w:r>
      <w:r w:rsidR="001D447B" w:rsidRPr="00EA2D70">
        <w:rPr>
          <w:sz w:val="16"/>
          <w:szCs w:val="16"/>
        </w:rPr>
        <w:t>ales assistants and salespersons (1,</w:t>
      </w:r>
      <w:r w:rsidR="008F1073" w:rsidRPr="00EA2D70">
        <w:rPr>
          <w:sz w:val="16"/>
          <w:szCs w:val="16"/>
        </w:rPr>
        <w:t>1</w:t>
      </w:r>
      <w:r w:rsidR="000C2CCF" w:rsidRPr="00EA2D70">
        <w:rPr>
          <w:sz w:val="16"/>
          <w:szCs w:val="16"/>
        </w:rPr>
        <w:t>72</w:t>
      </w:r>
      <w:r w:rsidR="001D447B" w:rsidRPr="00EA2D70">
        <w:rPr>
          <w:sz w:val="16"/>
          <w:szCs w:val="16"/>
        </w:rPr>
        <w:t>)</w:t>
      </w:r>
    </w:p>
    <w:p w14:paraId="318E913B" w14:textId="4612451E" w:rsidR="001D447B" w:rsidRPr="00EA2D70" w:rsidRDefault="00D74556" w:rsidP="001D447B">
      <w:pPr>
        <w:pStyle w:val="ListParagraph"/>
        <w:numPr>
          <w:ilvl w:val="0"/>
          <w:numId w:val="10"/>
        </w:numPr>
        <w:spacing w:before="40" w:after="40"/>
        <w:ind w:right="227" w:hanging="357"/>
        <w:contextualSpacing w:val="0"/>
        <w:jc w:val="both"/>
        <w:rPr>
          <w:sz w:val="16"/>
          <w:szCs w:val="16"/>
        </w:rPr>
      </w:pPr>
      <w:r w:rsidRPr="00EA2D70">
        <w:rPr>
          <w:sz w:val="16"/>
          <w:szCs w:val="16"/>
        </w:rPr>
        <w:t>e</w:t>
      </w:r>
      <w:r w:rsidR="001D447B" w:rsidRPr="00EA2D70">
        <w:rPr>
          <w:sz w:val="16"/>
          <w:szCs w:val="16"/>
        </w:rPr>
        <w:t>ngineers (1,05</w:t>
      </w:r>
      <w:r w:rsidR="000C2CCF" w:rsidRPr="00EA2D70">
        <w:rPr>
          <w:sz w:val="16"/>
          <w:szCs w:val="16"/>
        </w:rPr>
        <w:t>3</w:t>
      </w:r>
      <w:r w:rsidR="001D447B" w:rsidRPr="00EA2D70">
        <w:rPr>
          <w:sz w:val="16"/>
          <w:szCs w:val="16"/>
        </w:rPr>
        <w:t>)</w:t>
      </w:r>
      <w:r w:rsidR="00557DEA" w:rsidRPr="00EA2D70">
        <w:rPr>
          <w:sz w:val="16"/>
          <w:szCs w:val="16"/>
        </w:rPr>
        <w:t>.</w:t>
      </w:r>
    </w:p>
    <w:p w14:paraId="34B255CF" w14:textId="23AFEB89" w:rsidR="003C7A5E" w:rsidRPr="00626E22" w:rsidRDefault="003C7A5E" w:rsidP="00557DEA">
      <w:pPr>
        <w:pStyle w:val="ListParagraph"/>
        <w:spacing w:before="40" w:after="40"/>
        <w:ind w:right="227"/>
        <w:contextualSpacing w:val="0"/>
        <w:jc w:val="both"/>
        <w:rPr>
          <w:sz w:val="16"/>
          <w:szCs w:val="16"/>
        </w:rPr>
        <w:sectPr w:rsidR="003C7A5E" w:rsidRPr="00626E22" w:rsidSect="003C7A5E">
          <w:type w:val="continuous"/>
          <w:pgSz w:w="11907" w:h="16840" w:code="9"/>
          <w:pgMar w:top="1701" w:right="425" w:bottom="567" w:left="567" w:header="709" w:footer="709" w:gutter="0"/>
          <w:cols w:num="2" w:space="113"/>
          <w:docGrid w:linePitch="360"/>
        </w:sectPr>
      </w:pPr>
    </w:p>
    <w:p w14:paraId="3C6D8F5F"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Underutilisation rate</w:t>
      </w:r>
    </w:p>
    <w:p w14:paraId="5221F7AB" w14:textId="6E9DDF85" w:rsidR="00233755" w:rsidRPr="001B482D" w:rsidRDefault="00752C91" w:rsidP="00233755">
      <w:r>
        <w:rPr>
          <w:noProof/>
        </w:rPr>
        <w:drawing>
          <wp:inline distT="0" distB="0" distL="0" distR="0" wp14:anchorId="52C3E95A" wp14:editId="34F2FE3F">
            <wp:extent cx="3403582" cy="2027381"/>
            <wp:effectExtent l="0" t="0" r="6985" b="0"/>
            <wp:docPr id="20883022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2238" cy="2032537"/>
                    </a:xfrm>
                    <a:prstGeom prst="rect">
                      <a:avLst/>
                    </a:prstGeom>
                    <a:noFill/>
                    <a:ln>
                      <a:noFill/>
                    </a:ln>
                  </pic:spPr>
                </pic:pic>
              </a:graphicData>
            </a:graphic>
          </wp:inline>
        </w:drawing>
      </w:r>
    </w:p>
    <w:p w14:paraId="7C2731E2" w14:textId="77777777" w:rsidR="00233755" w:rsidRPr="000815AB" w:rsidRDefault="00233755" w:rsidP="00233755">
      <w:pPr>
        <w:jc w:val="both"/>
        <w:rPr>
          <w:sz w:val="10"/>
          <w:szCs w:val="10"/>
        </w:rPr>
      </w:pPr>
      <w:r w:rsidRPr="000815AB">
        <w:rPr>
          <w:sz w:val="10"/>
        </w:rPr>
        <w:t xml:space="preserve">Note – </w:t>
      </w:r>
      <w:r w:rsidRPr="000815AB">
        <w:rPr>
          <w:sz w:val="10"/>
          <w:szCs w:val="10"/>
        </w:rPr>
        <w:t>Seasonally adjusted series. Monthly series. Underutilisation rate is the sum of the unemployment and underemployment rates. (a) Proportion of unemployed in the labour force (people without a job who are actively looking for work). (b) Proportion of underemployed in the labour force (workers wanting more hours).</w:t>
      </w:r>
    </w:p>
    <w:p w14:paraId="06B1B858" w14:textId="77777777" w:rsidR="00233755" w:rsidRPr="000815AB" w:rsidRDefault="00233755" w:rsidP="00233755">
      <w:pPr>
        <w:jc w:val="both"/>
        <w:rPr>
          <w:sz w:val="10"/>
          <w:szCs w:val="10"/>
        </w:rPr>
      </w:pPr>
      <w:r w:rsidRPr="000815AB">
        <w:rPr>
          <w:sz w:val="10"/>
          <w:szCs w:val="10"/>
        </w:rPr>
        <w:t>Source: Based on ABS data.</w:t>
      </w:r>
    </w:p>
    <w:p w14:paraId="6AF9CA94" w14:textId="37AC70FD" w:rsidR="00233755" w:rsidRPr="00EA2D70" w:rsidRDefault="00233755" w:rsidP="006058E8">
      <w:pPr>
        <w:pStyle w:val="ListParagraph"/>
        <w:numPr>
          <w:ilvl w:val="0"/>
          <w:numId w:val="9"/>
        </w:numPr>
        <w:spacing w:before="40" w:after="40"/>
        <w:ind w:left="357" w:right="227" w:hanging="357"/>
        <w:contextualSpacing w:val="0"/>
        <w:jc w:val="both"/>
        <w:rPr>
          <w:sz w:val="16"/>
          <w:szCs w:val="16"/>
        </w:rPr>
      </w:pPr>
      <w:r w:rsidRPr="00FF2DC3">
        <w:rPr>
          <w:color w:val="FF0000"/>
        </w:rPr>
        <w:br w:type="column"/>
      </w:r>
      <w:r w:rsidRPr="00EA2D70">
        <w:rPr>
          <w:sz w:val="16"/>
          <w:szCs w:val="16"/>
        </w:rPr>
        <w:t xml:space="preserve">Western Australia’s underutilisation rate, which is the sum of the unemployment and underemployment rates, </w:t>
      </w:r>
      <w:r w:rsidR="00896DB5" w:rsidRPr="00EA2D70">
        <w:rPr>
          <w:sz w:val="16"/>
          <w:szCs w:val="16"/>
        </w:rPr>
        <w:t>rose</w:t>
      </w:r>
      <w:r w:rsidR="008F1073" w:rsidRPr="00EA2D70">
        <w:rPr>
          <w:sz w:val="16"/>
          <w:szCs w:val="16"/>
        </w:rPr>
        <w:t xml:space="preserve"> from </w:t>
      </w:r>
      <w:r w:rsidR="00896DB5" w:rsidRPr="00EA2D70">
        <w:rPr>
          <w:sz w:val="16"/>
          <w:szCs w:val="16"/>
        </w:rPr>
        <w:t>8.6</w:t>
      </w:r>
      <w:r w:rsidR="008F1073" w:rsidRPr="00EA2D70">
        <w:rPr>
          <w:sz w:val="16"/>
          <w:szCs w:val="16"/>
        </w:rPr>
        <w:t xml:space="preserve">% in </w:t>
      </w:r>
      <w:r w:rsidR="00896DB5" w:rsidRPr="00EA2D70">
        <w:rPr>
          <w:sz w:val="16"/>
          <w:szCs w:val="16"/>
        </w:rPr>
        <w:t>August</w:t>
      </w:r>
      <w:r w:rsidR="00557DEA" w:rsidRPr="00EA2D70">
        <w:rPr>
          <w:sz w:val="16"/>
          <w:szCs w:val="16"/>
        </w:rPr>
        <w:t> </w:t>
      </w:r>
      <w:r w:rsidR="008F1073" w:rsidRPr="00EA2D70">
        <w:rPr>
          <w:sz w:val="16"/>
          <w:szCs w:val="16"/>
        </w:rPr>
        <w:t xml:space="preserve">2025 to </w:t>
      </w:r>
      <w:r w:rsidR="00896DB5" w:rsidRPr="00EA2D70">
        <w:rPr>
          <w:sz w:val="16"/>
          <w:szCs w:val="16"/>
        </w:rPr>
        <w:t>10.0</w:t>
      </w:r>
      <w:r w:rsidR="008F1073" w:rsidRPr="00EA2D70">
        <w:rPr>
          <w:sz w:val="16"/>
          <w:szCs w:val="16"/>
        </w:rPr>
        <w:t xml:space="preserve">% in </w:t>
      </w:r>
      <w:r w:rsidR="00896DB5" w:rsidRPr="00EA2D70">
        <w:rPr>
          <w:sz w:val="16"/>
          <w:szCs w:val="16"/>
        </w:rPr>
        <w:t>September</w:t>
      </w:r>
      <w:r w:rsidR="008F1073" w:rsidRPr="00EA2D70">
        <w:rPr>
          <w:sz w:val="16"/>
          <w:szCs w:val="16"/>
        </w:rPr>
        <w:t xml:space="preserve"> 2025.</w:t>
      </w:r>
    </w:p>
    <w:p w14:paraId="0BDD7BF7" w14:textId="6CDCE576" w:rsidR="00233755" w:rsidRPr="00EA2D70" w:rsidRDefault="00BB4097" w:rsidP="006058E8">
      <w:pPr>
        <w:pStyle w:val="ListParagraph"/>
        <w:numPr>
          <w:ilvl w:val="0"/>
          <w:numId w:val="9"/>
        </w:numPr>
        <w:spacing w:before="40" w:after="40"/>
        <w:ind w:left="357" w:right="227" w:hanging="357"/>
        <w:contextualSpacing w:val="0"/>
        <w:jc w:val="both"/>
        <w:rPr>
          <w:sz w:val="16"/>
          <w:szCs w:val="16"/>
        </w:rPr>
      </w:pPr>
      <w:r w:rsidRPr="00EA2D70">
        <w:rPr>
          <w:sz w:val="16"/>
          <w:szCs w:val="16"/>
        </w:rPr>
        <w:t>Both t</w:t>
      </w:r>
      <w:r w:rsidR="00233755" w:rsidRPr="00EA2D70">
        <w:rPr>
          <w:sz w:val="16"/>
          <w:szCs w:val="16"/>
        </w:rPr>
        <w:t>he unemployment and underemployment rates for Western Australia</w:t>
      </w:r>
      <w:r w:rsidR="00C831AC" w:rsidRPr="00EA2D70">
        <w:rPr>
          <w:sz w:val="16"/>
          <w:szCs w:val="16"/>
        </w:rPr>
        <w:t xml:space="preserve"> </w:t>
      </w:r>
      <w:r w:rsidR="00AF0F87" w:rsidRPr="00EA2D70">
        <w:rPr>
          <w:sz w:val="16"/>
          <w:szCs w:val="16"/>
        </w:rPr>
        <w:t>rose</w:t>
      </w:r>
      <w:r w:rsidR="00C831AC" w:rsidRPr="00EA2D70">
        <w:rPr>
          <w:sz w:val="16"/>
          <w:szCs w:val="16"/>
        </w:rPr>
        <w:t xml:space="preserve"> </w:t>
      </w:r>
      <w:r w:rsidR="00233755" w:rsidRPr="00EA2D70">
        <w:rPr>
          <w:sz w:val="16"/>
          <w:szCs w:val="16"/>
        </w:rPr>
        <w:t xml:space="preserve">in </w:t>
      </w:r>
      <w:r w:rsidR="00AF0F87" w:rsidRPr="00EA2D70">
        <w:rPr>
          <w:sz w:val="16"/>
          <w:szCs w:val="16"/>
        </w:rPr>
        <w:t>September</w:t>
      </w:r>
      <w:r w:rsidR="00233755" w:rsidRPr="00EA2D70">
        <w:rPr>
          <w:sz w:val="16"/>
          <w:szCs w:val="16"/>
        </w:rPr>
        <w:t> 2025 from the previous month:</w:t>
      </w:r>
    </w:p>
    <w:p w14:paraId="4AE9714C" w14:textId="3CA8CD9A" w:rsidR="00233755" w:rsidRPr="00EA2D70" w:rsidRDefault="00D74556" w:rsidP="006058E8">
      <w:pPr>
        <w:pStyle w:val="ListParagraph"/>
        <w:numPr>
          <w:ilvl w:val="0"/>
          <w:numId w:val="10"/>
        </w:numPr>
        <w:spacing w:before="40" w:after="40"/>
        <w:ind w:right="227" w:hanging="357"/>
        <w:contextualSpacing w:val="0"/>
        <w:jc w:val="both"/>
        <w:rPr>
          <w:sz w:val="16"/>
          <w:szCs w:val="16"/>
        </w:rPr>
      </w:pPr>
      <w:r w:rsidRPr="00EA2D70">
        <w:rPr>
          <w:sz w:val="16"/>
          <w:szCs w:val="16"/>
        </w:rPr>
        <w:t>t</w:t>
      </w:r>
      <w:r w:rsidR="00233755" w:rsidRPr="00EA2D70">
        <w:rPr>
          <w:sz w:val="16"/>
          <w:szCs w:val="16"/>
        </w:rPr>
        <w:t xml:space="preserve">he unemployment rate was </w:t>
      </w:r>
      <w:r w:rsidR="00AF0F87" w:rsidRPr="00EA2D70">
        <w:rPr>
          <w:sz w:val="16"/>
          <w:szCs w:val="16"/>
        </w:rPr>
        <w:t>4.3</w:t>
      </w:r>
      <w:r w:rsidR="008A7F0E" w:rsidRPr="00EA2D70">
        <w:rPr>
          <w:sz w:val="16"/>
          <w:szCs w:val="16"/>
        </w:rPr>
        <w:t xml:space="preserve">% </w:t>
      </w:r>
      <w:r w:rsidR="00233755" w:rsidRPr="00EA2D70">
        <w:rPr>
          <w:sz w:val="16"/>
          <w:szCs w:val="16"/>
        </w:rPr>
        <w:t xml:space="preserve">in </w:t>
      </w:r>
      <w:r w:rsidR="00DC77B6" w:rsidRPr="00EA2D70">
        <w:rPr>
          <w:sz w:val="16"/>
          <w:szCs w:val="16"/>
        </w:rPr>
        <w:t>September</w:t>
      </w:r>
      <w:r w:rsidR="00233755" w:rsidRPr="00EA2D70">
        <w:rPr>
          <w:sz w:val="16"/>
          <w:szCs w:val="16"/>
        </w:rPr>
        <w:t xml:space="preserve"> 2025, </w:t>
      </w:r>
      <w:r w:rsidR="00DC77B6" w:rsidRPr="00EA2D70">
        <w:rPr>
          <w:sz w:val="16"/>
          <w:szCs w:val="16"/>
        </w:rPr>
        <w:t>up</w:t>
      </w:r>
      <w:r w:rsidR="00233755" w:rsidRPr="00EA2D70">
        <w:rPr>
          <w:sz w:val="16"/>
          <w:szCs w:val="16"/>
        </w:rPr>
        <w:t xml:space="preserve"> from </w:t>
      </w:r>
      <w:r w:rsidR="00DC77B6" w:rsidRPr="00EA2D70">
        <w:rPr>
          <w:sz w:val="16"/>
          <w:szCs w:val="16"/>
        </w:rPr>
        <w:t>3.9</w:t>
      </w:r>
      <w:r w:rsidR="00233755" w:rsidRPr="00EA2D70">
        <w:rPr>
          <w:sz w:val="16"/>
          <w:szCs w:val="16"/>
        </w:rPr>
        <w:t xml:space="preserve">% in </w:t>
      </w:r>
      <w:r w:rsidR="00DC77B6" w:rsidRPr="00EA2D70">
        <w:rPr>
          <w:sz w:val="16"/>
          <w:szCs w:val="16"/>
        </w:rPr>
        <w:t>August</w:t>
      </w:r>
      <w:r w:rsidR="00233755" w:rsidRPr="00EA2D70">
        <w:rPr>
          <w:sz w:val="16"/>
          <w:szCs w:val="16"/>
        </w:rPr>
        <w:t> 2025</w:t>
      </w:r>
    </w:p>
    <w:p w14:paraId="78AC3DC8" w14:textId="35B96C17" w:rsidR="00233755" w:rsidRPr="00EA2D70" w:rsidRDefault="00D74556" w:rsidP="006058E8">
      <w:pPr>
        <w:pStyle w:val="ListParagraph"/>
        <w:numPr>
          <w:ilvl w:val="0"/>
          <w:numId w:val="10"/>
        </w:numPr>
        <w:spacing w:before="40" w:after="40"/>
        <w:ind w:right="227" w:hanging="357"/>
        <w:contextualSpacing w:val="0"/>
        <w:jc w:val="both"/>
        <w:rPr>
          <w:sz w:val="16"/>
          <w:szCs w:val="16"/>
        </w:rPr>
      </w:pPr>
      <w:r w:rsidRPr="00EA2D70">
        <w:rPr>
          <w:sz w:val="16"/>
          <w:szCs w:val="16"/>
        </w:rPr>
        <w:t>t</w:t>
      </w:r>
      <w:r w:rsidR="00233755" w:rsidRPr="00EA2D70">
        <w:rPr>
          <w:sz w:val="16"/>
          <w:szCs w:val="16"/>
        </w:rPr>
        <w:t xml:space="preserve">he underemployment rate was </w:t>
      </w:r>
      <w:r w:rsidR="00DC77B6" w:rsidRPr="00EA2D70">
        <w:rPr>
          <w:sz w:val="16"/>
          <w:szCs w:val="16"/>
        </w:rPr>
        <w:t>5</w:t>
      </w:r>
      <w:r w:rsidR="00233755" w:rsidRPr="00EA2D70">
        <w:rPr>
          <w:sz w:val="16"/>
          <w:szCs w:val="16"/>
        </w:rPr>
        <w:t>.</w:t>
      </w:r>
      <w:r w:rsidR="00C831AC" w:rsidRPr="00EA2D70">
        <w:rPr>
          <w:sz w:val="16"/>
          <w:szCs w:val="16"/>
        </w:rPr>
        <w:t>7</w:t>
      </w:r>
      <w:r w:rsidR="00233755" w:rsidRPr="00EA2D70">
        <w:rPr>
          <w:sz w:val="16"/>
          <w:szCs w:val="16"/>
        </w:rPr>
        <w:t xml:space="preserve">% in </w:t>
      </w:r>
      <w:r w:rsidR="00DC77B6" w:rsidRPr="00EA2D70">
        <w:rPr>
          <w:sz w:val="16"/>
          <w:szCs w:val="16"/>
        </w:rPr>
        <w:t>September</w:t>
      </w:r>
      <w:r w:rsidR="00233755" w:rsidRPr="00EA2D70">
        <w:rPr>
          <w:sz w:val="16"/>
          <w:szCs w:val="16"/>
        </w:rPr>
        <w:t xml:space="preserve"> 2025, </w:t>
      </w:r>
      <w:r w:rsidR="00DC77B6" w:rsidRPr="00EA2D70">
        <w:rPr>
          <w:sz w:val="16"/>
          <w:szCs w:val="16"/>
        </w:rPr>
        <w:t>up</w:t>
      </w:r>
      <w:r w:rsidR="000B686D" w:rsidRPr="00EA2D70">
        <w:rPr>
          <w:sz w:val="16"/>
          <w:szCs w:val="16"/>
        </w:rPr>
        <w:t xml:space="preserve"> </w:t>
      </w:r>
      <w:r w:rsidR="00233755" w:rsidRPr="00EA2D70">
        <w:rPr>
          <w:sz w:val="16"/>
          <w:szCs w:val="16"/>
        </w:rPr>
        <w:t xml:space="preserve">from </w:t>
      </w:r>
      <w:r w:rsidR="00DC77B6" w:rsidRPr="00EA2D70">
        <w:rPr>
          <w:sz w:val="16"/>
          <w:szCs w:val="16"/>
        </w:rPr>
        <w:t>4.7</w:t>
      </w:r>
      <w:r w:rsidR="00233755" w:rsidRPr="00EA2D70">
        <w:rPr>
          <w:sz w:val="16"/>
          <w:szCs w:val="16"/>
        </w:rPr>
        <w:t xml:space="preserve">% in </w:t>
      </w:r>
      <w:r w:rsidR="00DC77B6" w:rsidRPr="00EA2D70">
        <w:rPr>
          <w:sz w:val="16"/>
          <w:szCs w:val="16"/>
        </w:rPr>
        <w:t>August</w:t>
      </w:r>
      <w:r w:rsidR="00233755" w:rsidRPr="00EA2D70">
        <w:rPr>
          <w:sz w:val="16"/>
          <w:szCs w:val="16"/>
        </w:rPr>
        <w:t> 2025.</w:t>
      </w:r>
    </w:p>
    <w:p w14:paraId="466300B8" w14:textId="4643F4CA" w:rsidR="00233755" w:rsidRPr="00C23306" w:rsidRDefault="003C7A5E" w:rsidP="006058E8">
      <w:pPr>
        <w:pStyle w:val="ListParagraph"/>
        <w:numPr>
          <w:ilvl w:val="0"/>
          <w:numId w:val="9"/>
        </w:numPr>
        <w:spacing w:before="40" w:after="40"/>
        <w:ind w:left="357" w:right="227" w:hanging="357"/>
        <w:contextualSpacing w:val="0"/>
        <w:jc w:val="both"/>
        <w:rPr>
          <w:sz w:val="16"/>
          <w:szCs w:val="16"/>
        </w:rPr>
      </w:pPr>
      <w:r w:rsidRPr="00EA2D70">
        <w:rPr>
          <w:sz w:val="16"/>
          <w:szCs w:val="16"/>
        </w:rPr>
        <w:t xml:space="preserve">In </w:t>
      </w:r>
      <w:r w:rsidR="00DC77B6" w:rsidRPr="00EA2D70">
        <w:rPr>
          <w:sz w:val="16"/>
          <w:szCs w:val="16"/>
        </w:rPr>
        <w:t>September</w:t>
      </w:r>
      <w:r w:rsidRPr="00EA2D70">
        <w:rPr>
          <w:sz w:val="16"/>
          <w:szCs w:val="16"/>
        </w:rPr>
        <w:t> 2025, there were 0.</w:t>
      </w:r>
      <w:r w:rsidR="008F1073" w:rsidRPr="00EA2D70">
        <w:rPr>
          <w:sz w:val="16"/>
          <w:szCs w:val="16"/>
        </w:rPr>
        <w:t>3</w:t>
      </w:r>
      <w:r w:rsidR="00A17F29" w:rsidRPr="00EA2D70">
        <w:rPr>
          <w:sz w:val="16"/>
          <w:szCs w:val="16"/>
        </w:rPr>
        <w:t>6</w:t>
      </w:r>
      <w:r w:rsidRPr="00EA2D70">
        <w:rPr>
          <w:sz w:val="16"/>
          <w:szCs w:val="16"/>
        </w:rPr>
        <w:t xml:space="preserve"> internet job vacancies for every unemployed person in Western Australia. This ratio has declined from its peak of 0.68 in August 2022, although </w:t>
      </w:r>
      <w:r w:rsidRPr="00F439A9">
        <w:rPr>
          <w:sz w:val="16"/>
          <w:szCs w:val="16"/>
        </w:rPr>
        <w:t>it remains much higher than its historical low of 0.09 in May 2020.</w:t>
      </w:r>
    </w:p>
    <w:p w14:paraId="5F1F7573" w14:textId="77777777" w:rsidR="00233755" w:rsidRPr="008842C9" w:rsidRDefault="00233755" w:rsidP="006058E8">
      <w:pPr>
        <w:pStyle w:val="ListParagraph"/>
        <w:numPr>
          <w:ilvl w:val="0"/>
          <w:numId w:val="9"/>
        </w:numPr>
        <w:rPr>
          <w:sz w:val="16"/>
          <w:szCs w:val="16"/>
        </w:rPr>
        <w:sectPr w:rsidR="00233755" w:rsidRPr="008842C9" w:rsidSect="00233755">
          <w:type w:val="continuous"/>
          <w:pgSz w:w="11907" w:h="16840" w:code="9"/>
          <w:pgMar w:top="1701" w:right="425" w:bottom="567" w:left="567" w:header="709" w:footer="709" w:gutter="0"/>
          <w:cols w:num="2" w:space="113"/>
          <w:docGrid w:linePitch="360"/>
        </w:sectPr>
      </w:pPr>
    </w:p>
    <w:p w14:paraId="51B0787D" w14:textId="1B36EB9D"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Unemployment</w:t>
      </w:r>
      <w:r w:rsidRPr="00CF7CD6">
        <w:rPr>
          <w:i w:val="0"/>
          <w:iCs w:val="0"/>
          <w:color w:val="00997A"/>
          <w:sz w:val="20"/>
          <w:szCs w:val="20"/>
          <w:vertAlign w:val="superscript"/>
        </w:rPr>
        <w:t>1</w:t>
      </w:r>
      <w:r w:rsidRPr="00CF7CD6">
        <w:rPr>
          <w:i w:val="0"/>
          <w:iCs w:val="0"/>
          <w:color w:val="00997A"/>
          <w:sz w:val="20"/>
          <w:szCs w:val="20"/>
        </w:rPr>
        <w:t xml:space="preserve"> to employment ratio by industry:</w:t>
      </w:r>
      <w:r w:rsidR="00F74530">
        <w:rPr>
          <w:i w:val="0"/>
          <w:iCs w:val="0"/>
          <w:color w:val="00997A"/>
          <w:sz w:val="20"/>
          <w:szCs w:val="20"/>
        </w:rPr>
        <w:t xml:space="preserve"> September </w:t>
      </w:r>
      <w:r w:rsidRPr="00CF7CD6">
        <w:rPr>
          <w:i w:val="0"/>
          <w:iCs w:val="0"/>
          <w:color w:val="00997A"/>
          <w:sz w:val="20"/>
          <w:szCs w:val="20"/>
        </w:rPr>
        <w:t>quarter 2025</w:t>
      </w:r>
    </w:p>
    <w:p w14:paraId="03FC575D" w14:textId="59DC0420" w:rsidR="00001E89" w:rsidRDefault="00630DB8" w:rsidP="00233755">
      <w:pPr>
        <w:jc w:val="both"/>
        <w:rPr>
          <w:rFonts w:eastAsiaTheme="majorEastAsia"/>
        </w:rPr>
      </w:pPr>
      <w:r>
        <w:rPr>
          <w:rFonts w:eastAsiaTheme="majorEastAsia"/>
          <w:noProof/>
        </w:rPr>
        <w:drawing>
          <wp:inline distT="0" distB="0" distL="0" distR="0" wp14:anchorId="7591C803" wp14:editId="79CC4326">
            <wp:extent cx="3421294" cy="2100631"/>
            <wp:effectExtent l="0" t="0" r="8255" b="0"/>
            <wp:docPr id="7845227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9194" cy="2111621"/>
                    </a:xfrm>
                    <a:prstGeom prst="rect">
                      <a:avLst/>
                    </a:prstGeom>
                    <a:noFill/>
                    <a:ln>
                      <a:noFill/>
                    </a:ln>
                  </pic:spPr>
                </pic:pic>
              </a:graphicData>
            </a:graphic>
          </wp:inline>
        </w:drawing>
      </w:r>
    </w:p>
    <w:p w14:paraId="1CD05F86" w14:textId="60B467BB" w:rsidR="00233755" w:rsidRPr="003E33BA" w:rsidRDefault="00233755" w:rsidP="00233755">
      <w:pPr>
        <w:jc w:val="both"/>
        <w:rPr>
          <w:sz w:val="10"/>
          <w:szCs w:val="10"/>
        </w:rPr>
      </w:pPr>
      <w:r w:rsidRPr="003E33BA">
        <w:rPr>
          <w:sz w:val="10"/>
        </w:rPr>
        <w:t xml:space="preserve">Note – </w:t>
      </w:r>
      <w:r w:rsidRPr="003E33BA">
        <w:rPr>
          <w:sz w:val="10"/>
          <w:szCs w:val="10"/>
        </w:rPr>
        <w:t xml:space="preserve">Original series. Average of the latest four quarters. Data is collected for the middle month of each quarter (February, May, August and November). </w:t>
      </w:r>
      <w:r w:rsidRPr="003E33BA">
        <w:rPr>
          <w:sz w:val="10"/>
          <w:szCs w:val="10"/>
          <w:vertAlign w:val="superscript"/>
        </w:rPr>
        <w:t>1</w:t>
      </w:r>
      <w:r w:rsidRPr="003E33BA">
        <w:rPr>
          <w:sz w:val="10"/>
          <w:szCs w:val="10"/>
        </w:rPr>
        <w:t xml:space="preserve"> Unemployed </w:t>
      </w:r>
      <w:proofErr w:type="gramStart"/>
      <w:r w:rsidRPr="003E33BA">
        <w:rPr>
          <w:sz w:val="10"/>
          <w:szCs w:val="10"/>
        </w:rPr>
        <w:t>persons</w:t>
      </w:r>
      <w:proofErr w:type="gramEnd"/>
      <w:r w:rsidRPr="003E33BA">
        <w:rPr>
          <w:sz w:val="10"/>
          <w:szCs w:val="10"/>
        </w:rPr>
        <w:t xml:space="preserve"> by industry of last job.</w:t>
      </w:r>
    </w:p>
    <w:p w14:paraId="00ED5B0B" w14:textId="77777777" w:rsidR="00233755" w:rsidRPr="003E33BA" w:rsidRDefault="00233755" w:rsidP="00233755">
      <w:pPr>
        <w:jc w:val="both"/>
        <w:rPr>
          <w:sz w:val="10"/>
          <w:szCs w:val="10"/>
        </w:rPr>
      </w:pPr>
      <w:r w:rsidRPr="003E33BA">
        <w:rPr>
          <w:sz w:val="10"/>
          <w:szCs w:val="10"/>
        </w:rPr>
        <w:t>Source: Based on ABS data.</w:t>
      </w:r>
    </w:p>
    <w:p w14:paraId="2CCA73CA" w14:textId="4D733EAB" w:rsidR="00233755" w:rsidRPr="006A38AC"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4615E7" w:rsidRPr="00DE01D4">
        <w:rPr>
          <w:sz w:val="16"/>
          <w:szCs w:val="16"/>
        </w:rPr>
        <w:t>T</w:t>
      </w:r>
      <w:r w:rsidRPr="00DE01D4">
        <w:rPr>
          <w:sz w:val="16"/>
          <w:szCs w:val="16"/>
        </w:rPr>
        <w:t xml:space="preserve">he number of </w:t>
      </w:r>
      <w:r w:rsidRPr="004F4057">
        <w:rPr>
          <w:sz w:val="16"/>
          <w:szCs w:val="16"/>
        </w:rPr>
        <w:t xml:space="preserve">unemployed persons by industry of last job </w:t>
      </w:r>
      <w:r w:rsidR="00672861" w:rsidRPr="004F4057">
        <w:rPr>
          <w:sz w:val="16"/>
          <w:szCs w:val="16"/>
        </w:rPr>
        <w:t xml:space="preserve">provides an </w:t>
      </w:r>
      <w:r w:rsidRPr="004F4057">
        <w:rPr>
          <w:sz w:val="16"/>
          <w:szCs w:val="16"/>
        </w:rPr>
        <w:t>indicat</w:t>
      </w:r>
      <w:r w:rsidR="00672861" w:rsidRPr="004F4057">
        <w:rPr>
          <w:sz w:val="16"/>
          <w:szCs w:val="16"/>
        </w:rPr>
        <w:t>ion</w:t>
      </w:r>
      <w:r w:rsidRPr="004F4057">
        <w:rPr>
          <w:sz w:val="16"/>
          <w:szCs w:val="16"/>
        </w:rPr>
        <w:t xml:space="preserve"> of the potential pool of additional workers available for each industry. </w:t>
      </w:r>
      <w:r w:rsidR="00672861" w:rsidRPr="004F4057">
        <w:rPr>
          <w:sz w:val="16"/>
          <w:szCs w:val="16"/>
        </w:rPr>
        <w:t>As</w:t>
      </w:r>
      <w:r w:rsidRPr="004F4057">
        <w:rPr>
          <w:sz w:val="16"/>
          <w:szCs w:val="16"/>
        </w:rPr>
        <w:t xml:space="preserve"> the largest employing industries tend to have the largest number </w:t>
      </w:r>
      <w:r w:rsidR="00672861" w:rsidRPr="004F4057">
        <w:rPr>
          <w:sz w:val="16"/>
          <w:szCs w:val="16"/>
        </w:rPr>
        <w:t xml:space="preserve">of </w:t>
      </w:r>
      <w:r w:rsidRPr="004F4057">
        <w:rPr>
          <w:sz w:val="16"/>
          <w:szCs w:val="16"/>
        </w:rPr>
        <w:t>unemployed people who last worked in that industry, the ratio of unemployed to employed persons provides a better basis to compare industries.</w:t>
      </w:r>
      <w:bookmarkStart w:id="19" w:name="_Hlk175827894"/>
    </w:p>
    <w:p w14:paraId="6DC8C819" w14:textId="2AF0D475" w:rsidR="00233755" w:rsidRPr="00F74530" w:rsidRDefault="00233755" w:rsidP="006058E8">
      <w:pPr>
        <w:pStyle w:val="ListParagraph"/>
        <w:numPr>
          <w:ilvl w:val="0"/>
          <w:numId w:val="9"/>
        </w:numPr>
        <w:spacing w:before="40" w:after="40"/>
        <w:ind w:right="227" w:hanging="357"/>
        <w:contextualSpacing w:val="0"/>
        <w:jc w:val="both"/>
        <w:rPr>
          <w:sz w:val="16"/>
          <w:szCs w:val="16"/>
        </w:rPr>
      </w:pPr>
      <w:r w:rsidRPr="00F74530">
        <w:rPr>
          <w:sz w:val="16"/>
          <w:szCs w:val="16"/>
        </w:rPr>
        <w:t xml:space="preserve">The industries with the highest average unemployment to employment ratios in the four quarters to </w:t>
      </w:r>
      <w:r w:rsidR="00DE01D4" w:rsidRPr="00F74530">
        <w:rPr>
          <w:sz w:val="16"/>
          <w:szCs w:val="16"/>
        </w:rPr>
        <w:t>September</w:t>
      </w:r>
      <w:r w:rsidR="009C1933" w:rsidRPr="00F74530">
        <w:rPr>
          <w:sz w:val="16"/>
          <w:szCs w:val="16"/>
        </w:rPr>
        <w:t> </w:t>
      </w:r>
      <w:r w:rsidRPr="00F74530">
        <w:rPr>
          <w:sz w:val="16"/>
          <w:szCs w:val="16"/>
        </w:rPr>
        <w:t>2025 were:</w:t>
      </w:r>
    </w:p>
    <w:p w14:paraId="4AB169DE" w14:textId="78A72A98" w:rsidR="00233755" w:rsidRPr="00F74530" w:rsidRDefault="00233755" w:rsidP="006058E8">
      <w:pPr>
        <w:pStyle w:val="ListParagraph"/>
        <w:numPr>
          <w:ilvl w:val="0"/>
          <w:numId w:val="10"/>
        </w:numPr>
        <w:spacing w:before="40" w:after="40"/>
        <w:ind w:right="227" w:hanging="357"/>
        <w:contextualSpacing w:val="0"/>
        <w:jc w:val="both"/>
        <w:rPr>
          <w:sz w:val="16"/>
          <w:szCs w:val="16"/>
        </w:rPr>
      </w:pPr>
      <w:r w:rsidRPr="00F74530">
        <w:rPr>
          <w:sz w:val="16"/>
          <w:szCs w:val="16"/>
        </w:rPr>
        <w:t>accommodation and food services (0.05</w:t>
      </w:r>
      <w:r w:rsidR="00DE01D4" w:rsidRPr="00F74530">
        <w:rPr>
          <w:sz w:val="16"/>
          <w:szCs w:val="16"/>
        </w:rPr>
        <w:t>4</w:t>
      </w:r>
      <w:r w:rsidRPr="00F74530">
        <w:rPr>
          <w:sz w:val="16"/>
          <w:szCs w:val="16"/>
        </w:rPr>
        <w:t>)</w:t>
      </w:r>
    </w:p>
    <w:p w14:paraId="12F8F7BC" w14:textId="4FD8D2BF" w:rsidR="00DE01D4" w:rsidRPr="00F74530" w:rsidRDefault="00DE01D4" w:rsidP="00DE01D4">
      <w:pPr>
        <w:pStyle w:val="ListParagraph"/>
        <w:numPr>
          <w:ilvl w:val="0"/>
          <w:numId w:val="10"/>
        </w:numPr>
        <w:spacing w:before="40" w:after="40"/>
        <w:ind w:right="227" w:hanging="357"/>
        <w:contextualSpacing w:val="0"/>
        <w:jc w:val="both"/>
        <w:rPr>
          <w:sz w:val="16"/>
          <w:szCs w:val="16"/>
        </w:rPr>
      </w:pPr>
      <w:r w:rsidRPr="00F74530">
        <w:rPr>
          <w:sz w:val="16"/>
          <w:szCs w:val="16"/>
        </w:rPr>
        <w:t>administrative and support services (0.050)</w:t>
      </w:r>
    </w:p>
    <w:p w14:paraId="133758C5" w14:textId="1599A045" w:rsidR="00233755" w:rsidRPr="00F74530" w:rsidRDefault="00DE01D4" w:rsidP="006058E8">
      <w:pPr>
        <w:pStyle w:val="ListParagraph"/>
        <w:numPr>
          <w:ilvl w:val="0"/>
          <w:numId w:val="10"/>
        </w:numPr>
        <w:spacing w:before="40" w:after="40"/>
        <w:ind w:right="227" w:hanging="357"/>
        <w:contextualSpacing w:val="0"/>
        <w:jc w:val="both"/>
        <w:rPr>
          <w:sz w:val="16"/>
          <w:szCs w:val="16"/>
        </w:rPr>
      </w:pPr>
      <w:r w:rsidRPr="00F74530">
        <w:rPr>
          <w:sz w:val="16"/>
          <w:szCs w:val="16"/>
        </w:rPr>
        <w:t>retail trade</w:t>
      </w:r>
      <w:r w:rsidR="00233755" w:rsidRPr="00F74530">
        <w:rPr>
          <w:sz w:val="16"/>
          <w:szCs w:val="16"/>
        </w:rPr>
        <w:t xml:space="preserve"> (0.0</w:t>
      </w:r>
      <w:r w:rsidRPr="00F74530">
        <w:rPr>
          <w:sz w:val="16"/>
          <w:szCs w:val="16"/>
        </w:rPr>
        <w:t>39</w:t>
      </w:r>
      <w:r w:rsidR="00233755" w:rsidRPr="00F74530">
        <w:rPr>
          <w:sz w:val="16"/>
          <w:szCs w:val="16"/>
        </w:rPr>
        <w:t>)</w:t>
      </w:r>
      <w:r w:rsidR="00557DEA" w:rsidRPr="00F74530">
        <w:rPr>
          <w:sz w:val="16"/>
          <w:szCs w:val="16"/>
        </w:rPr>
        <w:t>.</w:t>
      </w:r>
    </w:p>
    <w:bookmarkEnd w:id="19"/>
    <w:p w14:paraId="5A6C4BF7" w14:textId="422E8A59" w:rsidR="00233755" w:rsidRPr="00F74530" w:rsidRDefault="00233755" w:rsidP="006058E8">
      <w:pPr>
        <w:pStyle w:val="ListParagraph"/>
        <w:numPr>
          <w:ilvl w:val="0"/>
          <w:numId w:val="9"/>
        </w:numPr>
        <w:spacing w:before="40" w:after="40"/>
        <w:ind w:right="227" w:hanging="357"/>
        <w:contextualSpacing w:val="0"/>
        <w:jc w:val="both"/>
        <w:rPr>
          <w:sz w:val="16"/>
          <w:szCs w:val="16"/>
        </w:rPr>
      </w:pPr>
      <w:r w:rsidRPr="00F74530">
        <w:rPr>
          <w:sz w:val="16"/>
          <w:szCs w:val="16"/>
        </w:rPr>
        <w:t xml:space="preserve">The industries with the lowest average unemployment to employment ratios in the four quarters to </w:t>
      </w:r>
      <w:r w:rsidR="00E64AD7" w:rsidRPr="00F74530">
        <w:rPr>
          <w:sz w:val="16"/>
          <w:szCs w:val="16"/>
        </w:rPr>
        <w:t>June</w:t>
      </w:r>
      <w:r w:rsidRPr="00F74530">
        <w:rPr>
          <w:sz w:val="16"/>
          <w:szCs w:val="16"/>
        </w:rPr>
        <w:t xml:space="preserve"> 2025 were:</w:t>
      </w:r>
    </w:p>
    <w:p w14:paraId="699F4C05" w14:textId="16F71CFB" w:rsidR="0042133D" w:rsidRPr="00F74530" w:rsidRDefault="0042133D" w:rsidP="0042133D">
      <w:pPr>
        <w:pStyle w:val="ListParagraph"/>
        <w:numPr>
          <w:ilvl w:val="0"/>
          <w:numId w:val="10"/>
        </w:numPr>
        <w:spacing w:before="40" w:after="40"/>
        <w:ind w:right="227" w:hanging="357"/>
        <w:contextualSpacing w:val="0"/>
        <w:jc w:val="both"/>
        <w:rPr>
          <w:sz w:val="16"/>
          <w:szCs w:val="16"/>
        </w:rPr>
      </w:pPr>
      <w:r w:rsidRPr="00F74530">
        <w:rPr>
          <w:sz w:val="16"/>
          <w:szCs w:val="16"/>
        </w:rPr>
        <w:t>mining (0.010)</w:t>
      </w:r>
    </w:p>
    <w:p w14:paraId="4A4BCBBE" w14:textId="77777777" w:rsidR="0042133D" w:rsidRPr="00F74530" w:rsidRDefault="0042133D" w:rsidP="0042133D">
      <w:pPr>
        <w:pStyle w:val="ListParagraph"/>
        <w:numPr>
          <w:ilvl w:val="0"/>
          <w:numId w:val="10"/>
        </w:numPr>
        <w:spacing w:before="40" w:after="40"/>
        <w:ind w:right="227" w:hanging="357"/>
        <w:contextualSpacing w:val="0"/>
        <w:jc w:val="both"/>
        <w:rPr>
          <w:sz w:val="16"/>
          <w:szCs w:val="16"/>
        </w:rPr>
      </w:pPr>
      <w:r w:rsidRPr="00F74530">
        <w:rPr>
          <w:sz w:val="16"/>
          <w:szCs w:val="16"/>
        </w:rPr>
        <w:t>public administration and safety (0.012)</w:t>
      </w:r>
    </w:p>
    <w:p w14:paraId="3AFB3AE4" w14:textId="01FCCFDA" w:rsidR="00DE01D4" w:rsidRPr="00F74530" w:rsidRDefault="00DE01D4" w:rsidP="00DE01D4">
      <w:pPr>
        <w:pStyle w:val="ListParagraph"/>
        <w:numPr>
          <w:ilvl w:val="0"/>
          <w:numId w:val="10"/>
        </w:numPr>
        <w:spacing w:before="40" w:after="40"/>
        <w:ind w:right="227" w:hanging="357"/>
        <w:contextualSpacing w:val="0"/>
        <w:jc w:val="both"/>
        <w:rPr>
          <w:sz w:val="16"/>
          <w:szCs w:val="16"/>
        </w:rPr>
      </w:pPr>
      <w:r w:rsidRPr="00F74530">
        <w:rPr>
          <w:sz w:val="16"/>
          <w:szCs w:val="16"/>
        </w:rPr>
        <w:t>health care and social assistance (0.013)</w:t>
      </w:r>
      <w:r w:rsidR="00557DEA" w:rsidRPr="00F74530">
        <w:rPr>
          <w:sz w:val="16"/>
          <w:szCs w:val="16"/>
        </w:rPr>
        <w:t>.</w:t>
      </w:r>
    </w:p>
    <w:p w14:paraId="2A045B52" w14:textId="77777777" w:rsidR="00233755" w:rsidRPr="00D938C5" w:rsidRDefault="00233755" w:rsidP="00233755">
      <w:pPr>
        <w:spacing w:before="40" w:after="40"/>
        <w:ind w:right="227"/>
        <w:jc w:val="both"/>
        <w:rPr>
          <w:color w:val="00B050"/>
          <w:sz w:val="16"/>
          <w:szCs w:val="16"/>
        </w:rPr>
        <w:sectPr w:rsidR="00233755" w:rsidRPr="00D938C5" w:rsidSect="00233755">
          <w:type w:val="continuous"/>
          <w:pgSz w:w="11907" w:h="16840" w:code="9"/>
          <w:pgMar w:top="1701" w:right="425" w:bottom="567" w:left="567" w:header="709" w:footer="709" w:gutter="0"/>
          <w:cols w:num="2" w:space="113"/>
          <w:docGrid w:linePitch="360"/>
        </w:sectPr>
      </w:pPr>
    </w:p>
    <w:p w14:paraId="04301FD3"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0" w:name="_Labour_market_–_2"/>
      <w:bookmarkEnd w:id="20"/>
      <w:r w:rsidRPr="008F7AA0">
        <w:rPr>
          <w:bCs/>
          <w:color w:val="004C3D"/>
          <w:sz w:val="24"/>
          <w:szCs w:val="24"/>
        </w:rPr>
        <w:lastRenderedPageBreak/>
        <w:t>Labour market – wages</w:t>
      </w:r>
    </w:p>
    <w:p w14:paraId="45419C9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12257BB"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Wage price index (change) and labour utilisation rate</w:t>
      </w:r>
    </w:p>
    <w:p w14:paraId="1D8C5DDA" w14:textId="6D16C0E0" w:rsidR="00233755" w:rsidRPr="007B1AE5" w:rsidRDefault="00D65644" w:rsidP="00233755">
      <w:r>
        <w:rPr>
          <w:noProof/>
        </w:rPr>
        <w:drawing>
          <wp:inline distT="0" distB="0" distL="0" distR="0" wp14:anchorId="2E472F31" wp14:editId="4C17E629">
            <wp:extent cx="3369923" cy="2081369"/>
            <wp:effectExtent l="0" t="0" r="2540" b="0"/>
            <wp:docPr id="175378973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80978" cy="2088197"/>
                    </a:xfrm>
                    <a:prstGeom prst="rect">
                      <a:avLst/>
                    </a:prstGeom>
                    <a:noFill/>
                    <a:ln>
                      <a:noFill/>
                    </a:ln>
                  </pic:spPr>
                </pic:pic>
              </a:graphicData>
            </a:graphic>
          </wp:inline>
        </w:drawing>
      </w:r>
    </w:p>
    <w:p w14:paraId="2CF94186" w14:textId="77777777" w:rsidR="00233755" w:rsidRPr="00847561" w:rsidRDefault="00233755" w:rsidP="00233755">
      <w:pPr>
        <w:jc w:val="both"/>
        <w:rPr>
          <w:sz w:val="10"/>
          <w:szCs w:val="10"/>
        </w:rPr>
      </w:pPr>
      <w:r w:rsidRPr="000C0C45">
        <w:rPr>
          <w:sz w:val="10"/>
        </w:rPr>
        <w:t xml:space="preserve">Note – </w:t>
      </w:r>
      <w:r w:rsidRPr="00AF759E">
        <w:rPr>
          <w:sz w:val="10"/>
          <w:szCs w:val="10"/>
        </w:rPr>
        <w:t xml:space="preserve">Current </w:t>
      </w:r>
      <w:r w:rsidRPr="00847561">
        <w:rPr>
          <w:sz w:val="10"/>
          <w:szCs w:val="10"/>
        </w:rPr>
        <w:t xml:space="preserve">prices. Original series. Year-on-year change in quarterly wage price index. 2008-09 = 100.0. Right vertical axis does not start at zero. (a) The labour utilisation rate is the proportion of persons in the labour force </w:t>
      </w:r>
      <w:proofErr w:type="gramStart"/>
      <w:r w:rsidRPr="00847561">
        <w:rPr>
          <w:sz w:val="10"/>
          <w:szCs w:val="10"/>
        </w:rPr>
        <w:t>not underutilised</w:t>
      </w:r>
      <w:proofErr w:type="gramEnd"/>
      <w:r w:rsidRPr="00847561">
        <w:rPr>
          <w:sz w:val="10"/>
          <w:szCs w:val="10"/>
        </w:rPr>
        <w:t>.</w:t>
      </w:r>
    </w:p>
    <w:p w14:paraId="7153820A" w14:textId="77777777" w:rsidR="00233755" w:rsidRPr="00847561" w:rsidRDefault="00233755" w:rsidP="00233755">
      <w:pPr>
        <w:jc w:val="both"/>
        <w:rPr>
          <w:sz w:val="10"/>
          <w:szCs w:val="10"/>
        </w:rPr>
      </w:pPr>
      <w:r w:rsidRPr="00847561">
        <w:rPr>
          <w:sz w:val="10"/>
          <w:szCs w:val="10"/>
        </w:rPr>
        <w:t>Source: Based on ABS data.</w:t>
      </w:r>
    </w:p>
    <w:p w14:paraId="2BB09F59" w14:textId="77777777" w:rsidR="00233755" w:rsidRPr="00847561"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1C3E4C">
        <w:rPr>
          <w:color w:val="000000" w:themeColor="text1"/>
          <w:sz w:val="16"/>
          <w:szCs w:val="16"/>
        </w:rPr>
        <w:t xml:space="preserve">Wage </w:t>
      </w:r>
      <w:r w:rsidRPr="00847561">
        <w:rPr>
          <w:sz w:val="16"/>
          <w:szCs w:val="16"/>
        </w:rPr>
        <w:t>growth in Western Australia generally corresponds with the rate of labour utilisation; that is, when the rate of labour utilisation is high and spare capacity is low, employers offer higher wages to attract and retain workers. However, the correlation between labour utilisation and wage growth has not been as strong in recent years.</w:t>
      </w:r>
    </w:p>
    <w:p w14:paraId="31DDF62B" w14:textId="34CFEC11" w:rsidR="00233755" w:rsidRPr="00847561" w:rsidRDefault="00233755" w:rsidP="006058E8">
      <w:pPr>
        <w:pStyle w:val="ListParagraph"/>
        <w:numPr>
          <w:ilvl w:val="0"/>
          <w:numId w:val="10"/>
        </w:numPr>
        <w:spacing w:before="40" w:after="40"/>
        <w:ind w:right="227" w:hanging="357"/>
        <w:contextualSpacing w:val="0"/>
        <w:jc w:val="both"/>
        <w:rPr>
          <w:sz w:val="16"/>
          <w:szCs w:val="16"/>
        </w:rPr>
      </w:pPr>
      <w:r w:rsidRPr="00847561">
        <w:rPr>
          <w:sz w:val="16"/>
          <w:szCs w:val="16"/>
        </w:rPr>
        <w:t>The labour utilisation rate increased sharply in the economic recovery from the COVID</w:t>
      </w:r>
      <w:r w:rsidRPr="00847561">
        <w:rPr>
          <w:sz w:val="16"/>
          <w:szCs w:val="16"/>
        </w:rPr>
        <w:noBreakHyphen/>
        <w:t>19 pandemic</w:t>
      </w:r>
      <w:r w:rsidR="00001E89">
        <w:rPr>
          <w:sz w:val="16"/>
          <w:szCs w:val="16"/>
        </w:rPr>
        <w:t>,</w:t>
      </w:r>
      <w:r w:rsidRPr="00001E89">
        <w:rPr>
          <w:color w:val="FF0000"/>
          <w:sz w:val="16"/>
          <w:szCs w:val="16"/>
        </w:rPr>
        <w:t xml:space="preserve"> </w:t>
      </w:r>
      <w:r w:rsidRPr="00847561">
        <w:rPr>
          <w:sz w:val="16"/>
          <w:szCs w:val="16"/>
        </w:rPr>
        <w:t>but it took some time for wage growth to respond.</w:t>
      </w:r>
    </w:p>
    <w:p w14:paraId="2B39AB7C" w14:textId="7984A3F1" w:rsidR="00233755" w:rsidRPr="008E0DBA" w:rsidRDefault="00233755" w:rsidP="006058E8">
      <w:pPr>
        <w:pStyle w:val="ListParagraph"/>
        <w:numPr>
          <w:ilvl w:val="0"/>
          <w:numId w:val="10"/>
        </w:numPr>
        <w:spacing w:before="40" w:after="40"/>
        <w:ind w:right="227" w:hanging="357"/>
        <w:contextualSpacing w:val="0"/>
        <w:jc w:val="both"/>
        <w:rPr>
          <w:sz w:val="16"/>
          <w:szCs w:val="16"/>
        </w:rPr>
      </w:pPr>
      <w:r w:rsidRPr="008E0DBA">
        <w:rPr>
          <w:sz w:val="16"/>
          <w:szCs w:val="16"/>
        </w:rPr>
        <w:t xml:space="preserve">The labour utilisation rate and wage growth have moved in opposite directions over the </w:t>
      </w:r>
      <w:r w:rsidRPr="00EA6856">
        <w:rPr>
          <w:color w:val="000000" w:themeColor="text1"/>
          <w:sz w:val="16"/>
          <w:szCs w:val="16"/>
        </w:rPr>
        <w:t xml:space="preserve">past </w:t>
      </w:r>
      <w:r w:rsidR="00B9638F" w:rsidRPr="00EA6856">
        <w:rPr>
          <w:color w:val="000000" w:themeColor="text1"/>
          <w:sz w:val="16"/>
          <w:szCs w:val="16"/>
        </w:rPr>
        <w:t>five</w:t>
      </w:r>
      <w:r w:rsidRPr="00EA6856">
        <w:rPr>
          <w:color w:val="000000" w:themeColor="text1"/>
          <w:sz w:val="16"/>
          <w:szCs w:val="16"/>
        </w:rPr>
        <w:t xml:space="preserve"> quarters</w:t>
      </w:r>
      <w:bookmarkStart w:id="21" w:name="_Hlk175827918"/>
      <w:r w:rsidRPr="00EA6856">
        <w:rPr>
          <w:color w:val="000000" w:themeColor="text1"/>
          <w:sz w:val="16"/>
          <w:szCs w:val="16"/>
        </w:rPr>
        <w:t>.</w:t>
      </w:r>
    </w:p>
    <w:p w14:paraId="5E74820C" w14:textId="5F1EC7A3" w:rsidR="00233755" w:rsidRPr="00557DEA" w:rsidRDefault="00233755" w:rsidP="006058E8">
      <w:pPr>
        <w:pStyle w:val="ListParagraph"/>
        <w:numPr>
          <w:ilvl w:val="0"/>
          <w:numId w:val="9"/>
        </w:numPr>
        <w:spacing w:before="40" w:after="40"/>
        <w:ind w:left="357" w:right="227" w:hanging="357"/>
        <w:contextualSpacing w:val="0"/>
        <w:jc w:val="both"/>
        <w:rPr>
          <w:sz w:val="16"/>
          <w:szCs w:val="16"/>
        </w:rPr>
      </w:pPr>
      <w:r w:rsidRPr="00557DEA">
        <w:rPr>
          <w:sz w:val="16"/>
          <w:szCs w:val="16"/>
        </w:rPr>
        <w:t>Wage growth in Western Australia, as measured by the year</w:t>
      </w:r>
      <w:r w:rsidRPr="00557DEA">
        <w:rPr>
          <w:sz w:val="16"/>
          <w:szCs w:val="16"/>
        </w:rPr>
        <w:noBreakHyphen/>
        <w:t>on</w:t>
      </w:r>
      <w:r w:rsidRPr="00557DEA">
        <w:rPr>
          <w:sz w:val="16"/>
          <w:szCs w:val="16"/>
        </w:rPr>
        <w:noBreakHyphen/>
        <w:t xml:space="preserve">year change in the wage price index (WPI), </w:t>
      </w:r>
      <w:r w:rsidR="00B9638F" w:rsidRPr="00557DEA">
        <w:rPr>
          <w:sz w:val="16"/>
          <w:szCs w:val="16"/>
        </w:rPr>
        <w:t xml:space="preserve">remained </w:t>
      </w:r>
      <w:r w:rsidR="00AB7A45" w:rsidRPr="00557DEA">
        <w:rPr>
          <w:sz w:val="16"/>
          <w:szCs w:val="16"/>
        </w:rPr>
        <w:t xml:space="preserve">unchanged </w:t>
      </w:r>
      <w:r w:rsidR="00B9638F" w:rsidRPr="00557DEA">
        <w:rPr>
          <w:sz w:val="16"/>
          <w:szCs w:val="16"/>
        </w:rPr>
        <w:t>at 3.7</w:t>
      </w:r>
      <w:r w:rsidRPr="00557DEA">
        <w:rPr>
          <w:sz w:val="16"/>
          <w:szCs w:val="16"/>
        </w:rPr>
        <w:t xml:space="preserve">% </w:t>
      </w:r>
      <w:r w:rsidR="008A5CDE" w:rsidRPr="00557DEA">
        <w:rPr>
          <w:sz w:val="16"/>
          <w:szCs w:val="16"/>
        </w:rPr>
        <w:t xml:space="preserve">between the March and </w:t>
      </w:r>
      <w:r w:rsidR="00B9638F" w:rsidRPr="00557DEA">
        <w:rPr>
          <w:sz w:val="16"/>
          <w:szCs w:val="16"/>
        </w:rPr>
        <w:t>June quarter</w:t>
      </w:r>
      <w:r w:rsidR="008A5CDE" w:rsidRPr="00557DEA">
        <w:rPr>
          <w:sz w:val="16"/>
          <w:szCs w:val="16"/>
        </w:rPr>
        <w:t>s</w:t>
      </w:r>
      <w:r w:rsidR="00B9638F" w:rsidRPr="00557DEA">
        <w:rPr>
          <w:sz w:val="16"/>
          <w:szCs w:val="16"/>
        </w:rPr>
        <w:t xml:space="preserve"> 2025</w:t>
      </w:r>
      <w:r w:rsidR="008A5CDE" w:rsidRPr="00557DEA">
        <w:rPr>
          <w:sz w:val="16"/>
          <w:szCs w:val="16"/>
        </w:rPr>
        <w:t>.</w:t>
      </w:r>
    </w:p>
    <w:bookmarkEnd w:id="21"/>
    <w:p w14:paraId="36ADE392" w14:textId="12328E2C" w:rsidR="00233755" w:rsidRPr="00F439A9" w:rsidRDefault="00001E89" w:rsidP="006058E8">
      <w:pPr>
        <w:pStyle w:val="ListParagraph"/>
        <w:numPr>
          <w:ilvl w:val="0"/>
          <w:numId w:val="9"/>
        </w:numPr>
        <w:ind w:right="227"/>
        <w:jc w:val="both"/>
        <w:rPr>
          <w:sz w:val="16"/>
          <w:szCs w:val="16"/>
        </w:rPr>
      </w:pPr>
      <w:r w:rsidRPr="009D12D9">
        <w:rPr>
          <w:color w:val="000000" w:themeColor="text1"/>
          <w:sz w:val="16"/>
          <w:szCs w:val="16"/>
        </w:rPr>
        <w:t xml:space="preserve">Average annual wage growth fell from 4.4% in 2023-24 to 3.5% in 2024-25. </w:t>
      </w:r>
      <w:r w:rsidR="008714BB" w:rsidRPr="00F439A9">
        <w:rPr>
          <w:sz w:val="16"/>
          <w:szCs w:val="16"/>
        </w:rPr>
        <w:t>The WA Government State Budget 2025</w:t>
      </w:r>
      <w:r w:rsidR="008714BB" w:rsidRPr="00F439A9">
        <w:rPr>
          <w:sz w:val="16"/>
          <w:szCs w:val="16"/>
        </w:rPr>
        <w:noBreakHyphen/>
        <w:t xml:space="preserve">26 </w:t>
      </w:r>
      <w:r w:rsidR="00233755" w:rsidRPr="00F439A9">
        <w:rPr>
          <w:sz w:val="16"/>
          <w:szCs w:val="16"/>
        </w:rPr>
        <w:t>forecasts Western Australia’s annual average wages will rise 3.5% in 2025-26.</w:t>
      </w:r>
    </w:p>
    <w:p w14:paraId="4A4CD8FF" w14:textId="443A747B" w:rsidR="00233755" w:rsidRPr="008A5CDE" w:rsidRDefault="00001E89" w:rsidP="006058E8">
      <w:pPr>
        <w:pStyle w:val="ListParagraph"/>
        <w:numPr>
          <w:ilvl w:val="0"/>
          <w:numId w:val="9"/>
        </w:numPr>
        <w:ind w:right="227"/>
        <w:jc w:val="both"/>
        <w:rPr>
          <w:color w:val="00B050"/>
          <w:sz w:val="16"/>
          <w:szCs w:val="16"/>
        </w:rPr>
        <w:sectPr w:rsidR="00233755" w:rsidRPr="008A5CDE" w:rsidSect="00233755">
          <w:type w:val="continuous"/>
          <w:pgSz w:w="11907" w:h="16840" w:code="9"/>
          <w:pgMar w:top="1701" w:right="425" w:bottom="567" w:left="567" w:header="709" w:footer="709" w:gutter="0"/>
          <w:cols w:num="2" w:space="113"/>
          <w:docGrid w:linePitch="360"/>
        </w:sectPr>
      </w:pPr>
      <w:r w:rsidRPr="009D12D9">
        <w:rPr>
          <w:color w:val="000000" w:themeColor="text1"/>
          <w:sz w:val="16"/>
          <w:szCs w:val="16"/>
        </w:rPr>
        <w:t>Australia</w:t>
      </w:r>
      <w:r w:rsidR="00B81E14" w:rsidRPr="009D12D9">
        <w:rPr>
          <w:color w:val="000000" w:themeColor="text1"/>
          <w:sz w:val="16"/>
          <w:szCs w:val="16"/>
        </w:rPr>
        <w:t>’s wage growth</w:t>
      </w:r>
      <w:r w:rsidR="00AB7A45" w:rsidRPr="009D12D9">
        <w:rPr>
          <w:color w:val="000000" w:themeColor="text1"/>
          <w:sz w:val="16"/>
          <w:szCs w:val="16"/>
        </w:rPr>
        <w:t xml:space="preserve"> remained unchanged (year-on-year) between the March and June quarters 2025</w:t>
      </w:r>
      <w:r w:rsidR="008A5CDE" w:rsidRPr="009D12D9">
        <w:rPr>
          <w:color w:val="000000" w:themeColor="text1"/>
          <w:sz w:val="16"/>
          <w:szCs w:val="16"/>
        </w:rPr>
        <w:t xml:space="preserve"> at </w:t>
      </w:r>
      <w:r w:rsidR="00AB7A45" w:rsidRPr="009D12D9">
        <w:rPr>
          <w:color w:val="000000" w:themeColor="text1"/>
          <w:sz w:val="16"/>
          <w:szCs w:val="16"/>
        </w:rPr>
        <w:t>3.4%.</w:t>
      </w:r>
      <w:r w:rsidR="008A5CDE" w:rsidRPr="009D12D9">
        <w:rPr>
          <w:color w:val="000000" w:themeColor="text1"/>
          <w:sz w:val="16"/>
          <w:szCs w:val="16"/>
        </w:rPr>
        <w:t xml:space="preserve"> </w:t>
      </w:r>
      <w:r w:rsidRPr="009D12D9">
        <w:rPr>
          <w:color w:val="000000" w:themeColor="text1"/>
          <w:sz w:val="16"/>
          <w:szCs w:val="16"/>
        </w:rPr>
        <w:t>Average annual</w:t>
      </w:r>
      <w:r w:rsidR="00B81E14" w:rsidRPr="009D12D9">
        <w:rPr>
          <w:color w:val="000000" w:themeColor="text1"/>
          <w:sz w:val="16"/>
          <w:szCs w:val="16"/>
        </w:rPr>
        <w:t xml:space="preserve"> wage growth fell from 4.1% in 2023-24 to </w:t>
      </w:r>
      <w:r w:rsidR="008A5CDE" w:rsidRPr="009D12D9">
        <w:rPr>
          <w:color w:val="000000" w:themeColor="text1"/>
          <w:sz w:val="16"/>
          <w:szCs w:val="16"/>
        </w:rPr>
        <w:t>3.4% in 2024-25</w:t>
      </w:r>
      <w:r w:rsidR="00B81E14">
        <w:rPr>
          <w:color w:val="00B050"/>
          <w:sz w:val="16"/>
          <w:szCs w:val="16"/>
        </w:rPr>
        <w:t>.</w:t>
      </w:r>
    </w:p>
    <w:p w14:paraId="012D8DBA"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Wage price index (nominal and real change)</w:t>
      </w:r>
    </w:p>
    <w:p w14:paraId="4BA2B8F0" w14:textId="2D38CA38" w:rsidR="00233755" w:rsidRPr="007B1AE5" w:rsidRDefault="00D65644" w:rsidP="00233755">
      <w:r>
        <w:rPr>
          <w:noProof/>
        </w:rPr>
        <w:drawing>
          <wp:inline distT="0" distB="0" distL="0" distR="0" wp14:anchorId="0E6D49AD" wp14:editId="595AC611">
            <wp:extent cx="3431540" cy="2106202"/>
            <wp:effectExtent l="0" t="0" r="0" b="8890"/>
            <wp:docPr id="69594702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2074" cy="2118805"/>
                    </a:xfrm>
                    <a:prstGeom prst="rect">
                      <a:avLst/>
                    </a:prstGeom>
                    <a:noFill/>
                    <a:ln>
                      <a:noFill/>
                    </a:ln>
                  </pic:spPr>
                </pic:pic>
              </a:graphicData>
            </a:graphic>
          </wp:inline>
        </w:drawing>
      </w:r>
    </w:p>
    <w:p w14:paraId="3C9DBB03"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Nominal = index of current prices. Real = index of current prices deflated by all</w:t>
      </w:r>
      <w:r>
        <w:rPr>
          <w:sz w:val="10"/>
          <w:szCs w:val="10"/>
        </w:rPr>
        <w:noBreakHyphen/>
      </w:r>
      <w:r w:rsidRPr="00AF759E">
        <w:rPr>
          <w:sz w:val="10"/>
          <w:szCs w:val="10"/>
        </w:rPr>
        <w:t>groups consumer price index for Perth. Year-on-year change in quarterly index</w:t>
      </w:r>
      <w:r>
        <w:rPr>
          <w:sz w:val="10"/>
          <w:szCs w:val="10"/>
        </w:rPr>
        <w:t>es.</w:t>
      </w:r>
      <w:r w:rsidRPr="00AF759E">
        <w:rPr>
          <w:sz w:val="10"/>
          <w:szCs w:val="10"/>
        </w:rPr>
        <w:t xml:space="preserve"> (a)</w:t>
      </w:r>
      <w:r>
        <w:rPr>
          <w:sz w:val="10"/>
          <w:szCs w:val="10"/>
        </w:rPr>
        <w:t> Change in all</w:t>
      </w:r>
      <w:r>
        <w:rPr>
          <w:sz w:val="10"/>
          <w:szCs w:val="10"/>
        </w:rPr>
        <w:noBreakHyphen/>
      </w:r>
      <w:r w:rsidRPr="00AF759E">
        <w:rPr>
          <w:sz w:val="10"/>
          <w:szCs w:val="10"/>
        </w:rPr>
        <w:t xml:space="preserve">groups consumer price index for Perth </w:t>
      </w:r>
      <w:r>
        <w:rPr>
          <w:sz w:val="10"/>
          <w:szCs w:val="10"/>
        </w:rPr>
        <w:t>are multiplied by</w:t>
      </w:r>
      <w:r w:rsidRPr="00AF759E">
        <w:rPr>
          <w:sz w:val="10"/>
          <w:szCs w:val="10"/>
        </w:rPr>
        <w:t xml:space="preserve"> negative </w:t>
      </w:r>
      <w:r>
        <w:rPr>
          <w:sz w:val="10"/>
          <w:szCs w:val="10"/>
        </w:rPr>
        <w:t>one,</w:t>
      </w:r>
      <w:r w:rsidRPr="00AF759E">
        <w:rPr>
          <w:sz w:val="10"/>
          <w:szCs w:val="10"/>
        </w:rPr>
        <w:t xml:space="preserve"> given </w:t>
      </w:r>
      <w:r>
        <w:rPr>
          <w:sz w:val="10"/>
          <w:szCs w:val="10"/>
        </w:rPr>
        <w:t>inflation detracts from</w:t>
      </w:r>
      <w:r w:rsidRPr="00AF759E">
        <w:rPr>
          <w:sz w:val="10"/>
          <w:szCs w:val="10"/>
        </w:rPr>
        <w:t xml:space="preserve"> real wages</w:t>
      </w:r>
      <w:r>
        <w:rPr>
          <w:sz w:val="10"/>
          <w:szCs w:val="10"/>
        </w:rPr>
        <w:t>.</w:t>
      </w:r>
    </w:p>
    <w:p w14:paraId="0A1C2FA5" w14:textId="77777777" w:rsidR="00233755" w:rsidRPr="00AF759E" w:rsidRDefault="00233755" w:rsidP="00233755">
      <w:pPr>
        <w:jc w:val="both"/>
        <w:rPr>
          <w:sz w:val="10"/>
          <w:szCs w:val="10"/>
        </w:rPr>
      </w:pPr>
      <w:r w:rsidRPr="00AF759E">
        <w:rPr>
          <w:sz w:val="10"/>
          <w:szCs w:val="10"/>
        </w:rPr>
        <w:t>Source: Based on ABS data.</w:t>
      </w:r>
    </w:p>
    <w:p w14:paraId="765C8057" w14:textId="2372746C" w:rsidR="00233755" w:rsidRPr="00E021BD"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00C918C8" w:rsidRPr="00E021BD">
        <w:rPr>
          <w:color w:val="000000" w:themeColor="text1"/>
          <w:sz w:val="16"/>
          <w:szCs w:val="16"/>
        </w:rPr>
        <w:t>Western Australia’s real wage</w:t>
      </w:r>
      <w:r w:rsidR="00001E89" w:rsidRPr="00E021BD">
        <w:rPr>
          <w:color w:val="000000" w:themeColor="text1"/>
          <w:sz w:val="16"/>
          <w:szCs w:val="16"/>
        </w:rPr>
        <w:t>s</w:t>
      </w:r>
      <w:r w:rsidR="00C918C8" w:rsidRPr="00E021BD">
        <w:rPr>
          <w:color w:val="000000" w:themeColor="text1"/>
          <w:sz w:val="16"/>
          <w:szCs w:val="16"/>
        </w:rPr>
        <w:t xml:space="preserve"> </w:t>
      </w:r>
      <w:r w:rsidR="00FB1564" w:rsidRPr="00E021BD">
        <w:rPr>
          <w:color w:val="000000" w:themeColor="text1"/>
          <w:sz w:val="16"/>
          <w:szCs w:val="16"/>
        </w:rPr>
        <w:t xml:space="preserve">fell </w:t>
      </w:r>
      <w:r w:rsidR="008D16C8" w:rsidRPr="00E021BD">
        <w:rPr>
          <w:color w:val="000000" w:themeColor="text1"/>
          <w:sz w:val="16"/>
          <w:szCs w:val="16"/>
        </w:rPr>
        <w:t>for 10 consecutive quarters between June</w:t>
      </w:r>
      <w:r w:rsidR="00537552">
        <w:rPr>
          <w:color w:val="000000" w:themeColor="text1"/>
          <w:sz w:val="16"/>
          <w:szCs w:val="16"/>
        </w:rPr>
        <w:t> </w:t>
      </w:r>
      <w:r w:rsidR="008D16C8" w:rsidRPr="00E021BD">
        <w:rPr>
          <w:color w:val="000000" w:themeColor="text1"/>
          <w:sz w:val="16"/>
          <w:szCs w:val="16"/>
        </w:rPr>
        <w:t>2021 and September</w:t>
      </w:r>
      <w:r w:rsidR="00537552">
        <w:rPr>
          <w:color w:val="000000" w:themeColor="text1"/>
          <w:sz w:val="16"/>
          <w:szCs w:val="16"/>
        </w:rPr>
        <w:t> </w:t>
      </w:r>
      <w:r w:rsidR="008D16C8" w:rsidRPr="00E021BD">
        <w:rPr>
          <w:color w:val="000000" w:themeColor="text1"/>
          <w:sz w:val="16"/>
          <w:szCs w:val="16"/>
        </w:rPr>
        <w:t xml:space="preserve">2023 </w:t>
      </w:r>
      <w:r w:rsidR="0097574B" w:rsidRPr="00E021BD">
        <w:rPr>
          <w:color w:val="000000" w:themeColor="text1"/>
          <w:sz w:val="16"/>
          <w:szCs w:val="16"/>
        </w:rPr>
        <w:t xml:space="preserve">as </w:t>
      </w:r>
      <w:r w:rsidR="009B5958" w:rsidRPr="00E021BD">
        <w:rPr>
          <w:color w:val="000000" w:themeColor="text1"/>
          <w:sz w:val="16"/>
          <w:szCs w:val="16"/>
        </w:rPr>
        <w:t xml:space="preserve">inflation </w:t>
      </w:r>
      <w:r w:rsidR="008D16C8" w:rsidRPr="00E021BD">
        <w:rPr>
          <w:color w:val="000000" w:themeColor="text1"/>
          <w:sz w:val="16"/>
          <w:szCs w:val="16"/>
        </w:rPr>
        <w:t xml:space="preserve">outpaced </w:t>
      </w:r>
      <w:r w:rsidR="00D94BEC" w:rsidRPr="00E021BD">
        <w:rPr>
          <w:color w:val="000000" w:themeColor="text1"/>
          <w:sz w:val="16"/>
          <w:szCs w:val="16"/>
        </w:rPr>
        <w:t xml:space="preserve">nominal wage growth. </w:t>
      </w:r>
      <w:r w:rsidR="00D753F1" w:rsidRPr="00E021BD">
        <w:rPr>
          <w:color w:val="000000" w:themeColor="text1"/>
          <w:sz w:val="16"/>
          <w:szCs w:val="16"/>
        </w:rPr>
        <w:t xml:space="preserve">However, </w:t>
      </w:r>
      <w:r w:rsidR="00001E89" w:rsidRPr="00E021BD">
        <w:rPr>
          <w:color w:val="000000" w:themeColor="text1"/>
          <w:sz w:val="16"/>
          <w:szCs w:val="16"/>
        </w:rPr>
        <w:t>with inflation</w:t>
      </w:r>
      <w:r w:rsidR="0077036C" w:rsidRPr="00E021BD">
        <w:rPr>
          <w:color w:val="000000" w:themeColor="text1"/>
          <w:sz w:val="16"/>
          <w:szCs w:val="16"/>
        </w:rPr>
        <w:t xml:space="preserve"> returning to around its longer</w:t>
      </w:r>
      <w:r w:rsidR="0077036C" w:rsidRPr="00E021BD">
        <w:rPr>
          <w:color w:val="000000" w:themeColor="text1"/>
          <w:sz w:val="16"/>
          <w:szCs w:val="16"/>
        </w:rPr>
        <w:noBreakHyphen/>
        <w:t xml:space="preserve">term average, </w:t>
      </w:r>
      <w:r w:rsidR="00611C55" w:rsidRPr="00E021BD">
        <w:rPr>
          <w:color w:val="000000" w:themeColor="text1"/>
          <w:sz w:val="16"/>
          <w:szCs w:val="16"/>
        </w:rPr>
        <w:t>real wage</w:t>
      </w:r>
      <w:r w:rsidR="00001E89" w:rsidRPr="00E021BD">
        <w:rPr>
          <w:color w:val="000000" w:themeColor="text1"/>
          <w:sz w:val="16"/>
          <w:szCs w:val="16"/>
        </w:rPr>
        <w:t>s</w:t>
      </w:r>
      <w:r w:rsidR="00611C55" w:rsidRPr="00E021BD">
        <w:rPr>
          <w:color w:val="000000" w:themeColor="text1"/>
          <w:sz w:val="16"/>
          <w:szCs w:val="16"/>
        </w:rPr>
        <w:t xml:space="preserve"> </w:t>
      </w:r>
      <w:r w:rsidR="00AF7640" w:rsidRPr="00E021BD">
        <w:rPr>
          <w:color w:val="000000" w:themeColor="text1"/>
          <w:sz w:val="16"/>
          <w:szCs w:val="16"/>
        </w:rPr>
        <w:t>ha</w:t>
      </w:r>
      <w:r w:rsidR="00001E89" w:rsidRPr="00E021BD">
        <w:rPr>
          <w:color w:val="000000" w:themeColor="text1"/>
          <w:sz w:val="16"/>
          <w:szCs w:val="16"/>
        </w:rPr>
        <w:t>ve</w:t>
      </w:r>
      <w:r w:rsidR="00AF7640" w:rsidRPr="00E021BD">
        <w:rPr>
          <w:color w:val="000000" w:themeColor="text1"/>
          <w:sz w:val="16"/>
          <w:szCs w:val="16"/>
        </w:rPr>
        <w:t xml:space="preserve"> risen</w:t>
      </w:r>
      <w:r w:rsidR="00611C55" w:rsidRPr="00E021BD">
        <w:rPr>
          <w:color w:val="000000" w:themeColor="text1"/>
          <w:sz w:val="16"/>
          <w:szCs w:val="16"/>
        </w:rPr>
        <w:t>.</w:t>
      </w:r>
    </w:p>
    <w:p w14:paraId="55B47AAC" w14:textId="0391DAC8" w:rsidR="00233755" w:rsidRPr="00E021BD" w:rsidRDefault="00DF6549" w:rsidP="006058E8">
      <w:pPr>
        <w:pStyle w:val="ListParagraph"/>
        <w:numPr>
          <w:ilvl w:val="0"/>
          <w:numId w:val="9"/>
        </w:numPr>
        <w:spacing w:before="40" w:after="40"/>
        <w:ind w:left="357" w:right="227" w:hanging="357"/>
        <w:contextualSpacing w:val="0"/>
        <w:jc w:val="both"/>
        <w:rPr>
          <w:color w:val="000000" w:themeColor="text1"/>
          <w:sz w:val="16"/>
          <w:szCs w:val="16"/>
        </w:rPr>
      </w:pPr>
      <w:r w:rsidRPr="00E021BD">
        <w:rPr>
          <w:color w:val="000000" w:themeColor="text1"/>
          <w:sz w:val="16"/>
          <w:szCs w:val="16"/>
        </w:rPr>
        <w:t>The year</w:t>
      </w:r>
      <w:r w:rsidR="00557DEA">
        <w:rPr>
          <w:color w:val="000000" w:themeColor="text1"/>
          <w:sz w:val="16"/>
          <w:szCs w:val="16"/>
        </w:rPr>
        <w:noBreakHyphen/>
      </w:r>
      <w:r w:rsidRPr="00E021BD">
        <w:rPr>
          <w:color w:val="000000" w:themeColor="text1"/>
          <w:sz w:val="16"/>
          <w:szCs w:val="16"/>
        </w:rPr>
        <w:t>on</w:t>
      </w:r>
      <w:r w:rsidR="00557DEA">
        <w:rPr>
          <w:color w:val="000000" w:themeColor="text1"/>
          <w:sz w:val="16"/>
          <w:szCs w:val="16"/>
        </w:rPr>
        <w:noBreakHyphen/>
      </w:r>
      <w:r w:rsidRPr="00E021BD">
        <w:rPr>
          <w:color w:val="000000" w:themeColor="text1"/>
          <w:sz w:val="16"/>
          <w:szCs w:val="16"/>
        </w:rPr>
        <w:t>year change in r</w:t>
      </w:r>
      <w:r w:rsidR="00233755" w:rsidRPr="00E021BD">
        <w:rPr>
          <w:color w:val="000000" w:themeColor="text1"/>
          <w:sz w:val="16"/>
          <w:szCs w:val="16"/>
        </w:rPr>
        <w:t xml:space="preserve">eal wages </w:t>
      </w:r>
      <w:r w:rsidRPr="00E021BD">
        <w:rPr>
          <w:color w:val="000000" w:themeColor="text1"/>
          <w:sz w:val="16"/>
          <w:szCs w:val="16"/>
        </w:rPr>
        <w:t>in Western Australia has been positive</w:t>
      </w:r>
      <w:r w:rsidR="00233755" w:rsidRPr="00E021BD">
        <w:rPr>
          <w:color w:val="000000" w:themeColor="text1"/>
          <w:sz w:val="16"/>
          <w:szCs w:val="16"/>
        </w:rPr>
        <w:t xml:space="preserve"> in </w:t>
      </w:r>
      <w:r w:rsidR="00B81E14" w:rsidRPr="00E021BD">
        <w:rPr>
          <w:color w:val="000000" w:themeColor="text1"/>
          <w:sz w:val="16"/>
          <w:szCs w:val="16"/>
        </w:rPr>
        <w:t>five</w:t>
      </w:r>
      <w:r w:rsidR="00233755" w:rsidRPr="00E021BD">
        <w:rPr>
          <w:color w:val="000000" w:themeColor="text1"/>
          <w:sz w:val="16"/>
          <w:szCs w:val="16"/>
        </w:rPr>
        <w:t xml:space="preserve"> of the past </w:t>
      </w:r>
      <w:r w:rsidR="00B81E14" w:rsidRPr="00E021BD">
        <w:rPr>
          <w:color w:val="000000" w:themeColor="text1"/>
          <w:sz w:val="16"/>
          <w:szCs w:val="16"/>
        </w:rPr>
        <w:t>seven</w:t>
      </w:r>
      <w:r w:rsidR="00233755" w:rsidRPr="00E021BD">
        <w:rPr>
          <w:color w:val="000000" w:themeColor="text1"/>
          <w:sz w:val="16"/>
          <w:szCs w:val="16"/>
        </w:rPr>
        <w:t xml:space="preserve"> quarters,</w:t>
      </w:r>
      <w:r w:rsidR="00B24B7E" w:rsidRPr="00E021BD">
        <w:rPr>
          <w:color w:val="000000" w:themeColor="text1"/>
          <w:sz w:val="16"/>
          <w:szCs w:val="16"/>
        </w:rPr>
        <w:t xml:space="preserve"> despite nominal wage growth falling over this period</w:t>
      </w:r>
      <w:r w:rsidR="00233755" w:rsidRPr="00E021BD">
        <w:rPr>
          <w:color w:val="000000" w:themeColor="text1"/>
          <w:sz w:val="16"/>
          <w:szCs w:val="16"/>
        </w:rPr>
        <w:t>.</w:t>
      </w:r>
    </w:p>
    <w:p w14:paraId="07D2F613" w14:textId="36259F39" w:rsidR="00233755" w:rsidRPr="00E021BD"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E021BD">
        <w:rPr>
          <w:color w:val="000000" w:themeColor="text1"/>
          <w:sz w:val="16"/>
          <w:szCs w:val="16"/>
        </w:rPr>
        <w:t xml:space="preserve">Real wages in Western Australia </w:t>
      </w:r>
      <w:r w:rsidR="0077036C" w:rsidRPr="00E021BD">
        <w:rPr>
          <w:color w:val="000000" w:themeColor="text1"/>
          <w:sz w:val="16"/>
          <w:szCs w:val="16"/>
        </w:rPr>
        <w:t>grew by</w:t>
      </w:r>
      <w:r w:rsidR="008D5979" w:rsidRPr="00E021BD">
        <w:rPr>
          <w:color w:val="000000" w:themeColor="text1"/>
          <w:sz w:val="16"/>
          <w:szCs w:val="16"/>
        </w:rPr>
        <w:t xml:space="preserve"> </w:t>
      </w:r>
      <w:r w:rsidRPr="00E021BD">
        <w:rPr>
          <w:color w:val="000000" w:themeColor="text1"/>
          <w:sz w:val="16"/>
          <w:szCs w:val="16"/>
        </w:rPr>
        <w:t>0</w:t>
      </w:r>
      <w:r w:rsidR="00DD2EF6" w:rsidRPr="00E021BD">
        <w:rPr>
          <w:color w:val="000000" w:themeColor="text1"/>
          <w:sz w:val="16"/>
          <w:szCs w:val="16"/>
        </w:rPr>
        <w:t>.9</w:t>
      </w:r>
      <w:r w:rsidRPr="00E021BD">
        <w:rPr>
          <w:color w:val="000000" w:themeColor="text1"/>
          <w:sz w:val="16"/>
          <w:szCs w:val="16"/>
        </w:rPr>
        <w:t xml:space="preserve">% in the </w:t>
      </w:r>
      <w:r w:rsidR="00DD2EF6" w:rsidRPr="00E021BD">
        <w:rPr>
          <w:color w:val="000000" w:themeColor="text1"/>
          <w:sz w:val="16"/>
          <w:szCs w:val="16"/>
        </w:rPr>
        <w:t>June</w:t>
      </w:r>
      <w:r w:rsidRPr="00E021BD">
        <w:rPr>
          <w:color w:val="000000" w:themeColor="text1"/>
          <w:sz w:val="16"/>
          <w:szCs w:val="16"/>
        </w:rPr>
        <w:t xml:space="preserve"> quarter 2025</w:t>
      </w:r>
      <w:r w:rsidR="008D5979" w:rsidRPr="00E021BD">
        <w:rPr>
          <w:color w:val="000000" w:themeColor="text1"/>
          <w:sz w:val="16"/>
          <w:szCs w:val="16"/>
        </w:rPr>
        <w:t xml:space="preserve">. </w:t>
      </w:r>
      <w:r w:rsidR="0077036C" w:rsidRPr="00E021BD">
        <w:rPr>
          <w:color w:val="000000" w:themeColor="text1"/>
          <w:sz w:val="16"/>
          <w:szCs w:val="16"/>
        </w:rPr>
        <w:t xml:space="preserve">In average annual terms, </w:t>
      </w:r>
      <w:r w:rsidR="008D5979" w:rsidRPr="00E021BD">
        <w:rPr>
          <w:color w:val="000000" w:themeColor="text1"/>
          <w:sz w:val="16"/>
          <w:szCs w:val="16"/>
        </w:rPr>
        <w:t xml:space="preserve">Western Australia’s real wages rose </w:t>
      </w:r>
      <w:r w:rsidR="00CC694F" w:rsidRPr="00E021BD">
        <w:rPr>
          <w:color w:val="000000" w:themeColor="text1"/>
          <w:sz w:val="16"/>
          <w:szCs w:val="16"/>
        </w:rPr>
        <w:t>0.5</w:t>
      </w:r>
      <w:r w:rsidR="009141AE" w:rsidRPr="00E021BD">
        <w:rPr>
          <w:color w:val="000000" w:themeColor="text1"/>
          <w:sz w:val="16"/>
          <w:szCs w:val="16"/>
        </w:rPr>
        <w:t>%</w:t>
      </w:r>
      <w:r w:rsidR="00A81FC4" w:rsidRPr="00E021BD">
        <w:rPr>
          <w:color w:val="000000" w:themeColor="text1"/>
          <w:sz w:val="16"/>
          <w:szCs w:val="16"/>
        </w:rPr>
        <w:t xml:space="preserve"> in 2024-25.</w:t>
      </w:r>
    </w:p>
    <w:p w14:paraId="0DED795D" w14:textId="657A635E" w:rsidR="00233755" w:rsidRPr="0077036C" w:rsidRDefault="00233755" w:rsidP="006058E8">
      <w:pPr>
        <w:pStyle w:val="ListParagraph"/>
        <w:numPr>
          <w:ilvl w:val="0"/>
          <w:numId w:val="9"/>
        </w:numPr>
        <w:spacing w:before="40" w:after="40"/>
        <w:ind w:left="357" w:right="227" w:hanging="357"/>
        <w:contextualSpacing w:val="0"/>
        <w:jc w:val="both"/>
        <w:rPr>
          <w:color w:val="FF0000"/>
          <w:sz w:val="16"/>
          <w:szCs w:val="16"/>
        </w:rPr>
        <w:sectPr w:rsidR="00233755" w:rsidRPr="0077036C" w:rsidSect="00233755">
          <w:type w:val="continuous"/>
          <w:pgSz w:w="11907" w:h="16840" w:code="9"/>
          <w:pgMar w:top="1701" w:right="425" w:bottom="567" w:left="567" w:header="709" w:footer="709" w:gutter="0"/>
          <w:cols w:num="2" w:space="113"/>
          <w:docGrid w:linePitch="360"/>
        </w:sectPr>
      </w:pPr>
      <w:r w:rsidRPr="00E021BD">
        <w:rPr>
          <w:color w:val="000000" w:themeColor="text1"/>
          <w:sz w:val="16"/>
          <w:szCs w:val="16"/>
        </w:rPr>
        <w:t xml:space="preserve">Real wages in Australia have grown year-on-year in each of the past </w:t>
      </w:r>
      <w:r w:rsidR="00A81FC4" w:rsidRPr="00E021BD">
        <w:rPr>
          <w:color w:val="000000" w:themeColor="text1"/>
          <w:sz w:val="16"/>
          <w:szCs w:val="16"/>
        </w:rPr>
        <w:t>seven</w:t>
      </w:r>
      <w:r w:rsidRPr="00E021BD">
        <w:rPr>
          <w:color w:val="000000" w:themeColor="text1"/>
          <w:sz w:val="16"/>
          <w:szCs w:val="16"/>
        </w:rPr>
        <w:t xml:space="preserve"> quarters</w:t>
      </w:r>
      <w:r w:rsidR="0077036C" w:rsidRPr="00E021BD">
        <w:rPr>
          <w:color w:val="000000" w:themeColor="text1"/>
          <w:sz w:val="16"/>
          <w:szCs w:val="16"/>
        </w:rPr>
        <w:t>,</w:t>
      </w:r>
      <w:r w:rsidRPr="00E021BD">
        <w:rPr>
          <w:color w:val="000000" w:themeColor="text1"/>
          <w:sz w:val="16"/>
          <w:szCs w:val="16"/>
        </w:rPr>
        <w:t xml:space="preserve"> </w:t>
      </w:r>
      <w:r w:rsidR="0077036C" w:rsidRPr="00E021BD">
        <w:rPr>
          <w:color w:val="000000" w:themeColor="text1"/>
          <w:sz w:val="16"/>
          <w:szCs w:val="16"/>
        </w:rPr>
        <w:t>with growth of</w:t>
      </w:r>
      <w:r w:rsidRPr="00E021BD">
        <w:rPr>
          <w:color w:val="000000" w:themeColor="text1"/>
          <w:sz w:val="16"/>
          <w:szCs w:val="16"/>
        </w:rPr>
        <w:t xml:space="preserve"> 1.</w:t>
      </w:r>
      <w:r w:rsidR="00A81FC4" w:rsidRPr="00E021BD">
        <w:rPr>
          <w:color w:val="000000" w:themeColor="text1"/>
          <w:sz w:val="16"/>
          <w:szCs w:val="16"/>
        </w:rPr>
        <w:t>3</w:t>
      </w:r>
      <w:r w:rsidRPr="00E021BD">
        <w:rPr>
          <w:color w:val="000000" w:themeColor="text1"/>
          <w:sz w:val="16"/>
          <w:szCs w:val="16"/>
        </w:rPr>
        <w:t xml:space="preserve">% in the </w:t>
      </w:r>
      <w:r w:rsidR="00A81FC4" w:rsidRPr="00E021BD">
        <w:rPr>
          <w:color w:val="000000" w:themeColor="text1"/>
          <w:sz w:val="16"/>
          <w:szCs w:val="16"/>
        </w:rPr>
        <w:t>June</w:t>
      </w:r>
      <w:r w:rsidRPr="00E021BD">
        <w:rPr>
          <w:color w:val="000000" w:themeColor="text1"/>
          <w:sz w:val="16"/>
          <w:szCs w:val="16"/>
        </w:rPr>
        <w:t xml:space="preserve"> quarter 2025</w:t>
      </w:r>
      <w:r w:rsidR="00A81FC4" w:rsidRPr="00E021BD">
        <w:rPr>
          <w:color w:val="000000" w:themeColor="text1"/>
          <w:sz w:val="16"/>
          <w:szCs w:val="16"/>
        </w:rPr>
        <w:t xml:space="preserve">. </w:t>
      </w:r>
      <w:r w:rsidR="0077036C" w:rsidRPr="00E021BD">
        <w:rPr>
          <w:color w:val="000000" w:themeColor="text1"/>
          <w:sz w:val="16"/>
          <w:szCs w:val="16"/>
        </w:rPr>
        <w:t xml:space="preserve">In average annual terms, </w:t>
      </w:r>
      <w:r w:rsidR="00A81FC4" w:rsidRPr="00E021BD">
        <w:rPr>
          <w:color w:val="000000" w:themeColor="text1"/>
          <w:sz w:val="16"/>
          <w:szCs w:val="16"/>
        </w:rPr>
        <w:t xml:space="preserve">Australia’s real wages rose </w:t>
      </w:r>
      <w:r w:rsidR="009141AE" w:rsidRPr="00E021BD">
        <w:rPr>
          <w:color w:val="000000" w:themeColor="text1"/>
          <w:sz w:val="16"/>
          <w:szCs w:val="16"/>
        </w:rPr>
        <w:t>0.9%</w:t>
      </w:r>
      <w:r w:rsidR="00A81FC4" w:rsidRPr="00E021BD">
        <w:rPr>
          <w:color w:val="000000" w:themeColor="text1"/>
          <w:sz w:val="16"/>
          <w:szCs w:val="16"/>
        </w:rPr>
        <w:t xml:space="preserve"> in 2024-25</w:t>
      </w:r>
      <w:r w:rsidR="00A81FC4" w:rsidRPr="0077036C">
        <w:rPr>
          <w:color w:val="FF0000"/>
          <w:sz w:val="16"/>
          <w:szCs w:val="16"/>
        </w:rPr>
        <w:t>.</w:t>
      </w:r>
    </w:p>
    <w:p w14:paraId="71B29E95" w14:textId="7580D77B" w:rsidR="009C1933" w:rsidRPr="00E00E8B" w:rsidRDefault="00233755" w:rsidP="009C1933">
      <w:pPr>
        <w:pStyle w:val="Heading4"/>
        <w:rPr>
          <w:i w:val="0"/>
          <w:iCs w:val="0"/>
          <w:color w:val="00997A"/>
          <w:sz w:val="20"/>
          <w:szCs w:val="20"/>
        </w:rPr>
        <w:sectPr w:rsidR="009C1933" w:rsidRPr="00E00E8B" w:rsidSect="009C1933">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Interstate comparison of average weekly </w:t>
      </w:r>
      <w:r w:rsidRPr="0075592D">
        <w:rPr>
          <w:i w:val="0"/>
          <w:iCs w:val="0"/>
          <w:color w:val="00997A"/>
          <w:sz w:val="20"/>
          <w:szCs w:val="20"/>
        </w:rPr>
        <w:t>earnings</w:t>
      </w:r>
      <w:r w:rsidRPr="0075592D">
        <w:rPr>
          <w:i w:val="0"/>
          <w:iCs w:val="0"/>
          <w:color w:val="00997A"/>
          <w:sz w:val="20"/>
          <w:szCs w:val="20"/>
          <w:vertAlign w:val="superscript"/>
        </w:rPr>
        <w:t>1</w:t>
      </w:r>
      <w:r w:rsidR="00E00E8B">
        <w:rPr>
          <w:i w:val="0"/>
          <w:iCs w:val="0"/>
          <w:color w:val="00997A"/>
          <w:sz w:val="20"/>
          <w:szCs w:val="20"/>
        </w:rPr>
        <w:t xml:space="preserve">: </w:t>
      </w:r>
      <w:r w:rsidR="00E00E8B" w:rsidRPr="0075592D">
        <w:rPr>
          <w:i w:val="0"/>
          <w:iCs w:val="0"/>
          <w:color w:val="00997A"/>
          <w:sz w:val="20"/>
          <w:szCs w:val="20"/>
        </w:rPr>
        <w:t>June quarter 2025</w:t>
      </w:r>
    </w:p>
    <w:p w14:paraId="471773B2" w14:textId="701EB971" w:rsidR="009C1933" w:rsidRPr="009C1933" w:rsidRDefault="00D65644" w:rsidP="009C1933">
      <w:r>
        <w:rPr>
          <w:noProof/>
        </w:rPr>
        <w:drawing>
          <wp:inline distT="0" distB="0" distL="0" distR="0" wp14:anchorId="5431CF72" wp14:editId="065A11CB">
            <wp:extent cx="3452116" cy="2132134"/>
            <wp:effectExtent l="0" t="0" r="0" b="1905"/>
            <wp:docPr id="809995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60202" cy="2137128"/>
                    </a:xfrm>
                    <a:prstGeom prst="rect">
                      <a:avLst/>
                    </a:prstGeom>
                    <a:noFill/>
                    <a:ln>
                      <a:noFill/>
                    </a:ln>
                  </pic:spPr>
                </pic:pic>
              </a:graphicData>
            </a:graphic>
          </wp:inline>
        </w:drawing>
      </w:r>
    </w:p>
    <w:p w14:paraId="70FE512A" w14:textId="3C205E00" w:rsidR="00233755" w:rsidRPr="00847561" w:rsidRDefault="00233755" w:rsidP="00233755">
      <w:pPr>
        <w:jc w:val="both"/>
        <w:rPr>
          <w:sz w:val="10"/>
          <w:szCs w:val="10"/>
        </w:rPr>
      </w:pPr>
      <w:r w:rsidRPr="00847561">
        <w:rPr>
          <w:sz w:val="10"/>
        </w:rPr>
        <w:t xml:space="preserve">Note – Seasonally adjusted </w:t>
      </w:r>
      <w:r w:rsidRPr="00EA2D70">
        <w:rPr>
          <w:sz w:val="10"/>
          <w:szCs w:val="10"/>
        </w:rPr>
        <w:t>series</w:t>
      </w:r>
      <w:r w:rsidR="00EE1EF8" w:rsidRPr="00EA2D70">
        <w:rPr>
          <w:sz w:val="10"/>
          <w:szCs w:val="10"/>
        </w:rPr>
        <w:t xml:space="preserve"> except for private and </w:t>
      </w:r>
      <w:r w:rsidR="00BE502C" w:rsidRPr="00EA2D70">
        <w:rPr>
          <w:sz w:val="10"/>
          <w:szCs w:val="10"/>
        </w:rPr>
        <w:t>public sectors (original series)</w:t>
      </w:r>
      <w:r w:rsidRPr="00EA2D70">
        <w:rPr>
          <w:sz w:val="10"/>
          <w:szCs w:val="10"/>
        </w:rPr>
        <w:t xml:space="preserve">. </w:t>
      </w:r>
      <w:bookmarkStart w:id="22" w:name="_Hlk194483310"/>
      <w:r w:rsidRPr="00EA2D70">
        <w:rPr>
          <w:sz w:val="10"/>
          <w:szCs w:val="10"/>
        </w:rPr>
        <w:t xml:space="preserve">Data </w:t>
      </w:r>
      <w:r w:rsidRPr="00847561">
        <w:rPr>
          <w:sz w:val="10"/>
          <w:szCs w:val="10"/>
        </w:rPr>
        <w:t>is collected for the middle month of the June and December quarters (May and November).</w:t>
      </w:r>
      <w:bookmarkEnd w:id="22"/>
      <w:r w:rsidRPr="00847561">
        <w:rPr>
          <w:sz w:val="10"/>
          <w:szCs w:val="10"/>
        </w:rPr>
        <w:t xml:space="preserve"> </w:t>
      </w:r>
      <w:r w:rsidRPr="00847561">
        <w:rPr>
          <w:sz w:val="10"/>
          <w:szCs w:val="10"/>
          <w:vertAlign w:val="superscript"/>
        </w:rPr>
        <w:t>1</w:t>
      </w:r>
      <w:r w:rsidRPr="00847561">
        <w:rPr>
          <w:sz w:val="10"/>
          <w:szCs w:val="10"/>
        </w:rPr>
        <w:t xml:space="preserve"> Full-time adult total earnings.</w:t>
      </w:r>
    </w:p>
    <w:p w14:paraId="677CAA12" w14:textId="77777777" w:rsidR="00233755" w:rsidRPr="00847561" w:rsidRDefault="00233755" w:rsidP="00233755">
      <w:pPr>
        <w:jc w:val="both"/>
        <w:rPr>
          <w:sz w:val="10"/>
          <w:szCs w:val="10"/>
        </w:rPr>
      </w:pPr>
      <w:r w:rsidRPr="00847561">
        <w:rPr>
          <w:sz w:val="10"/>
          <w:szCs w:val="10"/>
        </w:rPr>
        <w:t>Source: Based on ABS data.</w:t>
      </w:r>
    </w:p>
    <w:p w14:paraId="34957172" w14:textId="5DD67970" w:rsidR="00233755"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75592D">
        <w:rPr>
          <w:color w:val="000000" w:themeColor="text1"/>
          <w:sz w:val="16"/>
          <w:szCs w:val="16"/>
        </w:rPr>
        <w:t>Western Australia</w:t>
      </w:r>
      <w:r w:rsidR="0077036C" w:rsidRPr="0075592D">
        <w:rPr>
          <w:color w:val="000000" w:themeColor="text1"/>
          <w:sz w:val="16"/>
          <w:szCs w:val="16"/>
        </w:rPr>
        <w:t>’s</w:t>
      </w:r>
      <w:r w:rsidRPr="0075592D">
        <w:rPr>
          <w:color w:val="000000" w:themeColor="text1"/>
          <w:sz w:val="16"/>
          <w:szCs w:val="16"/>
        </w:rPr>
        <w:t xml:space="preserve"> average weekly earnings</w:t>
      </w:r>
      <w:r w:rsidR="0077036C" w:rsidRPr="0075592D">
        <w:rPr>
          <w:color w:val="000000" w:themeColor="text1"/>
          <w:sz w:val="16"/>
          <w:szCs w:val="16"/>
        </w:rPr>
        <w:t xml:space="preserve"> are higher than the national average</w:t>
      </w:r>
      <w:r w:rsidRPr="0075592D">
        <w:rPr>
          <w:color w:val="000000" w:themeColor="text1"/>
          <w:sz w:val="16"/>
          <w:szCs w:val="16"/>
        </w:rPr>
        <w:t xml:space="preserve">, due in part to the relatively high </w:t>
      </w:r>
      <w:r w:rsidR="0077036C" w:rsidRPr="0075592D">
        <w:rPr>
          <w:color w:val="000000" w:themeColor="text1"/>
          <w:sz w:val="16"/>
          <w:szCs w:val="16"/>
        </w:rPr>
        <w:t>share</w:t>
      </w:r>
      <w:r w:rsidRPr="0075592D">
        <w:rPr>
          <w:color w:val="000000" w:themeColor="text1"/>
          <w:sz w:val="16"/>
          <w:szCs w:val="16"/>
        </w:rPr>
        <w:t xml:space="preserve"> of workers employed in the highly paid mining and mining services industries.</w:t>
      </w:r>
    </w:p>
    <w:p w14:paraId="642DF462" w14:textId="324A29D3" w:rsidR="00233755" w:rsidRPr="0075592D"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5592D">
        <w:rPr>
          <w:color w:val="000000" w:themeColor="text1"/>
          <w:sz w:val="16"/>
          <w:szCs w:val="16"/>
        </w:rPr>
        <w:t xml:space="preserve">In the </w:t>
      </w:r>
      <w:r w:rsidR="008D5979" w:rsidRPr="0075592D">
        <w:rPr>
          <w:color w:val="000000" w:themeColor="text1"/>
          <w:sz w:val="16"/>
          <w:szCs w:val="16"/>
        </w:rPr>
        <w:t>June</w:t>
      </w:r>
      <w:r w:rsidRPr="0075592D">
        <w:rPr>
          <w:color w:val="000000" w:themeColor="text1"/>
          <w:sz w:val="16"/>
          <w:szCs w:val="16"/>
        </w:rPr>
        <w:t xml:space="preserve"> quarter 202</w:t>
      </w:r>
      <w:r w:rsidR="008D5979" w:rsidRPr="0075592D">
        <w:rPr>
          <w:color w:val="000000" w:themeColor="text1"/>
          <w:sz w:val="16"/>
          <w:szCs w:val="16"/>
        </w:rPr>
        <w:t>5</w:t>
      </w:r>
      <w:r w:rsidRPr="0075592D">
        <w:rPr>
          <w:color w:val="000000" w:themeColor="text1"/>
          <w:sz w:val="16"/>
          <w:szCs w:val="16"/>
        </w:rPr>
        <w:t>, average weekly earnings in Western Australia were $2,2</w:t>
      </w:r>
      <w:r w:rsidR="008D5979" w:rsidRPr="0075592D">
        <w:rPr>
          <w:color w:val="000000" w:themeColor="text1"/>
          <w:sz w:val="16"/>
          <w:szCs w:val="16"/>
        </w:rPr>
        <w:t>57</w:t>
      </w:r>
      <w:r w:rsidRPr="0075592D">
        <w:rPr>
          <w:color w:val="000000" w:themeColor="text1"/>
          <w:sz w:val="16"/>
          <w:szCs w:val="16"/>
        </w:rPr>
        <w:t xml:space="preserve">, </w:t>
      </w:r>
      <w:r w:rsidR="008D5979" w:rsidRPr="0075592D">
        <w:rPr>
          <w:color w:val="000000" w:themeColor="text1"/>
          <w:sz w:val="16"/>
          <w:szCs w:val="16"/>
        </w:rPr>
        <w:t>8</w:t>
      </w:r>
      <w:r w:rsidRPr="0075592D">
        <w:rPr>
          <w:color w:val="000000" w:themeColor="text1"/>
          <w:sz w:val="16"/>
          <w:szCs w:val="16"/>
        </w:rPr>
        <w:t>% higher than the national average of $2,0</w:t>
      </w:r>
      <w:r w:rsidR="008D5979" w:rsidRPr="0075592D">
        <w:rPr>
          <w:color w:val="000000" w:themeColor="text1"/>
          <w:sz w:val="16"/>
          <w:szCs w:val="16"/>
        </w:rPr>
        <w:t>86</w:t>
      </w:r>
      <w:r w:rsidRPr="0075592D">
        <w:rPr>
          <w:color w:val="000000" w:themeColor="text1"/>
          <w:sz w:val="16"/>
          <w:szCs w:val="16"/>
        </w:rPr>
        <w:t>.</w:t>
      </w:r>
    </w:p>
    <w:p w14:paraId="7DC85F66" w14:textId="23CFEA4A" w:rsidR="00FF7D1C" w:rsidRPr="00EA2D70" w:rsidRDefault="00FF7D1C" w:rsidP="00FF7D1C">
      <w:pPr>
        <w:pStyle w:val="ListParagraph"/>
        <w:numPr>
          <w:ilvl w:val="0"/>
          <w:numId w:val="10"/>
        </w:numPr>
        <w:spacing w:before="40" w:after="40"/>
        <w:ind w:right="227" w:hanging="357"/>
        <w:contextualSpacing w:val="0"/>
        <w:jc w:val="both"/>
        <w:rPr>
          <w:sz w:val="16"/>
          <w:szCs w:val="16"/>
        </w:rPr>
      </w:pPr>
      <w:bookmarkStart w:id="23" w:name="_Hlk175827944"/>
      <w:r w:rsidRPr="00EA2D70">
        <w:rPr>
          <w:sz w:val="16"/>
          <w:szCs w:val="16"/>
        </w:rPr>
        <w:t>Average weekly earnings for males in Western Australia were $2,468, 12% higher than the national average for males</w:t>
      </w:r>
      <w:r w:rsidR="00E25F5E" w:rsidRPr="00EA2D70">
        <w:rPr>
          <w:sz w:val="16"/>
          <w:szCs w:val="16"/>
        </w:rPr>
        <w:t>.</w:t>
      </w:r>
    </w:p>
    <w:p w14:paraId="0B00C059" w14:textId="58B96F92" w:rsidR="00FF7D1C" w:rsidRPr="00EA2D70" w:rsidRDefault="00FF7D1C" w:rsidP="00FF7D1C">
      <w:pPr>
        <w:pStyle w:val="ListParagraph"/>
        <w:numPr>
          <w:ilvl w:val="0"/>
          <w:numId w:val="10"/>
        </w:numPr>
        <w:spacing w:before="40" w:after="40"/>
        <w:ind w:right="227" w:hanging="357"/>
        <w:contextualSpacing w:val="0"/>
        <w:jc w:val="both"/>
        <w:rPr>
          <w:sz w:val="16"/>
          <w:szCs w:val="16"/>
        </w:rPr>
      </w:pPr>
      <w:r w:rsidRPr="00EA2D70">
        <w:rPr>
          <w:sz w:val="16"/>
          <w:szCs w:val="16"/>
        </w:rPr>
        <w:t>Average weekly earnings for females in Western Australia were $1,906, 0.5% higher than the national average for female</w:t>
      </w:r>
      <w:r w:rsidR="00470A21" w:rsidRPr="00EA2D70">
        <w:rPr>
          <w:sz w:val="16"/>
          <w:szCs w:val="16"/>
        </w:rPr>
        <w:t>s</w:t>
      </w:r>
      <w:r w:rsidR="00E25F5E" w:rsidRPr="00EA2D70">
        <w:rPr>
          <w:sz w:val="16"/>
          <w:szCs w:val="16"/>
        </w:rPr>
        <w:t>.</w:t>
      </w:r>
    </w:p>
    <w:p w14:paraId="01243A41" w14:textId="66CC604A" w:rsidR="005F1213" w:rsidRPr="00EA2D70" w:rsidRDefault="005F1213" w:rsidP="005F1213">
      <w:pPr>
        <w:pStyle w:val="ListParagraph"/>
        <w:numPr>
          <w:ilvl w:val="0"/>
          <w:numId w:val="9"/>
        </w:numPr>
        <w:spacing w:before="40" w:after="40"/>
        <w:ind w:left="357" w:right="227" w:hanging="357"/>
        <w:contextualSpacing w:val="0"/>
        <w:jc w:val="both"/>
        <w:rPr>
          <w:sz w:val="16"/>
          <w:szCs w:val="16"/>
        </w:rPr>
      </w:pPr>
      <w:r w:rsidRPr="00EA2D70">
        <w:rPr>
          <w:sz w:val="16"/>
          <w:szCs w:val="16"/>
        </w:rPr>
        <w:t>In the June quarter 2025, Western Australia’s average weekly earnings in the:</w:t>
      </w:r>
    </w:p>
    <w:p w14:paraId="65DB7646" w14:textId="1048850B" w:rsidR="005F1213" w:rsidRPr="00EA2D70" w:rsidRDefault="001C02CF" w:rsidP="005F1213">
      <w:pPr>
        <w:pStyle w:val="ListParagraph"/>
        <w:numPr>
          <w:ilvl w:val="0"/>
          <w:numId w:val="10"/>
        </w:numPr>
        <w:spacing w:before="40" w:after="40"/>
        <w:ind w:right="227" w:hanging="357"/>
        <w:contextualSpacing w:val="0"/>
        <w:jc w:val="both"/>
        <w:rPr>
          <w:sz w:val="16"/>
          <w:szCs w:val="16"/>
        </w:rPr>
      </w:pPr>
      <w:r w:rsidRPr="00EA2D70">
        <w:rPr>
          <w:sz w:val="16"/>
          <w:szCs w:val="16"/>
        </w:rPr>
        <w:t>p</w:t>
      </w:r>
      <w:r w:rsidR="005F1213" w:rsidRPr="00EA2D70">
        <w:rPr>
          <w:sz w:val="16"/>
          <w:szCs w:val="16"/>
        </w:rPr>
        <w:t xml:space="preserve">rivate sector </w:t>
      </w:r>
      <w:proofErr w:type="gramStart"/>
      <w:r w:rsidR="005F1213" w:rsidRPr="00EA2D70">
        <w:rPr>
          <w:sz w:val="16"/>
          <w:szCs w:val="16"/>
        </w:rPr>
        <w:t>were</w:t>
      </w:r>
      <w:proofErr w:type="gramEnd"/>
      <w:r w:rsidR="005F1213" w:rsidRPr="00EA2D70">
        <w:rPr>
          <w:sz w:val="16"/>
          <w:szCs w:val="16"/>
        </w:rPr>
        <w:t xml:space="preserve"> $2,276, 12% more than the national average</w:t>
      </w:r>
    </w:p>
    <w:p w14:paraId="719277CC" w14:textId="4204D355" w:rsidR="001C02CF" w:rsidRPr="00EA2D70" w:rsidRDefault="001C02CF" w:rsidP="005F1213">
      <w:pPr>
        <w:pStyle w:val="ListParagraph"/>
        <w:numPr>
          <w:ilvl w:val="0"/>
          <w:numId w:val="10"/>
        </w:numPr>
        <w:spacing w:before="40" w:after="40"/>
        <w:ind w:right="227" w:hanging="357"/>
        <w:contextualSpacing w:val="0"/>
        <w:jc w:val="both"/>
        <w:rPr>
          <w:sz w:val="16"/>
          <w:szCs w:val="16"/>
        </w:rPr>
      </w:pPr>
      <w:r w:rsidRPr="00EA2D70">
        <w:rPr>
          <w:sz w:val="16"/>
          <w:szCs w:val="16"/>
        </w:rPr>
        <w:t xml:space="preserve">public sector </w:t>
      </w:r>
      <w:proofErr w:type="gramStart"/>
      <w:r w:rsidRPr="00EA2D70">
        <w:rPr>
          <w:sz w:val="16"/>
          <w:szCs w:val="16"/>
        </w:rPr>
        <w:t>were</w:t>
      </w:r>
      <w:proofErr w:type="gramEnd"/>
      <w:r w:rsidRPr="00EA2D70">
        <w:rPr>
          <w:sz w:val="16"/>
          <w:szCs w:val="16"/>
        </w:rPr>
        <w:t xml:space="preserve"> </w:t>
      </w:r>
      <w:r w:rsidR="008C3FA6" w:rsidRPr="00EA2D70">
        <w:rPr>
          <w:sz w:val="16"/>
          <w:szCs w:val="16"/>
        </w:rPr>
        <w:t>$2,1</w:t>
      </w:r>
      <w:r w:rsidR="005838CA" w:rsidRPr="00EA2D70">
        <w:rPr>
          <w:sz w:val="16"/>
          <w:szCs w:val="16"/>
        </w:rPr>
        <w:t>79,</w:t>
      </w:r>
      <w:r w:rsidR="008720FC" w:rsidRPr="00EA2D70">
        <w:rPr>
          <w:sz w:val="16"/>
          <w:szCs w:val="16"/>
        </w:rPr>
        <w:t xml:space="preserve"> 3% less than the national average.</w:t>
      </w:r>
    </w:p>
    <w:p w14:paraId="0294A496" w14:textId="70F75FE0" w:rsidR="00017E2C" w:rsidRDefault="00017E2C" w:rsidP="001C02CF">
      <w:pPr>
        <w:pStyle w:val="ListParagraph"/>
        <w:spacing w:before="40" w:after="40"/>
        <w:ind w:left="357" w:right="227"/>
        <w:contextualSpacing w:val="0"/>
        <w:jc w:val="both"/>
        <w:rPr>
          <w:color w:val="000000" w:themeColor="text1"/>
          <w:sz w:val="16"/>
          <w:szCs w:val="16"/>
        </w:rPr>
      </w:pPr>
    </w:p>
    <w:bookmarkEnd w:id="23"/>
    <w:p w14:paraId="4A1AE139"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43F2CA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4" w:name="_Population"/>
      <w:bookmarkEnd w:id="24"/>
      <w:r w:rsidRPr="008F7AA0">
        <w:rPr>
          <w:bCs/>
          <w:color w:val="004C3D"/>
          <w:sz w:val="24"/>
          <w:szCs w:val="24"/>
        </w:rPr>
        <w:lastRenderedPageBreak/>
        <w:t>Population</w:t>
      </w:r>
    </w:p>
    <w:p w14:paraId="06A03665"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B53779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Estimated resident population (change)</w:t>
      </w:r>
    </w:p>
    <w:p w14:paraId="5C20A158" w14:textId="3D22304A" w:rsidR="00233755" w:rsidRPr="007B1AE5" w:rsidRDefault="00630DB8" w:rsidP="00233755">
      <w:r>
        <w:rPr>
          <w:noProof/>
        </w:rPr>
        <w:drawing>
          <wp:inline distT="0" distB="0" distL="0" distR="0" wp14:anchorId="38460CA0" wp14:editId="77054B25">
            <wp:extent cx="3376861" cy="2085654"/>
            <wp:effectExtent l="0" t="0" r="0" b="0"/>
            <wp:docPr id="14380079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4928" cy="2090637"/>
                    </a:xfrm>
                    <a:prstGeom prst="rect">
                      <a:avLst/>
                    </a:prstGeom>
                    <a:noFill/>
                    <a:ln>
                      <a:noFill/>
                    </a:ln>
                  </pic:spPr>
                </pic:pic>
              </a:graphicData>
            </a:graphic>
          </wp:inline>
        </w:drawing>
      </w:r>
    </w:p>
    <w:p w14:paraId="6ADA889B"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Year-on-year change in quarterly series.</w:t>
      </w:r>
    </w:p>
    <w:p w14:paraId="5CB781C4" w14:textId="77777777" w:rsidR="00233755" w:rsidRPr="00AF759E" w:rsidRDefault="00233755" w:rsidP="00233755">
      <w:pPr>
        <w:jc w:val="both"/>
        <w:rPr>
          <w:sz w:val="10"/>
          <w:szCs w:val="10"/>
        </w:rPr>
      </w:pPr>
      <w:r w:rsidRPr="00AF759E">
        <w:rPr>
          <w:sz w:val="10"/>
          <w:szCs w:val="10"/>
        </w:rPr>
        <w:t>Source: Based on ABS data.</w:t>
      </w:r>
    </w:p>
    <w:p w14:paraId="06FA25EE" w14:textId="770E6A9C" w:rsidR="00233755" w:rsidRPr="007309FC"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309FC">
        <w:rPr>
          <w:sz w:val="16"/>
          <w:szCs w:val="16"/>
        </w:rPr>
        <w:t xml:space="preserve">Western Australia’s population </w:t>
      </w:r>
      <w:r w:rsidR="00557DEA" w:rsidRPr="007309FC">
        <w:rPr>
          <w:sz w:val="16"/>
          <w:szCs w:val="16"/>
        </w:rPr>
        <w:t xml:space="preserve">growth </w:t>
      </w:r>
      <w:r w:rsidRPr="007309FC">
        <w:rPr>
          <w:sz w:val="16"/>
          <w:szCs w:val="16"/>
        </w:rPr>
        <w:t xml:space="preserve">has </w:t>
      </w:r>
      <w:r w:rsidR="00557DEA" w:rsidRPr="007309FC">
        <w:rPr>
          <w:sz w:val="16"/>
          <w:szCs w:val="16"/>
        </w:rPr>
        <w:t xml:space="preserve">slowed over the past year, but the rate of growth is still high </w:t>
      </w:r>
      <w:r w:rsidRPr="007309FC">
        <w:rPr>
          <w:sz w:val="16"/>
          <w:szCs w:val="16"/>
        </w:rPr>
        <w:t xml:space="preserve">relative to both the past ten years and to the national </w:t>
      </w:r>
      <w:r w:rsidR="00557DEA" w:rsidRPr="007309FC">
        <w:rPr>
          <w:sz w:val="16"/>
          <w:szCs w:val="16"/>
        </w:rPr>
        <w:t xml:space="preserve">growth </w:t>
      </w:r>
      <w:r w:rsidRPr="007309FC">
        <w:rPr>
          <w:sz w:val="16"/>
          <w:szCs w:val="16"/>
        </w:rPr>
        <w:t>rate.</w:t>
      </w:r>
    </w:p>
    <w:p w14:paraId="458DDA40" w14:textId="6526ED40" w:rsidR="00233755" w:rsidRPr="007309FC" w:rsidRDefault="00233755" w:rsidP="006058E8">
      <w:pPr>
        <w:pStyle w:val="ListParagraph"/>
        <w:numPr>
          <w:ilvl w:val="0"/>
          <w:numId w:val="9"/>
        </w:numPr>
        <w:spacing w:before="40" w:after="40"/>
        <w:ind w:right="227" w:hanging="357"/>
        <w:contextualSpacing w:val="0"/>
        <w:jc w:val="both"/>
        <w:rPr>
          <w:sz w:val="16"/>
          <w:szCs w:val="16"/>
        </w:rPr>
      </w:pPr>
      <w:r w:rsidRPr="007309FC">
        <w:rPr>
          <w:sz w:val="16"/>
          <w:szCs w:val="16"/>
        </w:rPr>
        <w:t>Western Australia’s population growth rate reached a high of 3.</w:t>
      </w:r>
      <w:r w:rsidR="005D43A4" w:rsidRPr="007309FC">
        <w:rPr>
          <w:sz w:val="16"/>
          <w:szCs w:val="16"/>
        </w:rPr>
        <w:t>6</w:t>
      </w:r>
      <w:r w:rsidRPr="007309FC">
        <w:rPr>
          <w:sz w:val="16"/>
          <w:szCs w:val="16"/>
        </w:rPr>
        <w:t xml:space="preserve">% in the year to the September quarter 2023 but has </w:t>
      </w:r>
      <w:r w:rsidR="00B24B7E" w:rsidRPr="007309FC">
        <w:rPr>
          <w:sz w:val="16"/>
          <w:szCs w:val="16"/>
        </w:rPr>
        <w:t>fallen</w:t>
      </w:r>
      <w:r w:rsidRPr="007309FC">
        <w:rPr>
          <w:sz w:val="16"/>
          <w:szCs w:val="16"/>
        </w:rPr>
        <w:t xml:space="preserve"> in each of the past </w:t>
      </w:r>
      <w:r w:rsidR="00CE733E" w:rsidRPr="007309FC">
        <w:rPr>
          <w:sz w:val="16"/>
          <w:szCs w:val="16"/>
        </w:rPr>
        <w:t>six</w:t>
      </w:r>
      <w:r w:rsidRPr="007309FC">
        <w:rPr>
          <w:sz w:val="16"/>
          <w:szCs w:val="16"/>
        </w:rPr>
        <w:t xml:space="preserve"> quarters to 2.</w:t>
      </w:r>
      <w:r w:rsidR="00CE733E" w:rsidRPr="007309FC">
        <w:rPr>
          <w:sz w:val="16"/>
          <w:szCs w:val="16"/>
        </w:rPr>
        <w:t>3</w:t>
      </w:r>
      <w:r w:rsidRPr="007309FC">
        <w:rPr>
          <w:sz w:val="16"/>
          <w:szCs w:val="16"/>
        </w:rPr>
        <w:t xml:space="preserve">% in the year to the </w:t>
      </w:r>
      <w:r w:rsidR="00CE733E" w:rsidRPr="007309FC">
        <w:rPr>
          <w:sz w:val="16"/>
          <w:szCs w:val="16"/>
        </w:rPr>
        <w:t>March</w:t>
      </w:r>
      <w:r w:rsidRPr="007309FC">
        <w:rPr>
          <w:sz w:val="16"/>
          <w:szCs w:val="16"/>
        </w:rPr>
        <w:t xml:space="preserve"> quarter 202</w:t>
      </w:r>
      <w:r w:rsidR="00CE733E" w:rsidRPr="007309FC">
        <w:rPr>
          <w:sz w:val="16"/>
          <w:szCs w:val="16"/>
        </w:rPr>
        <w:t>5</w:t>
      </w:r>
      <w:r w:rsidRPr="007309FC">
        <w:rPr>
          <w:sz w:val="16"/>
          <w:szCs w:val="16"/>
        </w:rPr>
        <w:t>.</w:t>
      </w:r>
    </w:p>
    <w:p w14:paraId="6DFAAB54" w14:textId="4AED86C7" w:rsidR="00233755" w:rsidRPr="007309FC" w:rsidRDefault="00233755" w:rsidP="006058E8">
      <w:pPr>
        <w:pStyle w:val="ListParagraph"/>
        <w:numPr>
          <w:ilvl w:val="0"/>
          <w:numId w:val="9"/>
        </w:numPr>
        <w:spacing w:before="40" w:after="40"/>
        <w:ind w:right="227" w:hanging="357"/>
        <w:contextualSpacing w:val="0"/>
        <w:jc w:val="both"/>
        <w:rPr>
          <w:sz w:val="16"/>
          <w:szCs w:val="16"/>
        </w:rPr>
      </w:pPr>
      <w:r w:rsidRPr="007309FC">
        <w:rPr>
          <w:sz w:val="16"/>
          <w:szCs w:val="16"/>
        </w:rPr>
        <w:t xml:space="preserve">Australia’s population growth rate in the year to the </w:t>
      </w:r>
      <w:r w:rsidR="00CE733E" w:rsidRPr="007309FC">
        <w:rPr>
          <w:sz w:val="16"/>
          <w:szCs w:val="16"/>
        </w:rPr>
        <w:t>March</w:t>
      </w:r>
      <w:r w:rsidRPr="007309FC">
        <w:rPr>
          <w:sz w:val="16"/>
          <w:szCs w:val="16"/>
        </w:rPr>
        <w:t xml:space="preserve"> quarter 202</w:t>
      </w:r>
      <w:r w:rsidR="00CE733E" w:rsidRPr="007309FC">
        <w:rPr>
          <w:sz w:val="16"/>
          <w:szCs w:val="16"/>
        </w:rPr>
        <w:t>5</w:t>
      </w:r>
      <w:r w:rsidRPr="007309FC">
        <w:rPr>
          <w:sz w:val="16"/>
          <w:szCs w:val="16"/>
        </w:rPr>
        <w:t xml:space="preserve"> was 1.</w:t>
      </w:r>
      <w:r w:rsidR="00CE733E" w:rsidRPr="007309FC">
        <w:rPr>
          <w:sz w:val="16"/>
          <w:szCs w:val="16"/>
        </w:rPr>
        <w:t>6</w:t>
      </w:r>
      <w:r w:rsidRPr="007309FC">
        <w:rPr>
          <w:sz w:val="16"/>
          <w:szCs w:val="16"/>
        </w:rPr>
        <w:t>%.</w:t>
      </w:r>
    </w:p>
    <w:p w14:paraId="448BACCD" w14:textId="1CC3601A" w:rsidR="00233755" w:rsidRPr="007309FC" w:rsidRDefault="00233755" w:rsidP="006058E8">
      <w:pPr>
        <w:pStyle w:val="ListParagraph"/>
        <w:numPr>
          <w:ilvl w:val="0"/>
          <w:numId w:val="9"/>
        </w:numPr>
        <w:spacing w:before="40" w:after="40"/>
        <w:ind w:right="227" w:hanging="357"/>
        <w:contextualSpacing w:val="0"/>
        <w:jc w:val="both"/>
        <w:rPr>
          <w:sz w:val="16"/>
          <w:szCs w:val="16"/>
        </w:rPr>
      </w:pPr>
      <w:r w:rsidRPr="007309FC">
        <w:rPr>
          <w:sz w:val="16"/>
          <w:szCs w:val="16"/>
        </w:rPr>
        <w:t xml:space="preserve">Western Australia’s estimated residential population was </w:t>
      </w:r>
      <w:r w:rsidR="005D43A4" w:rsidRPr="007309FC">
        <w:rPr>
          <w:sz w:val="16"/>
          <w:szCs w:val="16"/>
        </w:rPr>
        <w:t>3.0</w:t>
      </w:r>
      <w:r w:rsidR="00CE733E" w:rsidRPr="007309FC">
        <w:rPr>
          <w:sz w:val="16"/>
          <w:szCs w:val="16"/>
        </w:rPr>
        <w:t>3</w:t>
      </w:r>
      <w:r w:rsidRPr="007309FC">
        <w:rPr>
          <w:sz w:val="16"/>
          <w:szCs w:val="16"/>
        </w:rPr>
        <w:t xml:space="preserve"> million in the </w:t>
      </w:r>
      <w:r w:rsidR="00CE733E" w:rsidRPr="007309FC">
        <w:rPr>
          <w:sz w:val="16"/>
          <w:szCs w:val="16"/>
        </w:rPr>
        <w:t>March</w:t>
      </w:r>
      <w:r w:rsidRPr="007309FC">
        <w:rPr>
          <w:sz w:val="16"/>
          <w:szCs w:val="16"/>
        </w:rPr>
        <w:t xml:space="preserve"> quarter 202</w:t>
      </w:r>
      <w:r w:rsidR="00CE733E" w:rsidRPr="007309FC">
        <w:rPr>
          <w:sz w:val="16"/>
          <w:szCs w:val="16"/>
        </w:rPr>
        <w:t>5</w:t>
      </w:r>
      <w:r w:rsidRPr="007309FC">
        <w:rPr>
          <w:sz w:val="16"/>
          <w:szCs w:val="16"/>
        </w:rPr>
        <w:t>, accounting for 1</w:t>
      </w:r>
      <w:r w:rsidR="005D43A4" w:rsidRPr="007309FC">
        <w:rPr>
          <w:sz w:val="16"/>
          <w:szCs w:val="16"/>
        </w:rPr>
        <w:t>1.0</w:t>
      </w:r>
      <w:r w:rsidRPr="007309FC">
        <w:rPr>
          <w:sz w:val="16"/>
          <w:szCs w:val="16"/>
        </w:rPr>
        <w:t>% of Australia’s estimated resident population of 27.</w:t>
      </w:r>
      <w:r w:rsidR="00CE733E" w:rsidRPr="007309FC">
        <w:rPr>
          <w:sz w:val="16"/>
          <w:szCs w:val="16"/>
        </w:rPr>
        <w:t>5</w:t>
      </w:r>
      <w:r w:rsidR="00557DEA" w:rsidRPr="007309FC">
        <w:rPr>
          <w:sz w:val="16"/>
          <w:szCs w:val="16"/>
        </w:rPr>
        <w:t>4 </w:t>
      </w:r>
      <w:r w:rsidRPr="007309FC">
        <w:rPr>
          <w:sz w:val="16"/>
          <w:szCs w:val="16"/>
        </w:rPr>
        <w:t>million.</w:t>
      </w:r>
    </w:p>
    <w:p w14:paraId="3D7114E8" w14:textId="63556768" w:rsidR="00233755" w:rsidRPr="007309FC" w:rsidRDefault="00233755" w:rsidP="006058E8">
      <w:pPr>
        <w:pStyle w:val="ListParagraph"/>
        <w:numPr>
          <w:ilvl w:val="0"/>
          <w:numId w:val="9"/>
        </w:numPr>
        <w:spacing w:before="40" w:after="40"/>
        <w:ind w:right="227" w:hanging="357"/>
        <w:contextualSpacing w:val="0"/>
        <w:jc w:val="both"/>
        <w:rPr>
          <w:sz w:val="16"/>
          <w:szCs w:val="16"/>
        </w:rPr>
      </w:pPr>
      <w:r w:rsidRPr="007309FC">
        <w:rPr>
          <w:sz w:val="16"/>
          <w:szCs w:val="16"/>
        </w:rPr>
        <w:t xml:space="preserve">In the year to the </w:t>
      </w:r>
      <w:r w:rsidR="00CE733E" w:rsidRPr="007309FC">
        <w:rPr>
          <w:sz w:val="16"/>
          <w:szCs w:val="16"/>
        </w:rPr>
        <w:t>March</w:t>
      </w:r>
      <w:r w:rsidRPr="007309FC">
        <w:rPr>
          <w:sz w:val="16"/>
          <w:szCs w:val="16"/>
        </w:rPr>
        <w:t xml:space="preserve"> quarter 202</w:t>
      </w:r>
      <w:r w:rsidR="00CE733E" w:rsidRPr="007309FC">
        <w:rPr>
          <w:sz w:val="16"/>
          <w:szCs w:val="16"/>
        </w:rPr>
        <w:t>5</w:t>
      </w:r>
      <w:r w:rsidRPr="007309FC">
        <w:rPr>
          <w:sz w:val="16"/>
          <w:szCs w:val="16"/>
        </w:rPr>
        <w:t xml:space="preserve">, Western Australia’s population grew by </w:t>
      </w:r>
      <w:r w:rsidR="00CE733E" w:rsidRPr="007309FC">
        <w:rPr>
          <w:sz w:val="16"/>
          <w:szCs w:val="16"/>
        </w:rPr>
        <w:t>67,532</w:t>
      </w:r>
      <w:r w:rsidRPr="007309FC">
        <w:rPr>
          <w:sz w:val="16"/>
          <w:szCs w:val="16"/>
        </w:rPr>
        <w:t xml:space="preserve"> with the increase comprising:</w:t>
      </w:r>
    </w:p>
    <w:p w14:paraId="363BD95B" w14:textId="6D0AE161" w:rsidR="00233755" w:rsidRPr="007309FC" w:rsidRDefault="00233755" w:rsidP="006058E8">
      <w:pPr>
        <w:pStyle w:val="ListParagraph"/>
        <w:numPr>
          <w:ilvl w:val="0"/>
          <w:numId w:val="10"/>
        </w:numPr>
        <w:spacing w:before="40" w:after="40"/>
        <w:ind w:right="227" w:hanging="357"/>
        <w:contextualSpacing w:val="0"/>
        <w:jc w:val="both"/>
        <w:rPr>
          <w:sz w:val="16"/>
          <w:szCs w:val="16"/>
        </w:rPr>
      </w:pPr>
      <w:r w:rsidRPr="007309FC">
        <w:rPr>
          <w:sz w:val="16"/>
          <w:szCs w:val="16"/>
        </w:rPr>
        <w:t xml:space="preserve">net overseas migration of </w:t>
      </w:r>
      <w:r w:rsidR="00CE733E" w:rsidRPr="007309FC">
        <w:rPr>
          <w:sz w:val="16"/>
          <w:szCs w:val="16"/>
        </w:rPr>
        <w:t>41,395</w:t>
      </w:r>
      <w:r w:rsidRPr="007309FC">
        <w:rPr>
          <w:sz w:val="16"/>
          <w:szCs w:val="16"/>
        </w:rPr>
        <w:t xml:space="preserve"> (13.</w:t>
      </w:r>
      <w:r w:rsidR="00CE733E" w:rsidRPr="007309FC">
        <w:rPr>
          <w:sz w:val="16"/>
          <w:szCs w:val="16"/>
        </w:rPr>
        <w:t>1</w:t>
      </w:r>
      <w:r w:rsidRPr="007309FC">
        <w:rPr>
          <w:sz w:val="16"/>
          <w:szCs w:val="16"/>
        </w:rPr>
        <w:t>% of the Australian total)</w:t>
      </w:r>
    </w:p>
    <w:p w14:paraId="310E4011" w14:textId="7EF54901" w:rsidR="00233755" w:rsidRPr="007309FC" w:rsidRDefault="00233755" w:rsidP="006058E8">
      <w:pPr>
        <w:pStyle w:val="ListParagraph"/>
        <w:numPr>
          <w:ilvl w:val="0"/>
          <w:numId w:val="10"/>
        </w:numPr>
        <w:spacing w:before="40" w:after="40"/>
        <w:ind w:right="227" w:hanging="357"/>
        <w:contextualSpacing w:val="0"/>
        <w:jc w:val="both"/>
        <w:rPr>
          <w:sz w:val="16"/>
          <w:szCs w:val="16"/>
        </w:rPr>
      </w:pPr>
      <w:r w:rsidRPr="007309FC">
        <w:rPr>
          <w:sz w:val="16"/>
          <w:szCs w:val="16"/>
        </w:rPr>
        <w:t xml:space="preserve">natural increase of </w:t>
      </w:r>
      <w:r w:rsidR="00CE733E" w:rsidRPr="007309FC">
        <w:rPr>
          <w:sz w:val="16"/>
          <w:szCs w:val="16"/>
        </w:rPr>
        <w:t>14,462</w:t>
      </w:r>
      <w:r w:rsidRPr="007309FC">
        <w:rPr>
          <w:sz w:val="16"/>
          <w:szCs w:val="16"/>
        </w:rPr>
        <w:t xml:space="preserve"> (1</w:t>
      </w:r>
      <w:r w:rsidR="00CE733E" w:rsidRPr="007309FC">
        <w:rPr>
          <w:sz w:val="16"/>
          <w:szCs w:val="16"/>
        </w:rPr>
        <w:t>3.5</w:t>
      </w:r>
      <w:r w:rsidRPr="007309FC">
        <w:rPr>
          <w:sz w:val="16"/>
          <w:szCs w:val="16"/>
        </w:rPr>
        <w:t>% of the Australian total)</w:t>
      </w:r>
    </w:p>
    <w:p w14:paraId="0ABC9502" w14:textId="0D24F3DE" w:rsidR="00233755" w:rsidRPr="007309FC" w:rsidRDefault="00233755" w:rsidP="006058E8">
      <w:pPr>
        <w:pStyle w:val="ListParagraph"/>
        <w:numPr>
          <w:ilvl w:val="0"/>
          <w:numId w:val="10"/>
        </w:numPr>
        <w:spacing w:before="40" w:after="40"/>
        <w:ind w:right="227" w:hanging="357"/>
        <w:contextualSpacing w:val="0"/>
        <w:jc w:val="both"/>
        <w:rPr>
          <w:sz w:val="16"/>
          <w:szCs w:val="16"/>
        </w:rPr>
      </w:pPr>
      <w:r w:rsidRPr="007309FC">
        <w:rPr>
          <w:sz w:val="16"/>
          <w:szCs w:val="16"/>
        </w:rPr>
        <w:t xml:space="preserve">net interstate migration of </w:t>
      </w:r>
      <w:r w:rsidR="00CE733E" w:rsidRPr="007309FC">
        <w:rPr>
          <w:sz w:val="16"/>
          <w:szCs w:val="16"/>
        </w:rPr>
        <w:t>11,675</w:t>
      </w:r>
      <w:r w:rsidRPr="007309FC">
        <w:rPr>
          <w:sz w:val="16"/>
          <w:szCs w:val="16"/>
        </w:rPr>
        <w:t>.</w:t>
      </w:r>
    </w:p>
    <w:p w14:paraId="7FAD367A" w14:textId="66FCEF40" w:rsidR="00233755" w:rsidRPr="00F439A9" w:rsidRDefault="008714BB" w:rsidP="006058E8">
      <w:pPr>
        <w:pStyle w:val="ListParagraph"/>
        <w:numPr>
          <w:ilvl w:val="0"/>
          <w:numId w:val="9"/>
        </w:numPr>
        <w:spacing w:before="40" w:after="40"/>
        <w:ind w:right="227" w:hanging="357"/>
        <w:contextualSpacing w:val="0"/>
        <w:jc w:val="both"/>
        <w:rPr>
          <w:sz w:val="16"/>
          <w:szCs w:val="16"/>
        </w:rPr>
      </w:pPr>
      <w:r w:rsidRPr="00F439A9">
        <w:rPr>
          <w:sz w:val="16"/>
          <w:szCs w:val="16"/>
        </w:rPr>
        <w:t>The WA Government State Budget 2025</w:t>
      </w:r>
      <w:r w:rsidRPr="00F439A9">
        <w:rPr>
          <w:sz w:val="16"/>
          <w:szCs w:val="16"/>
        </w:rPr>
        <w:noBreakHyphen/>
        <w:t>26</w:t>
      </w:r>
      <w:r w:rsidR="00233755" w:rsidRPr="00F439A9">
        <w:rPr>
          <w:sz w:val="16"/>
          <w:szCs w:val="16"/>
        </w:rPr>
        <w:t xml:space="preserve"> forecasts Western Australia’s population will grow by 1.8% in 2025</w:t>
      </w:r>
      <w:r w:rsidR="00233755" w:rsidRPr="00F439A9">
        <w:rPr>
          <w:sz w:val="16"/>
          <w:szCs w:val="16"/>
        </w:rPr>
        <w:noBreakHyphen/>
        <w:t>26.</w:t>
      </w:r>
    </w:p>
    <w:p w14:paraId="330FF4D6" w14:textId="77777777" w:rsidR="00233755" w:rsidRPr="00510C3F" w:rsidRDefault="00233755" w:rsidP="006058E8">
      <w:pPr>
        <w:pStyle w:val="ListParagraph"/>
        <w:numPr>
          <w:ilvl w:val="0"/>
          <w:numId w:val="9"/>
        </w:numPr>
        <w:rPr>
          <w:sz w:val="16"/>
          <w:szCs w:val="16"/>
        </w:rPr>
        <w:sectPr w:rsidR="00233755" w:rsidRPr="00510C3F" w:rsidSect="00233755">
          <w:type w:val="continuous"/>
          <w:pgSz w:w="11907" w:h="16840" w:code="9"/>
          <w:pgMar w:top="1701" w:right="425" w:bottom="567" w:left="567" w:header="709" w:footer="709" w:gutter="0"/>
          <w:cols w:num="2" w:space="113"/>
          <w:docGrid w:linePitch="360"/>
        </w:sectPr>
      </w:pPr>
    </w:p>
    <w:p w14:paraId="06307BCE"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Net overseas migration</w:t>
      </w:r>
    </w:p>
    <w:p w14:paraId="0D0A3AF2" w14:textId="38620136" w:rsidR="00233755" w:rsidRPr="007B1AE5" w:rsidRDefault="00630DB8" w:rsidP="00233755">
      <w:r>
        <w:rPr>
          <w:noProof/>
        </w:rPr>
        <w:drawing>
          <wp:inline distT="0" distB="0" distL="0" distR="0" wp14:anchorId="01DD9A28" wp14:editId="1B3412EF">
            <wp:extent cx="3421294" cy="2108515"/>
            <wp:effectExtent l="0" t="0" r="8255" b="6350"/>
            <wp:docPr id="20918950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3549" cy="2116068"/>
                    </a:xfrm>
                    <a:prstGeom prst="rect">
                      <a:avLst/>
                    </a:prstGeom>
                    <a:noFill/>
                    <a:ln>
                      <a:noFill/>
                    </a:ln>
                  </pic:spPr>
                </pic:pic>
              </a:graphicData>
            </a:graphic>
          </wp:inline>
        </w:drawing>
      </w:r>
    </w:p>
    <w:p w14:paraId="5C8416BA"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w:t>
      </w:r>
      <w:r w:rsidRPr="00AF759E">
        <w:rPr>
          <w:sz w:val="10"/>
          <w:szCs w:val="10"/>
        </w:rPr>
        <w:t xml:space="preserve"> Quarterly series</w:t>
      </w:r>
      <w:r>
        <w:rPr>
          <w:sz w:val="10"/>
          <w:szCs w:val="10"/>
        </w:rPr>
        <w:t xml:space="preserve">. </w:t>
      </w:r>
      <w:r w:rsidRPr="00AF759E">
        <w:rPr>
          <w:sz w:val="10"/>
          <w:szCs w:val="10"/>
        </w:rPr>
        <w:t>Overseas arrivals less departures</w:t>
      </w:r>
      <w:r>
        <w:rPr>
          <w:sz w:val="10"/>
          <w:szCs w:val="10"/>
        </w:rPr>
        <w:t>.</w:t>
      </w:r>
    </w:p>
    <w:p w14:paraId="5268BBFB" w14:textId="77777777" w:rsidR="00233755" w:rsidRPr="00AF759E" w:rsidRDefault="00233755" w:rsidP="00233755">
      <w:pPr>
        <w:jc w:val="both"/>
        <w:rPr>
          <w:sz w:val="10"/>
          <w:szCs w:val="10"/>
        </w:rPr>
      </w:pPr>
      <w:r w:rsidRPr="00AF759E">
        <w:rPr>
          <w:sz w:val="10"/>
          <w:szCs w:val="10"/>
        </w:rPr>
        <w:t>Source: Based on ABS data.</w:t>
      </w:r>
    </w:p>
    <w:p w14:paraId="170060EE" w14:textId="77777777" w:rsidR="00233755" w:rsidRPr="00D540FD" w:rsidRDefault="00233755" w:rsidP="006058E8">
      <w:pPr>
        <w:pStyle w:val="ListParagraph"/>
        <w:numPr>
          <w:ilvl w:val="0"/>
          <w:numId w:val="9"/>
        </w:numPr>
        <w:spacing w:before="40" w:after="40"/>
        <w:ind w:right="227" w:hanging="357"/>
        <w:contextualSpacing w:val="0"/>
        <w:jc w:val="both"/>
        <w:rPr>
          <w:color w:val="00B0F0"/>
          <w:sz w:val="16"/>
          <w:szCs w:val="16"/>
        </w:rPr>
      </w:pPr>
      <w:r w:rsidRPr="007B1AE5">
        <w:br w:type="column"/>
      </w:r>
      <w:r w:rsidRPr="00CE733E">
        <w:rPr>
          <w:sz w:val="16"/>
          <w:szCs w:val="16"/>
        </w:rPr>
        <w:t>Western Australia’s net overseas migration was significantly affected by the closing and then re</w:t>
      </w:r>
      <w:r w:rsidRPr="00CE733E">
        <w:rPr>
          <w:sz w:val="16"/>
          <w:szCs w:val="16"/>
        </w:rPr>
        <w:noBreakHyphen/>
        <w:t>opening of borders during the COVID</w:t>
      </w:r>
      <w:r w:rsidRPr="00CE733E">
        <w:rPr>
          <w:sz w:val="16"/>
          <w:szCs w:val="16"/>
        </w:rPr>
        <w:noBreakHyphen/>
        <w:t>19 pandemic.</w:t>
      </w:r>
    </w:p>
    <w:p w14:paraId="04934EA6" w14:textId="1A746C2D" w:rsidR="00233755" w:rsidRPr="00CC5A66" w:rsidRDefault="00233755" w:rsidP="006058E8">
      <w:pPr>
        <w:pStyle w:val="ListParagraph"/>
        <w:numPr>
          <w:ilvl w:val="0"/>
          <w:numId w:val="9"/>
        </w:numPr>
        <w:spacing w:before="40" w:after="40"/>
        <w:ind w:right="227" w:hanging="357"/>
        <w:contextualSpacing w:val="0"/>
        <w:jc w:val="both"/>
        <w:rPr>
          <w:sz w:val="16"/>
          <w:szCs w:val="16"/>
        </w:rPr>
      </w:pPr>
      <w:r w:rsidRPr="00CC5A66">
        <w:rPr>
          <w:sz w:val="16"/>
          <w:szCs w:val="16"/>
        </w:rPr>
        <w:t xml:space="preserve">In the year to the </w:t>
      </w:r>
      <w:r w:rsidR="00CE733E" w:rsidRPr="00CC5A66">
        <w:rPr>
          <w:sz w:val="16"/>
          <w:szCs w:val="16"/>
        </w:rPr>
        <w:t>March</w:t>
      </w:r>
      <w:r w:rsidRPr="00CC5A66">
        <w:rPr>
          <w:sz w:val="16"/>
          <w:szCs w:val="16"/>
        </w:rPr>
        <w:t xml:space="preserve"> quarter 202</w:t>
      </w:r>
      <w:r w:rsidR="00CE733E" w:rsidRPr="00CC5A66">
        <w:rPr>
          <w:sz w:val="16"/>
          <w:szCs w:val="16"/>
        </w:rPr>
        <w:t>5</w:t>
      </w:r>
      <w:r w:rsidRPr="00CC5A66">
        <w:rPr>
          <w:sz w:val="16"/>
          <w:szCs w:val="16"/>
        </w:rPr>
        <w:t xml:space="preserve">, Western Australia’s net overseas migration was </w:t>
      </w:r>
      <w:r w:rsidR="00C80AB4" w:rsidRPr="00CC5A66">
        <w:rPr>
          <w:sz w:val="16"/>
          <w:szCs w:val="16"/>
        </w:rPr>
        <w:t>41,395</w:t>
      </w:r>
      <w:r w:rsidRPr="00CC5A66">
        <w:rPr>
          <w:sz w:val="16"/>
          <w:szCs w:val="16"/>
        </w:rPr>
        <w:t xml:space="preserve">, </w:t>
      </w:r>
      <w:r w:rsidR="00FE2D3F" w:rsidRPr="00CC5A66">
        <w:rPr>
          <w:sz w:val="16"/>
          <w:szCs w:val="16"/>
        </w:rPr>
        <w:t>3</w:t>
      </w:r>
      <w:r w:rsidR="00C80AB4" w:rsidRPr="00CC5A66">
        <w:rPr>
          <w:sz w:val="16"/>
          <w:szCs w:val="16"/>
        </w:rPr>
        <w:t>7</w:t>
      </w:r>
      <w:r w:rsidR="00FE2D3F" w:rsidRPr="00CC5A66">
        <w:rPr>
          <w:sz w:val="16"/>
          <w:szCs w:val="16"/>
        </w:rPr>
        <w:t>.</w:t>
      </w:r>
      <w:r w:rsidR="0057155E" w:rsidRPr="00CC5A66">
        <w:rPr>
          <w:sz w:val="16"/>
          <w:szCs w:val="16"/>
        </w:rPr>
        <w:t>4</w:t>
      </w:r>
      <w:r w:rsidRPr="00CC5A66">
        <w:rPr>
          <w:sz w:val="16"/>
          <w:szCs w:val="16"/>
        </w:rPr>
        <w:t xml:space="preserve">% less than in the year to the </w:t>
      </w:r>
      <w:r w:rsidR="00C80AB4" w:rsidRPr="00CC5A66">
        <w:rPr>
          <w:sz w:val="16"/>
          <w:szCs w:val="16"/>
        </w:rPr>
        <w:t>March</w:t>
      </w:r>
      <w:r w:rsidRPr="00CC5A66">
        <w:rPr>
          <w:sz w:val="16"/>
          <w:szCs w:val="16"/>
        </w:rPr>
        <w:t xml:space="preserve"> quarter 202</w:t>
      </w:r>
      <w:r w:rsidR="00C80AB4" w:rsidRPr="00CC5A66">
        <w:rPr>
          <w:sz w:val="16"/>
          <w:szCs w:val="16"/>
        </w:rPr>
        <w:t>4</w:t>
      </w:r>
      <w:r w:rsidRPr="00CC5A66">
        <w:rPr>
          <w:sz w:val="16"/>
          <w:szCs w:val="16"/>
        </w:rPr>
        <w:t>.</w:t>
      </w:r>
    </w:p>
    <w:p w14:paraId="223CF506" w14:textId="5F1DABE0" w:rsidR="00233755" w:rsidRPr="00CC5A66" w:rsidRDefault="00233755" w:rsidP="006058E8">
      <w:pPr>
        <w:pStyle w:val="ListParagraph"/>
        <w:numPr>
          <w:ilvl w:val="0"/>
          <w:numId w:val="9"/>
        </w:numPr>
        <w:spacing w:before="40" w:after="40"/>
        <w:ind w:right="227" w:hanging="357"/>
        <w:contextualSpacing w:val="0"/>
        <w:jc w:val="both"/>
        <w:rPr>
          <w:sz w:val="16"/>
          <w:szCs w:val="16"/>
        </w:rPr>
      </w:pPr>
      <w:r w:rsidRPr="00CC5A66">
        <w:rPr>
          <w:sz w:val="16"/>
          <w:szCs w:val="16"/>
        </w:rPr>
        <w:t xml:space="preserve">Net overseas migration was </w:t>
      </w:r>
      <w:r w:rsidR="00C80AB4" w:rsidRPr="00CC5A66">
        <w:rPr>
          <w:sz w:val="16"/>
          <w:szCs w:val="16"/>
        </w:rPr>
        <w:t>13,378</w:t>
      </w:r>
      <w:r w:rsidRPr="00CC5A66">
        <w:rPr>
          <w:sz w:val="16"/>
          <w:szCs w:val="16"/>
        </w:rPr>
        <w:t xml:space="preserve"> in the </w:t>
      </w:r>
      <w:r w:rsidR="00C80AB4" w:rsidRPr="00CC5A66">
        <w:rPr>
          <w:sz w:val="16"/>
          <w:szCs w:val="16"/>
        </w:rPr>
        <w:t>March</w:t>
      </w:r>
      <w:r w:rsidRPr="00CC5A66">
        <w:rPr>
          <w:sz w:val="16"/>
          <w:szCs w:val="16"/>
        </w:rPr>
        <w:t xml:space="preserve"> quarter 202</w:t>
      </w:r>
      <w:r w:rsidR="00C80AB4" w:rsidRPr="00CC5A66">
        <w:rPr>
          <w:sz w:val="16"/>
          <w:szCs w:val="16"/>
        </w:rPr>
        <w:t>5</w:t>
      </w:r>
      <w:r w:rsidRPr="00CC5A66">
        <w:rPr>
          <w:sz w:val="16"/>
          <w:szCs w:val="16"/>
        </w:rPr>
        <w:t>, down from the record high of 20,995 in the March quarter 2023.</w:t>
      </w:r>
    </w:p>
    <w:p w14:paraId="21BACE82" w14:textId="02F3B1D4" w:rsidR="00233755" w:rsidRPr="00CC5A66" w:rsidRDefault="00B05908" w:rsidP="00B05908">
      <w:pPr>
        <w:pStyle w:val="ListParagraph"/>
        <w:numPr>
          <w:ilvl w:val="0"/>
          <w:numId w:val="9"/>
        </w:numPr>
        <w:spacing w:before="40" w:after="40"/>
        <w:ind w:right="227" w:hanging="357"/>
        <w:contextualSpacing w:val="0"/>
        <w:jc w:val="both"/>
        <w:rPr>
          <w:sz w:val="16"/>
          <w:szCs w:val="16"/>
        </w:rPr>
      </w:pPr>
      <w:r w:rsidRPr="00CC5A66">
        <w:rPr>
          <w:sz w:val="16"/>
          <w:szCs w:val="16"/>
        </w:rPr>
        <w:t xml:space="preserve">Western Australia’s share of Australia’s net overseas migration has fluctuated over time based on economic conditions in the State relative to other parts of Australia. In the March quarter 2025, </w:t>
      </w:r>
      <w:r w:rsidR="00233755" w:rsidRPr="00CC5A66">
        <w:rPr>
          <w:sz w:val="16"/>
          <w:szCs w:val="16"/>
        </w:rPr>
        <w:t>Western Australia’s share of Australia’s net overseas migration was 12.</w:t>
      </w:r>
      <w:r w:rsidR="00C80AB4" w:rsidRPr="00CC5A66">
        <w:rPr>
          <w:sz w:val="16"/>
          <w:szCs w:val="16"/>
        </w:rPr>
        <w:t>2</w:t>
      </w:r>
      <w:r w:rsidR="00233755" w:rsidRPr="00CC5A66">
        <w:rPr>
          <w:sz w:val="16"/>
          <w:szCs w:val="16"/>
        </w:rPr>
        <w:t xml:space="preserve">%, </w:t>
      </w:r>
      <w:r w:rsidR="00C80AB4" w:rsidRPr="00CC5A66">
        <w:rPr>
          <w:sz w:val="16"/>
          <w:szCs w:val="16"/>
        </w:rPr>
        <w:t xml:space="preserve">slightly </w:t>
      </w:r>
      <w:r w:rsidR="00233755" w:rsidRPr="00CC5A66">
        <w:rPr>
          <w:sz w:val="16"/>
          <w:szCs w:val="16"/>
        </w:rPr>
        <w:t>above the long</w:t>
      </w:r>
      <w:r w:rsidR="00233755" w:rsidRPr="00CC5A66">
        <w:rPr>
          <w:sz w:val="16"/>
          <w:szCs w:val="16"/>
        </w:rPr>
        <w:noBreakHyphen/>
        <w:t>term average of around 12%.</w:t>
      </w:r>
    </w:p>
    <w:p w14:paraId="16910AED" w14:textId="77777777" w:rsidR="00233755" w:rsidRPr="005D66A4" w:rsidRDefault="00233755" w:rsidP="006058E8">
      <w:pPr>
        <w:pStyle w:val="ListParagraph"/>
        <w:numPr>
          <w:ilvl w:val="0"/>
          <w:numId w:val="10"/>
        </w:numPr>
        <w:spacing w:before="40" w:after="40"/>
        <w:ind w:hanging="357"/>
        <w:contextualSpacing w:val="0"/>
        <w:jc w:val="both"/>
        <w:rPr>
          <w:sz w:val="16"/>
          <w:szCs w:val="16"/>
        </w:rPr>
        <w:sectPr w:rsidR="00233755" w:rsidRPr="005D66A4" w:rsidSect="00233755">
          <w:type w:val="continuous"/>
          <w:pgSz w:w="11907" w:h="16840" w:code="9"/>
          <w:pgMar w:top="1701" w:right="425" w:bottom="567" w:left="567" w:header="709" w:footer="709" w:gutter="0"/>
          <w:cols w:num="2" w:space="113"/>
          <w:docGrid w:linePitch="360"/>
        </w:sectPr>
      </w:pPr>
    </w:p>
    <w:p w14:paraId="555CD454"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Interstate migration</w:t>
      </w:r>
    </w:p>
    <w:p w14:paraId="654A7720" w14:textId="2FF1BFB0" w:rsidR="00233755" w:rsidRPr="007B1AE5" w:rsidRDefault="00630DB8" w:rsidP="00233755">
      <w:pPr>
        <w:rPr>
          <w:rFonts w:eastAsiaTheme="majorEastAsia"/>
        </w:rPr>
      </w:pPr>
      <w:r>
        <w:rPr>
          <w:rFonts w:eastAsiaTheme="majorEastAsia"/>
          <w:noProof/>
        </w:rPr>
        <w:drawing>
          <wp:inline distT="0" distB="0" distL="0" distR="0" wp14:anchorId="2B1BE439" wp14:editId="6F9E3493">
            <wp:extent cx="3426764" cy="2116476"/>
            <wp:effectExtent l="0" t="0" r="2540" b="0"/>
            <wp:docPr id="9364630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0096" cy="2118534"/>
                    </a:xfrm>
                    <a:prstGeom prst="rect">
                      <a:avLst/>
                    </a:prstGeom>
                    <a:noFill/>
                    <a:ln>
                      <a:noFill/>
                    </a:ln>
                  </pic:spPr>
                </pic:pic>
              </a:graphicData>
            </a:graphic>
          </wp:inline>
        </w:drawing>
      </w:r>
    </w:p>
    <w:p w14:paraId="74C8F3F1"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Quarterly series.</w:t>
      </w:r>
    </w:p>
    <w:p w14:paraId="5C436547" w14:textId="77777777" w:rsidR="00233755" w:rsidRPr="00AF759E" w:rsidRDefault="00233755" w:rsidP="00233755">
      <w:pPr>
        <w:jc w:val="both"/>
        <w:rPr>
          <w:sz w:val="10"/>
          <w:szCs w:val="10"/>
        </w:rPr>
      </w:pPr>
      <w:r w:rsidRPr="00AF759E">
        <w:rPr>
          <w:sz w:val="10"/>
          <w:szCs w:val="10"/>
        </w:rPr>
        <w:t>Source: Based on ABS data.</w:t>
      </w:r>
    </w:p>
    <w:p w14:paraId="20913108" w14:textId="2A8652FD" w:rsidR="00233755" w:rsidRPr="00CC5A66"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CC5A66">
        <w:rPr>
          <w:sz w:val="16"/>
          <w:szCs w:val="16"/>
        </w:rPr>
        <w:t xml:space="preserve">Western Australia has had positive net interstate migration since </w:t>
      </w:r>
      <w:r w:rsidR="00741513" w:rsidRPr="00CC5A66">
        <w:rPr>
          <w:sz w:val="16"/>
          <w:szCs w:val="16"/>
        </w:rPr>
        <w:t xml:space="preserve">early </w:t>
      </w:r>
      <w:r w:rsidRPr="00CC5A66">
        <w:rPr>
          <w:sz w:val="16"/>
          <w:szCs w:val="16"/>
        </w:rPr>
        <w:t>2020. This followed 2</w:t>
      </w:r>
      <w:r w:rsidR="00741513" w:rsidRPr="00CC5A66">
        <w:rPr>
          <w:sz w:val="16"/>
          <w:szCs w:val="16"/>
        </w:rPr>
        <w:t>6</w:t>
      </w:r>
      <w:r w:rsidRPr="00CC5A66">
        <w:rPr>
          <w:sz w:val="16"/>
          <w:szCs w:val="16"/>
        </w:rPr>
        <w:t xml:space="preserve"> quarters of negative net interstate migration from the </w:t>
      </w:r>
      <w:r w:rsidR="00741513" w:rsidRPr="00CC5A66">
        <w:rPr>
          <w:sz w:val="16"/>
          <w:szCs w:val="16"/>
        </w:rPr>
        <w:t>September</w:t>
      </w:r>
      <w:r w:rsidRPr="00CC5A66">
        <w:rPr>
          <w:sz w:val="16"/>
          <w:szCs w:val="16"/>
        </w:rPr>
        <w:t xml:space="preserve"> quarter 201</w:t>
      </w:r>
      <w:r w:rsidR="00741513" w:rsidRPr="00CC5A66">
        <w:rPr>
          <w:sz w:val="16"/>
          <w:szCs w:val="16"/>
        </w:rPr>
        <w:t>3</w:t>
      </w:r>
      <w:r w:rsidRPr="00CC5A66">
        <w:rPr>
          <w:sz w:val="16"/>
          <w:szCs w:val="16"/>
        </w:rPr>
        <w:t xml:space="preserve"> to the </w:t>
      </w:r>
      <w:r w:rsidR="00741513" w:rsidRPr="00CC5A66">
        <w:rPr>
          <w:sz w:val="16"/>
          <w:szCs w:val="16"/>
        </w:rPr>
        <w:t>December</w:t>
      </w:r>
      <w:r w:rsidRPr="00CC5A66">
        <w:rPr>
          <w:sz w:val="16"/>
          <w:szCs w:val="16"/>
        </w:rPr>
        <w:t xml:space="preserve"> quarter 20</w:t>
      </w:r>
      <w:r w:rsidR="00741513" w:rsidRPr="00CC5A66">
        <w:rPr>
          <w:sz w:val="16"/>
          <w:szCs w:val="16"/>
        </w:rPr>
        <w:t>19</w:t>
      </w:r>
      <w:r w:rsidRPr="00CC5A66">
        <w:rPr>
          <w:sz w:val="16"/>
          <w:szCs w:val="16"/>
        </w:rPr>
        <w:t>.</w:t>
      </w:r>
    </w:p>
    <w:p w14:paraId="7D12CA62" w14:textId="599CC157" w:rsidR="00233755" w:rsidRPr="00CC5A66" w:rsidRDefault="00233755" w:rsidP="006058E8">
      <w:pPr>
        <w:pStyle w:val="ListParagraph"/>
        <w:numPr>
          <w:ilvl w:val="0"/>
          <w:numId w:val="9"/>
        </w:numPr>
        <w:spacing w:before="40" w:after="40"/>
        <w:ind w:right="227" w:hanging="357"/>
        <w:contextualSpacing w:val="0"/>
        <w:jc w:val="both"/>
        <w:rPr>
          <w:sz w:val="16"/>
          <w:szCs w:val="16"/>
        </w:rPr>
      </w:pPr>
      <w:r w:rsidRPr="00CC5A66">
        <w:rPr>
          <w:sz w:val="16"/>
          <w:szCs w:val="16"/>
        </w:rPr>
        <w:t xml:space="preserve">In the year to the </w:t>
      </w:r>
      <w:r w:rsidR="00C80AB4" w:rsidRPr="00CC5A66">
        <w:rPr>
          <w:sz w:val="16"/>
          <w:szCs w:val="16"/>
        </w:rPr>
        <w:t>March</w:t>
      </w:r>
      <w:r w:rsidRPr="00CC5A66">
        <w:rPr>
          <w:sz w:val="16"/>
          <w:szCs w:val="16"/>
        </w:rPr>
        <w:t xml:space="preserve"> quarter 202</w:t>
      </w:r>
      <w:r w:rsidR="00C80AB4" w:rsidRPr="00CC5A66">
        <w:rPr>
          <w:sz w:val="16"/>
          <w:szCs w:val="16"/>
        </w:rPr>
        <w:t>5</w:t>
      </w:r>
      <w:r w:rsidRPr="00CC5A66">
        <w:rPr>
          <w:sz w:val="16"/>
          <w:szCs w:val="16"/>
        </w:rPr>
        <w:t xml:space="preserve">, Western Australia’s net interstate migration was </w:t>
      </w:r>
      <w:r w:rsidR="00C80AB4" w:rsidRPr="00CC5A66">
        <w:rPr>
          <w:sz w:val="16"/>
          <w:szCs w:val="16"/>
        </w:rPr>
        <w:t>11,675</w:t>
      </w:r>
      <w:r w:rsidRPr="00CC5A66">
        <w:rPr>
          <w:sz w:val="16"/>
          <w:szCs w:val="16"/>
        </w:rPr>
        <w:t>, with:</w:t>
      </w:r>
    </w:p>
    <w:p w14:paraId="54EB0092" w14:textId="0DE4B31E" w:rsidR="00233755" w:rsidRPr="00CC5A66" w:rsidRDefault="00C80AB4" w:rsidP="006058E8">
      <w:pPr>
        <w:pStyle w:val="ListParagraph"/>
        <w:numPr>
          <w:ilvl w:val="0"/>
          <w:numId w:val="10"/>
        </w:numPr>
        <w:spacing w:before="40" w:after="40"/>
        <w:ind w:right="227" w:hanging="357"/>
        <w:contextualSpacing w:val="0"/>
        <w:jc w:val="both"/>
        <w:rPr>
          <w:sz w:val="16"/>
          <w:szCs w:val="16"/>
        </w:rPr>
      </w:pPr>
      <w:r w:rsidRPr="00CC5A66">
        <w:rPr>
          <w:sz w:val="16"/>
          <w:szCs w:val="16"/>
        </w:rPr>
        <w:t>38,630</w:t>
      </w:r>
      <w:r w:rsidR="00233755" w:rsidRPr="00CC5A66">
        <w:rPr>
          <w:sz w:val="16"/>
          <w:szCs w:val="16"/>
        </w:rPr>
        <w:t xml:space="preserve"> interstate arrivals</w:t>
      </w:r>
    </w:p>
    <w:p w14:paraId="5681BB54" w14:textId="6755A0C4" w:rsidR="00233755" w:rsidRPr="00CC5A66" w:rsidRDefault="00C80AB4" w:rsidP="006058E8">
      <w:pPr>
        <w:pStyle w:val="ListParagraph"/>
        <w:numPr>
          <w:ilvl w:val="0"/>
          <w:numId w:val="10"/>
        </w:numPr>
        <w:spacing w:before="40" w:after="40"/>
        <w:ind w:right="227" w:hanging="357"/>
        <w:contextualSpacing w:val="0"/>
        <w:jc w:val="both"/>
        <w:rPr>
          <w:sz w:val="16"/>
          <w:szCs w:val="16"/>
        </w:rPr>
      </w:pPr>
      <w:r w:rsidRPr="00CC5A66">
        <w:rPr>
          <w:sz w:val="16"/>
          <w:szCs w:val="16"/>
        </w:rPr>
        <w:t>26,955</w:t>
      </w:r>
      <w:r w:rsidR="00233755" w:rsidRPr="00CC5A66">
        <w:rPr>
          <w:sz w:val="16"/>
          <w:szCs w:val="16"/>
        </w:rPr>
        <w:t xml:space="preserve"> interstate departures.</w:t>
      </w:r>
    </w:p>
    <w:p w14:paraId="49FC5AA2" w14:textId="74E34A5E" w:rsidR="00233755" w:rsidRPr="00CC5A66" w:rsidRDefault="00233755" w:rsidP="006058E8">
      <w:pPr>
        <w:pStyle w:val="ListParagraph"/>
        <w:numPr>
          <w:ilvl w:val="0"/>
          <w:numId w:val="9"/>
        </w:numPr>
        <w:spacing w:before="40" w:after="40"/>
        <w:ind w:right="227" w:hanging="357"/>
        <w:contextualSpacing w:val="0"/>
        <w:jc w:val="both"/>
        <w:rPr>
          <w:sz w:val="16"/>
          <w:szCs w:val="16"/>
        </w:rPr>
      </w:pPr>
      <w:r w:rsidRPr="00CC5A66">
        <w:rPr>
          <w:sz w:val="16"/>
          <w:szCs w:val="16"/>
        </w:rPr>
        <w:t xml:space="preserve">Net interstate migration was </w:t>
      </w:r>
      <w:r w:rsidR="00741513" w:rsidRPr="00CC5A66">
        <w:rPr>
          <w:sz w:val="16"/>
          <w:szCs w:val="16"/>
        </w:rPr>
        <w:t>2,</w:t>
      </w:r>
      <w:r w:rsidR="00C80AB4" w:rsidRPr="00CC5A66">
        <w:rPr>
          <w:sz w:val="16"/>
          <w:szCs w:val="16"/>
        </w:rPr>
        <w:t>687</w:t>
      </w:r>
      <w:r w:rsidRPr="00CC5A66">
        <w:rPr>
          <w:sz w:val="16"/>
          <w:szCs w:val="16"/>
        </w:rPr>
        <w:t xml:space="preserve"> in the </w:t>
      </w:r>
      <w:r w:rsidR="00C80AB4" w:rsidRPr="00CC5A66">
        <w:rPr>
          <w:sz w:val="16"/>
          <w:szCs w:val="16"/>
        </w:rPr>
        <w:t>March</w:t>
      </w:r>
      <w:r w:rsidRPr="00CC5A66">
        <w:rPr>
          <w:sz w:val="16"/>
          <w:szCs w:val="16"/>
        </w:rPr>
        <w:t xml:space="preserve"> quarter 202</w:t>
      </w:r>
      <w:r w:rsidR="00C80AB4" w:rsidRPr="00CC5A66">
        <w:rPr>
          <w:sz w:val="16"/>
          <w:szCs w:val="16"/>
        </w:rPr>
        <w:t>5</w:t>
      </w:r>
      <w:r w:rsidRPr="00CC5A66">
        <w:rPr>
          <w:sz w:val="16"/>
          <w:szCs w:val="16"/>
        </w:rPr>
        <w:t>, lower than the 2,</w:t>
      </w:r>
      <w:r w:rsidR="00C80AB4" w:rsidRPr="00CC5A66">
        <w:rPr>
          <w:sz w:val="16"/>
          <w:szCs w:val="16"/>
        </w:rPr>
        <w:t>943</w:t>
      </w:r>
      <w:r w:rsidRPr="00CC5A66">
        <w:rPr>
          <w:sz w:val="16"/>
          <w:szCs w:val="16"/>
        </w:rPr>
        <w:t xml:space="preserve"> in the previous quarter.</w:t>
      </w:r>
    </w:p>
    <w:p w14:paraId="712DDFE0"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7F28B3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5" w:name="_Housing"/>
      <w:bookmarkEnd w:id="25"/>
      <w:r w:rsidRPr="008F7AA0">
        <w:rPr>
          <w:bCs/>
          <w:color w:val="004C3D"/>
          <w:sz w:val="24"/>
          <w:szCs w:val="24"/>
        </w:rPr>
        <w:lastRenderedPageBreak/>
        <w:t>Housing</w:t>
      </w:r>
    </w:p>
    <w:p w14:paraId="7ED373C0"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110C847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Dwelling building activity</w:t>
      </w:r>
    </w:p>
    <w:p w14:paraId="28436D14" w14:textId="2494F50E" w:rsidR="00233755" w:rsidRPr="007B1AE5" w:rsidRDefault="00C56056" w:rsidP="00233755">
      <w:r>
        <w:rPr>
          <w:noProof/>
        </w:rPr>
        <w:drawing>
          <wp:inline distT="0" distB="0" distL="0" distR="0" wp14:anchorId="093F5044" wp14:editId="7905E8F1">
            <wp:extent cx="3428004" cy="2108718"/>
            <wp:effectExtent l="0" t="0" r="1270" b="6350"/>
            <wp:docPr id="680648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35238" cy="2113168"/>
                    </a:xfrm>
                    <a:prstGeom prst="rect">
                      <a:avLst/>
                    </a:prstGeom>
                    <a:noFill/>
                    <a:ln>
                      <a:noFill/>
                    </a:ln>
                  </pic:spPr>
                </pic:pic>
              </a:graphicData>
            </a:graphic>
          </wp:inline>
        </w:drawing>
      </w:r>
    </w:p>
    <w:p w14:paraId="3DBC5E8D" w14:textId="38169FAE" w:rsidR="00233755" w:rsidRPr="00AC7274" w:rsidRDefault="00233755" w:rsidP="00233755">
      <w:pPr>
        <w:jc w:val="both"/>
        <w:rPr>
          <w:sz w:val="10"/>
          <w:szCs w:val="10"/>
        </w:rPr>
      </w:pPr>
      <w:r w:rsidRPr="00AC7274">
        <w:rPr>
          <w:sz w:val="10"/>
        </w:rPr>
        <w:t xml:space="preserve">Note – </w:t>
      </w:r>
      <w:r w:rsidRPr="00AC7274">
        <w:rPr>
          <w:sz w:val="10"/>
          <w:szCs w:val="10"/>
        </w:rPr>
        <w:t>Seasonally adjusted series for dwelling commencements and completions and original series for dwellings under construction. Quarterly series.</w:t>
      </w:r>
    </w:p>
    <w:p w14:paraId="7E84093B" w14:textId="77777777" w:rsidR="00233755" w:rsidRPr="00AC7274" w:rsidRDefault="00233755" w:rsidP="00233755">
      <w:pPr>
        <w:jc w:val="both"/>
        <w:rPr>
          <w:sz w:val="10"/>
          <w:szCs w:val="10"/>
        </w:rPr>
      </w:pPr>
      <w:r w:rsidRPr="00AC7274">
        <w:rPr>
          <w:sz w:val="10"/>
          <w:szCs w:val="10"/>
        </w:rPr>
        <w:t>Source: Based on ABS data.</w:t>
      </w:r>
    </w:p>
    <w:p w14:paraId="2A631D9D" w14:textId="2F4C2DF6" w:rsidR="00233755" w:rsidRPr="00847561"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847561">
        <w:rPr>
          <w:sz w:val="16"/>
          <w:szCs w:val="16"/>
        </w:rPr>
        <w:t xml:space="preserve">The </w:t>
      </w:r>
      <w:r w:rsidRPr="00C56056">
        <w:rPr>
          <w:sz w:val="16"/>
          <w:szCs w:val="16"/>
        </w:rPr>
        <w:t xml:space="preserve">number </w:t>
      </w:r>
      <w:r w:rsidRPr="00847561">
        <w:rPr>
          <w:sz w:val="16"/>
          <w:szCs w:val="16"/>
        </w:rPr>
        <w:t>of dwellings completed usually tracks the number of dwellings commenced with a lag as dwellings are built. Changes in the average time taken to complete builds will disrupt this relation</w:t>
      </w:r>
      <w:r w:rsidRPr="003B43AB">
        <w:rPr>
          <w:sz w:val="16"/>
          <w:szCs w:val="16"/>
        </w:rPr>
        <w:t xml:space="preserve">ship, as </w:t>
      </w:r>
      <w:r w:rsidR="004B1DD3" w:rsidRPr="003B43AB">
        <w:rPr>
          <w:sz w:val="16"/>
          <w:szCs w:val="16"/>
        </w:rPr>
        <w:t xml:space="preserve">it </w:t>
      </w:r>
      <w:r w:rsidRPr="003B43AB">
        <w:rPr>
          <w:sz w:val="16"/>
          <w:szCs w:val="16"/>
        </w:rPr>
        <w:t>has in recent years in Western Australia.</w:t>
      </w:r>
    </w:p>
    <w:p w14:paraId="3773C935" w14:textId="77777777" w:rsidR="00233755" w:rsidRPr="00847561" w:rsidRDefault="00233755" w:rsidP="006058E8">
      <w:pPr>
        <w:pStyle w:val="ListParagraph"/>
        <w:numPr>
          <w:ilvl w:val="0"/>
          <w:numId w:val="10"/>
        </w:numPr>
        <w:spacing w:before="40" w:after="40"/>
        <w:ind w:right="227" w:hanging="357"/>
        <w:contextualSpacing w:val="0"/>
        <w:jc w:val="both"/>
        <w:rPr>
          <w:sz w:val="16"/>
          <w:szCs w:val="16"/>
        </w:rPr>
      </w:pPr>
      <w:r w:rsidRPr="00847561">
        <w:rPr>
          <w:sz w:val="16"/>
          <w:szCs w:val="16"/>
        </w:rPr>
        <w:t>Stimulus measures introduced by the Australian and Western Australian Government in mid</w:t>
      </w:r>
      <w:r w:rsidRPr="00847561">
        <w:rPr>
          <w:sz w:val="16"/>
          <w:szCs w:val="16"/>
        </w:rPr>
        <w:noBreakHyphen/>
        <w:t>2020 contributed to a large increase in the number of dwelling units commenced.</w:t>
      </w:r>
    </w:p>
    <w:p w14:paraId="6FFAC06E" w14:textId="74610786" w:rsidR="00233755" w:rsidRPr="00847561" w:rsidRDefault="00233755" w:rsidP="006058E8">
      <w:pPr>
        <w:pStyle w:val="ListParagraph"/>
        <w:numPr>
          <w:ilvl w:val="0"/>
          <w:numId w:val="10"/>
        </w:numPr>
        <w:spacing w:before="40" w:after="40"/>
        <w:ind w:right="227" w:hanging="357"/>
        <w:contextualSpacing w:val="0"/>
        <w:jc w:val="both"/>
        <w:rPr>
          <w:sz w:val="16"/>
          <w:szCs w:val="16"/>
        </w:rPr>
      </w:pPr>
      <w:r w:rsidRPr="00847561">
        <w:rPr>
          <w:sz w:val="16"/>
          <w:szCs w:val="16"/>
        </w:rPr>
        <w:t>However, longer timeframes for housing construction meant there was not a corresponding increase in the number of dwelling units completed. This resulted in a sharp increase in the number of dwellings under construction.</w:t>
      </w:r>
    </w:p>
    <w:p w14:paraId="01B5356D" w14:textId="6D0071AA" w:rsidR="00233755" w:rsidRPr="00847561" w:rsidRDefault="00233755" w:rsidP="006058E8">
      <w:pPr>
        <w:pStyle w:val="ListParagraph"/>
        <w:numPr>
          <w:ilvl w:val="0"/>
          <w:numId w:val="9"/>
        </w:numPr>
        <w:spacing w:before="40" w:after="40"/>
        <w:ind w:left="357" w:right="227" w:hanging="357"/>
        <w:contextualSpacing w:val="0"/>
        <w:jc w:val="both"/>
        <w:rPr>
          <w:sz w:val="16"/>
          <w:szCs w:val="16"/>
        </w:rPr>
      </w:pPr>
      <w:r w:rsidRPr="00847561">
        <w:rPr>
          <w:sz w:val="16"/>
          <w:szCs w:val="16"/>
        </w:rPr>
        <w:t>The number of dwellings under construction has fallen over the past two years as the rate of completions has picked up. However, an increase in the number of dwellings commenced has kept the number of dwellings under construction at a high level.</w:t>
      </w:r>
    </w:p>
    <w:p w14:paraId="1FCF34A5" w14:textId="29898574" w:rsidR="00233755" w:rsidRPr="00EA2D70" w:rsidRDefault="00233755" w:rsidP="006058E8">
      <w:pPr>
        <w:pStyle w:val="ListParagraph"/>
        <w:numPr>
          <w:ilvl w:val="0"/>
          <w:numId w:val="9"/>
        </w:numPr>
        <w:spacing w:before="40" w:after="40"/>
        <w:ind w:left="357" w:right="227" w:hanging="357"/>
        <w:contextualSpacing w:val="0"/>
        <w:jc w:val="both"/>
        <w:rPr>
          <w:sz w:val="16"/>
          <w:szCs w:val="16"/>
        </w:rPr>
      </w:pPr>
      <w:r w:rsidRPr="00EA2D70">
        <w:rPr>
          <w:sz w:val="16"/>
          <w:szCs w:val="16"/>
        </w:rPr>
        <w:t xml:space="preserve">Between the </w:t>
      </w:r>
      <w:r w:rsidR="00830557" w:rsidRPr="00EA2D70">
        <w:rPr>
          <w:sz w:val="16"/>
          <w:szCs w:val="16"/>
        </w:rPr>
        <w:t>June</w:t>
      </w:r>
      <w:r w:rsidRPr="00EA2D70">
        <w:rPr>
          <w:sz w:val="16"/>
          <w:szCs w:val="16"/>
        </w:rPr>
        <w:t xml:space="preserve"> quarters of 202</w:t>
      </w:r>
      <w:r w:rsidR="003B43AB" w:rsidRPr="00EA2D70">
        <w:rPr>
          <w:sz w:val="16"/>
          <w:szCs w:val="16"/>
        </w:rPr>
        <w:t>4</w:t>
      </w:r>
      <w:r w:rsidRPr="00EA2D70">
        <w:rPr>
          <w:sz w:val="16"/>
          <w:szCs w:val="16"/>
        </w:rPr>
        <w:t xml:space="preserve"> and 202</w:t>
      </w:r>
      <w:r w:rsidR="003B43AB" w:rsidRPr="00EA2D70">
        <w:rPr>
          <w:sz w:val="16"/>
          <w:szCs w:val="16"/>
        </w:rPr>
        <w:t>5</w:t>
      </w:r>
      <w:r w:rsidRPr="00EA2D70">
        <w:rPr>
          <w:sz w:val="16"/>
          <w:szCs w:val="16"/>
        </w:rPr>
        <w:t>, Western Australia’s number of dwelling units:</w:t>
      </w:r>
    </w:p>
    <w:p w14:paraId="6B237190" w14:textId="5E69522D" w:rsidR="00233755" w:rsidRPr="00EA2D70" w:rsidRDefault="00233755" w:rsidP="006058E8">
      <w:pPr>
        <w:pStyle w:val="ListParagraph"/>
        <w:numPr>
          <w:ilvl w:val="0"/>
          <w:numId w:val="10"/>
        </w:numPr>
        <w:spacing w:before="40" w:after="40"/>
        <w:ind w:right="227" w:hanging="357"/>
        <w:contextualSpacing w:val="0"/>
        <w:jc w:val="both"/>
        <w:rPr>
          <w:sz w:val="16"/>
          <w:szCs w:val="16"/>
        </w:rPr>
      </w:pPr>
      <w:r w:rsidRPr="00EA2D70">
        <w:rPr>
          <w:sz w:val="16"/>
          <w:szCs w:val="16"/>
        </w:rPr>
        <w:t xml:space="preserve">commenced rose </w:t>
      </w:r>
      <w:r w:rsidR="003B43AB" w:rsidRPr="00EA2D70">
        <w:rPr>
          <w:sz w:val="16"/>
          <w:szCs w:val="16"/>
        </w:rPr>
        <w:t>3</w:t>
      </w:r>
      <w:r w:rsidR="00830557" w:rsidRPr="00EA2D70">
        <w:rPr>
          <w:sz w:val="16"/>
          <w:szCs w:val="16"/>
        </w:rPr>
        <w:t>8</w:t>
      </w:r>
      <w:r w:rsidRPr="00EA2D70">
        <w:rPr>
          <w:sz w:val="16"/>
          <w:szCs w:val="16"/>
        </w:rPr>
        <w:t xml:space="preserve">% to </w:t>
      </w:r>
      <w:r w:rsidR="00830557" w:rsidRPr="00EA2D70">
        <w:rPr>
          <w:sz w:val="16"/>
          <w:szCs w:val="16"/>
        </w:rPr>
        <w:t>6,</w:t>
      </w:r>
      <w:r w:rsidR="00CE0DEA" w:rsidRPr="00EA2D70">
        <w:rPr>
          <w:sz w:val="16"/>
          <w:szCs w:val="16"/>
        </w:rPr>
        <w:t>060</w:t>
      </w:r>
    </w:p>
    <w:p w14:paraId="49C88711" w14:textId="4E1937E4" w:rsidR="00233755" w:rsidRPr="00EA2D70" w:rsidRDefault="00233755" w:rsidP="006058E8">
      <w:pPr>
        <w:pStyle w:val="ListParagraph"/>
        <w:numPr>
          <w:ilvl w:val="0"/>
          <w:numId w:val="10"/>
        </w:numPr>
        <w:spacing w:before="40" w:after="40"/>
        <w:ind w:right="227" w:hanging="357"/>
        <w:contextualSpacing w:val="0"/>
        <w:jc w:val="both"/>
        <w:rPr>
          <w:sz w:val="16"/>
          <w:szCs w:val="16"/>
        </w:rPr>
      </w:pPr>
      <w:r w:rsidRPr="00EA2D70">
        <w:rPr>
          <w:sz w:val="16"/>
          <w:szCs w:val="16"/>
        </w:rPr>
        <w:t xml:space="preserve">completed rose </w:t>
      </w:r>
      <w:r w:rsidR="00CE0DEA" w:rsidRPr="00EA2D70">
        <w:rPr>
          <w:sz w:val="16"/>
          <w:szCs w:val="16"/>
        </w:rPr>
        <w:t>17</w:t>
      </w:r>
      <w:r w:rsidRPr="00EA2D70">
        <w:rPr>
          <w:sz w:val="16"/>
          <w:szCs w:val="16"/>
        </w:rPr>
        <w:t>% to 5,</w:t>
      </w:r>
      <w:r w:rsidR="00CE0DEA" w:rsidRPr="00EA2D70">
        <w:rPr>
          <w:sz w:val="16"/>
          <w:szCs w:val="16"/>
        </w:rPr>
        <w:t>359</w:t>
      </w:r>
    </w:p>
    <w:p w14:paraId="2CF2646E" w14:textId="54FB651A" w:rsidR="00233755" w:rsidRPr="00EA2D70" w:rsidRDefault="00233755" w:rsidP="006058E8">
      <w:pPr>
        <w:pStyle w:val="ListParagraph"/>
        <w:numPr>
          <w:ilvl w:val="0"/>
          <w:numId w:val="10"/>
        </w:numPr>
        <w:spacing w:before="40" w:after="40"/>
        <w:ind w:right="227" w:hanging="357"/>
        <w:contextualSpacing w:val="0"/>
        <w:jc w:val="both"/>
        <w:rPr>
          <w:sz w:val="16"/>
          <w:szCs w:val="16"/>
        </w:rPr>
      </w:pPr>
      <w:r w:rsidRPr="00EA2D70">
        <w:rPr>
          <w:sz w:val="16"/>
          <w:szCs w:val="16"/>
        </w:rPr>
        <w:t xml:space="preserve">under construction </w:t>
      </w:r>
      <w:r w:rsidR="00CE0DEA" w:rsidRPr="00EA2D70">
        <w:rPr>
          <w:sz w:val="16"/>
          <w:szCs w:val="16"/>
        </w:rPr>
        <w:t>rose</w:t>
      </w:r>
      <w:r w:rsidRPr="00EA2D70">
        <w:rPr>
          <w:sz w:val="16"/>
          <w:szCs w:val="16"/>
        </w:rPr>
        <w:t xml:space="preserve"> </w:t>
      </w:r>
      <w:r w:rsidR="00CE0DEA" w:rsidRPr="00EA2D70">
        <w:rPr>
          <w:sz w:val="16"/>
          <w:szCs w:val="16"/>
        </w:rPr>
        <w:t>0.</w:t>
      </w:r>
      <w:r w:rsidR="003B43AB" w:rsidRPr="00EA2D70">
        <w:rPr>
          <w:sz w:val="16"/>
          <w:szCs w:val="16"/>
        </w:rPr>
        <w:t>4</w:t>
      </w:r>
      <w:r w:rsidRPr="00EA2D70">
        <w:rPr>
          <w:sz w:val="16"/>
          <w:szCs w:val="16"/>
        </w:rPr>
        <w:t xml:space="preserve">% to </w:t>
      </w:r>
      <w:r w:rsidR="00CE0DEA" w:rsidRPr="00EA2D70">
        <w:rPr>
          <w:sz w:val="16"/>
          <w:szCs w:val="16"/>
        </w:rPr>
        <w:t>23</w:t>
      </w:r>
      <w:r w:rsidR="000C20D8" w:rsidRPr="00EA2D70">
        <w:rPr>
          <w:sz w:val="16"/>
          <w:szCs w:val="16"/>
        </w:rPr>
        <w:t>,063</w:t>
      </w:r>
      <w:r w:rsidRPr="00EA2D70">
        <w:rPr>
          <w:sz w:val="16"/>
          <w:szCs w:val="16"/>
        </w:rPr>
        <w:t>.</w:t>
      </w:r>
    </w:p>
    <w:p w14:paraId="6A038DD9" w14:textId="77777777" w:rsidR="00233755" w:rsidRPr="00A43032" w:rsidRDefault="00233755" w:rsidP="006058E8">
      <w:pPr>
        <w:pStyle w:val="ListParagraph"/>
        <w:numPr>
          <w:ilvl w:val="0"/>
          <w:numId w:val="10"/>
        </w:numPr>
        <w:spacing w:before="40" w:after="40"/>
        <w:ind w:hanging="357"/>
        <w:contextualSpacing w:val="0"/>
        <w:jc w:val="both"/>
        <w:rPr>
          <w:color w:val="00B050"/>
          <w:sz w:val="16"/>
          <w:szCs w:val="16"/>
        </w:rPr>
        <w:sectPr w:rsidR="00233755" w:rsidRPr="00A43032" w:rsidSect="00233755">
          <w:type w:val="continuous"/>
          <w:pgSz w:w="11907" w:h="16840" w:code="9"/>
          <w:pgMar w:top="1701" w:right="425" w:bottom="567" w:left="567" w:header="709" w:footer="709" w:gutter="0"/>
          <w:cols w:num="2" w:space="113"/>
          <w:docGrid w:linePitch="360"/>
        </w:sectPr>
      </w:pPr>
    </w:p>
    <w:p w14:paraId="2565BF63" w14:textId="77777777" w:rsidR="00233755" w:rsidRPr="00CF7CD6" w:rsidRDefault="00233755" w:rsidP="00233755">
      <w:pPr>
        <w:pStyle w:val="Heading4"/>
        <w:tabs>
          <w:tab w:val="left" w:pos="9586"/>
        </w:tabs>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House and rental price indexes</w:t>
      </w:r>
    </w:p>
    <w:p w14:paraId="4B6BEE9D" w14:textId="4E835A9F" w:rsidR="00233755" w:rsidRPr="007B1AE5" w:rsidRDefault="000E1BAB" w:rsidP="00233755">
      <w:r>
        <w:rPr>
          <w:noProof/>
        </w:rPr>
        <w:drawing>
          <wp:inline distT="0" distB="0" distL="0" distR="0" wp14:anchorId="5AE33702" wp14:editId="13AC1C53">
            <wp:extent cx="3471367" cy="2051050"/>
            <wp:effectExtent l="0" t="0" r="0" b="6350"/>
            <wp:docPr id="123395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74020" cy="2052618"/>
                    </a:xfrm>
                    <a:prstGeom prst="rect">
                      <a:avLst/>
                    </a:prstGeom>
                    <a:noFill/>
                    <a:ln>
                      <a:noFill/>
                    </a:ln>
                  </pic:spPr>
                </pic:pic>
              </a:graphicData>
            </a:graphic>
          </wp:inline>
        </w:drawing>
      </w:r>
    </w:p>
    <w:p w14:paraId="06ADD8FA" w14:textId="77777777" w:rsidR="00233755" w:rsidRPr="000D6EF5" w:rsidRDefault="00233755" w:rsidP="00233755">
      <w:pPr>
        <w:jc w:val="both"/>
        <w:rPr>
          <w:sz w:val="10"/>
          <w:szCs w:val="10"/>
        </w:rPr>
      </w:pPr>
      <w:r w:rsidRPr="000D6EF5">
        <w:rPr>
          <w:sz w:val="10"/>
        </w:rPr>
        <w:t xml:space="preserve">Note – </w:t>
      </w:r>
      <w:r w:rsidRPr="000D6EF5">
        <w:rPr>
          <w:sz w:val="10"/>
          <w:szCs w:val="10"/>
        </w:rPr>
        <w:t xml:space="preserve">Original series. Quarterly series. 2011-12 = 100.0. </w:t>
      </w:r>
    </w:p>
    <w:p w14:paraId="56699D6D" w14:textId="77777777" w:rsidR="00233755" w:rsidRPr="000D6EF5" w:rsidRDefault="00233755" w:rsidP="00233755">
      <w:pPr>
        <w:jc w:val="both"/>
        <w:rPr>
          <w:sz w:val="10"/>
          <w:szCs w:val="10"/>
        </w:rPr>
      </w:pPr>
      <w:r w:rsidRPr="000D6EF5">
        <w:rPr>
          <w:sz w:val="10"/>
          <w:szCs w:val="10"/>
        </w:rPr>
        <w:t>Source: Based on ABS data.</w:t>
      </w:r>
    </w:p>
    <w:p w14:paraId="2CC937B0" w14:textId="390BAC3D" w:rsidR="00233755" w:rsidRPr="00FC666D" w:rsidRDefault="00233755" w:rsidP="006058E8">
      <w:pPr>
        <w:pStyle w:val="ListParagraph"/>
        <w:numPr>
          <w:ilvl w:val="0"/>
          <w:numId w:val="9"/>
        </w:numPr>
        <w:spacing w:before="40" w:after="40"/>
        <w:ind w:left="357" w:right="227" w:hanging="357"/>
        <w:contextualSpacing w:val="0"/>
        <w:jc w:val="both"/>
        <w:rPr>
          <w:sz w:val="16"/>
          <w:szCs w:val="16"/>
        </w:rPr>
      </w:pPr>
      <w:r w:rsidRPr="00FC666D">
        <w:br w:type="column"/>
      </w:r>
      <w:r w:rsidRPr="001D5620">
        <w:rPr>
          <w:color w:val="000000" w:themeColor="text1"/>
          <w:sz w:val="16"/>
          <w:szCs w:val="16"/>
        </w:rPr>
        <w:t xml:space="preserve">The combination of </w:t>
      </w:r>
      <w:r w:rsidR="00D74556" w:rsidRPr="001D5620">
        <w:rPr>
          <w:color w:val="000000" w:themeColor="text1"/>
          <w:sz w:val="16"/>
          <w:szCs w:val="16"/>
        </w:rPr>
        <w:t>high</w:t>
      </w:r>
      <w:r w:rsidRPr="001D5620">
        <w:rPr>
          <w:color w:val="000000" w:themeColor="text1"/>
          <w:sz w:val="16"/>
          <w:szCs w:val="16"/>
        </w:rPr>
        <w:t xml:space="preserve"> demand </w:t>
      </w:r>
      <w:r w:rsidR="00D74556" w:rsidRPr="001D5620">
        <w:rPr>
          <w:color w:val="000000" w:themeColor="text1"/>
          <w:sz w:val="16"/>
          <w:szCs w:val="16"/>
        </w:rPr>
        <w:t xml:space="preserve">resulting </w:t>
      </w:r>
      <w:r w:rsidRPr="001D5620">
        <w:rPr>
          <w:color w:val="000000" w:themeColor="text1"/>
          <w:sz w:val="16"/>
          <w:szCs w:val="16"/>
        </w:rPr>
        <w:t>from population growth</w:t>
      </w:r>
      <w:r w:rsidR="003E654F" w:rsidRPr="001D5620">
        <w:rPr>
          <w:color w:val="000000" w:themeColor="text1"/>
          <w:sz w:val="16"/>
          <w:szCs w:val="16"/>
        </w:rPr>
        <w:t>,</w:t>
      </w:r>
      <w:r w:rsidRPr="001D5620">
        <w:rPr>
          <w:color w:val="000000" w:themeColor="text1"/>
          <w:sz w:val="16"/>
          <w:szCs w:val="16"/>
        </w:rPr>
        <w:t xml:space="preserve"> </w:t>
      </w:r>
      <w:r w:rsidR="003E654F" w:rsidRPr="001D5620">
        <w:rPr>
          <w:color w:val="000000" w:themeColor="text1"/>
          <w:sz w:val="16"/>
          <w:szCs w:val="16"/>
        </w:rPr>
        <w:t xml:space="preserve">increases in the cost of construction materials and </w:t>
      </w:r>
      <w:r w:rsidRPr="001D5620">
        <w:rPr>
          <w:color w:val="000000" w:themeColor="text1"/>
          <w:sz w:val="16"/>
          <w:szCs w:val="16"/>
        </w:rPr>
        <w:t xml:space="preserve">constraints in delivering new supply has resulted in </w:t>
      </w:r>
      <w:r w:rsidR="003E654F" w:rsidRPr="001D5620">
        <w:rPr>
          <w:color w:val="000000" w:themeColor="text1"/>
          <w:sz w:val="16"/>
          <w:szCs w:val="16"/>
        </w:rPr>
        <w:t xml:space="preserve">a sustained period of </w:t>
      </w:r>
      <w:r w:rsidRPr="001D5620">
        <w:rPr>
          <w:color w:val="000000" w:themeColor="text1"/>
          <w:sz w:val="16"/>
          <w:szCs w:val="16"/>
        </w:rPr>
        <w:t>increases in house and rental prices.</w:t>
      </w:r>
    </w:p>
    <w:p w14:paraId="3E6A33A7" w14:textId="590D1DFD" w:rsidR="00233755" w:rsidRPr="00EA2D70" w:rsidRDefault="00233755" w:rsidP="006058E8">
      <w:pPr>
        <w:pStyle w:val="ListParagraph"/>
        <w:numPr>
          <w:ilvl w:val="0"/>
          <w:numId w:val="9"/>
        </w:numPr>
        <w:spacing w:before="40" w:after="40"/>
        <w:ind w:left="357" w:right="227" w:hanging="357"/>
        <w:contextualSpacing w:val="0"/>
        <w:jc w:val="both"/>
        <w:rPr>
          <w:sz w:val="16"/>
          <w:szCs w:val="16"/>
        </w:rPr>
      </w:pPr>
      <w:r w:rsidRPr="00EA2D70">
        <w:rPr>
          <w:sz w:val="16"/>
          <w:szCs w:val="16"/>
        </w:rPr>
        <w:t xml:space="preserve">Prices for new dwellings purchased by owner-occupiers in Perth rose </w:t>
      </w:r>
      <w:r w:rsidR="00B23EDB" w:rsidRPr="00EA2D70">
        <w:rPr>
          <w:sz w:val="16"/>
          <w:szCs w:val="16"/>
        </w:rPr>
        <w:t>1.2</w:t>
      </w:r>
      <w:r w:rsidRPr="00EA2D70">
        <w:rPr>
          <w:sz w:val="16"/>
          <w:szCs w:val="16"/>
        </w:rPr>
        <w:t xml:space="preserve">% in the </w:t>
      </w:r>
      <w:r w:rsidR="00B23EDB" w:rsidRPr="00EA2D70">
        <w:rPr>
          <w:sz w:val="16"/>
          <w:szCs w:val="16"/>
        </w:rPr>
        <w:t>September</w:t>
      </w:r>
      <w:r w:rsidRPr="00EA2D70">
        <w:rPr>
          <w:sz w:val="16"/>
          <w:szCs w:val="16"/>
        </w:rPr>
        <w:t xml:space="preserve"> quarter 2025, to be </w:t>
      </w:r>
      <w:r w:rsidR="004B1FBE" w:rsidRPr="00EA2D70">
        <w:rPr>
          <w:sz w:val="16"/>
          <w:szCs w:val="16"/>
        </w:rPr>
        <w:t>2.8</w:t>
      </w:r>
      <w:r w:rsidRPr="00EA2D70">
        <w:rPr>
          <w:sz w:val="16"/>
          <w:szCs w:val="16"/>
        </w:rPr>
        <w:t xml:space="preserve">% higher than in the </w:t>
      </w:r>
      <w:r w:rsidR="004B1FBE" w:rsidRPr="00EA2D70">
        <w:rPr>
          <w:sz w:val="16"/>
          <w:szCs w:val="16"/>
        </w:rPr>
        <w:t>September</w:t>
      </w:r>
      <w:r w:rsidR="003E654F" w:rsidRPr="00EA2D70">
        <w:rPr>
          <w:sz w:val="16"/>
          <w:szCs w:val="16"/>
        </w:rPr>
        <w:t> </w:t>
      </w:r>
      <w:r w:rsidRPr="00EA2D70">
        <w:rPr>
          <w:sz w:val="16"/>
          <w:szCs w:val="16"/>
        </w:rPr>
        <w:t>quarter 2024.</w:t>
      </w:r>
    </w:p>
    <w:p w14:paraId="0D87B3C3" w14:textId="1492C694" w:rsidR="00233755" w:rsidRPr="00EA2D70" w:rsidRDefault="00233755" w:rsidP="006058E8">
      <w:pPr>
        <w:pStyle w:val="ListParagraph"/>
        <w:numPr>
          <w:ilvl w:val="0"/>
          <w:numId w:val="9"/>
        </w:numPr>
        <w:spacing w:before="40" w:after="40"/>
        <w:ind w:left="357" w:right="227" w:hanging="357"/>
        <w:contextualSpacing w:val="0"/>
        <w:jc w:val="both"/>
        <w:rPr>
          <w:sz w:val="16"/>
          <w:szCs w:val="16"/>
        </w:rPr>
      </w:pPr>
      <w:r w:rsidRPr="00EA2D70">
        <w:rPr>
          <w:sz w:val="16"/>
          <w:szCs w:val="16"/>
        </w:rPr>
        <w:t>Perth’s rents rose 1.</w:t>
      </w:r>
      <w:r w:rsidR="00FC666D" w:rsidRPr="00EA2D70">
        <w:rPr>
          <w:sz w:val="16"/>
          <w:szCs w:val="16"/>
        </w:rPr>
        <w:t>6</w:t>
      </w:r>
      <w:r w:rsidRPr="00EA2D70">
        <w:rPr>
          <w:sz w:val="16"/>
          <w:szCs w:val="16"/>
        </w:rPr>
        <w:t xml:space="preserve">% in the </w:t>
      </w:r>
      <w:r w:rsidR="000B02E4" w:rsidRPr="00EA2D70">
        <w:rPr>
          <w:sz w:val="16"/>
          <w:szCs w:val="16"/>
        </w:rPr>
        <w:t>September</w:t>
      </w:r>
      <w:r w:rsidRPr="00EA2D70">
        <w:rPr>
          <w:sz w:val="16"/>
          <w:szCs w:val="16"/>
        </w:rPr>
        <w:t xml:space="preserve"> quarter 2025, to be </w:t>
      </w:r>
      <w:r w:rsidR="000B02E4" w:rsidRPr="00EA2D70">
        <w:rPr>
          <w:sz w:val="16"/>
          <w:szCs w:val="16"/>
        </w:rPr>
        <w:t>6.4</w:t>
      </w:r>
      <w:r w:rsidRPr="00EA2D70">
        <w:rPr>
          <w:sz w:val="16"/>
          <w:szCs w:val="16"/>
        </w:rPr>
        <w:t xml:space="preserve">% higher than in the </w:t>
      </w:r>
      <w:r w:rsidR="000B02E4" w:rsidRPr="00EA2D70">
        <w:rPr>
          <w:sz w:val="16"/>
          <w:szCs w:val="16"/>
        </w:rPr>
        <w:t>September</w:t>
      </w:r>
      <w:r w:rsidRPr="00EA2D70">
        <w:rPr>
          <w:sz w:val="16"/>
          <w:szCs w:val="16"/>
        </w:rPr>
        <w:t xml:space="preserve"> quarter 2024.</w:t>
      </w:r>
    </w:p>
    <w:p w14:paraId="2A080872" w14:textId="77777777" w:rsidR="00233755" w:rsidRPr="00BE3CF1" w:rsidRDefault="00233755" w:rsidP="00233755">
      <w:pPr>
        <w:pStyle w:val="ListParagraph"/>
        <w:ind w:left="360"/>
        <w:rPr>
          <w:sz w:val="16"/>
          <w:szCs w:val="16"/>
        </w:rPr>
        <w:sectPr w:rsidR="00233755" w:rsidRPr="00BE3CF1" w:rsidSect="00233755">
          <w:type w:val="continuous"/>
          <w:pgSz w:w="11907" w:h="16840" w:code="9"/>
          <w:pgMar w:top="1701" w:right="425" w:bottom="567" w:left="567" w:header="709" w:footer="709" w:gutter="0"/>
          <w:cols w:num="2" w:space="113"/>
          <w:docGrid w:linePitch="360"/>
        </w:sectPr>
      </w:pPr>
    </w:p>
    <w:p w14:paraId="1138D7A2" w14:textId="3A3A0600"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Median price of established house transfers (unstratified):</w:t>
      </w:r>
      <w:r w:rsidR="00E22AA9">
        <w:rPr>
          <w:i w:val="0"/>
          <w:iCs w:val="0"/>
          <w:color w:val="00997A"/>
          <w:sz w:val="20"/>
          <w:szCs w:val="20"/>
        </w:rPr>
        <w:t xml:space="preserve"> June</w:t>
      </w:r>
      <w:r w:rsidRPr="00CF7CD6">
        <w:rPr>
          <w:i w:val="0"/>
          <w:iCs w:val="0"/>
          <w:color w:val="00997A"/>
          <w:sz w:val="20"/>
          <w:szCs w:val="20"/>
        </w:rPr>
        <w:t xml:space="preserve"> quarter 202</w:t>
      </w:r>
      <w:r w:rsidR="007578F9" w:rsidRPr="00CF7CD6">
        <w:rPr>
          <w:i w:val="0"/>
          <w:iCs w:val="0"/>
          <w:color w:val="00997A"/>
          <w:sz w:val="20"/>
          <w:szCs w:val="20"/>
        </w:rPr>
        <w:t>5</w:t>
      </w:r>
    </w:p>
    <w:p w14:paraId="4CB509A3" w14:textId="07880676" w:rsidR="00233755" w:rsidRPr="007B1AE5" w:rsidRDefault="00630DB8" w:rsidP="00233755">
      <w:pPr>
        <w:rPr>
          <w:rFonts w:eastAsiaTheme="majorEastAsia"/>
        </w:rPr>
      </w:pPr>
      <w:r>
        <w:rPr>
          <w:rFonts w:eastAsiaTheme="majorEastAsia"/>
          <w:noProof/>
        </w:rPr>
        <w:drawing>
          <wp:inline distT="0" distB="0" distL="0" distR="0" wp14:anchorId="5D9C530F" wp14:editId="74E29E6E">
            <wp:extent cx="3369923" cy="2073588"/>
            <wp:effectExtent l="0" t="0" r="2540" b="3175"/>
            <wp:docPr id="15827839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1103" cy="2080467"/>
                    </a:xfrm>
                    <a:prstGeom prst="rect">
                      <a:avLst/>
                    </a:prstGeom>
                    <a:noFill/>
                    <a:ln>
                      <a:noFill/>
                    </a:ln>
                  </pic:spPr>
                </pic:pic>
              </a:graphicData>
            </a:graphic>
          </wp:inline>
        </w:drawing>
      </w:r>
    </w:p>
    <w:p w14:paraId="583F9D5C"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w:t>
      </w:r>
    </w:p>
    <w:p w14:paraId="1B84C8E3" w14:textId="77777777" w:rsidR="00233755" w:rsidRPr="00AF759E" w:rsidRDefault="00233755" w:rsidP="00233755">
      <w:pPr>
        <w:jc w:val="both"/>
        <w:rPr>
          <w:sz w:val="10"/>
          <w:szCs w:val="10"/>
        </w:rPr>
      </w:pPr>
      <w:r w:rsidRPr="00AF759E">
        <w:rPr>
          <w:sz w:val="10"/>
          <w:szCs w:val="10"/>
        </w:rPr>
        <w:t>Source: Based on ABS data.</w:t>
      </w:r>
    </w:p>
    <w:p w14:paraId="501B669C" w14:textId="618A250C" w:rsidR="00233755" w:rsidRPr="00A91D46"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3301E4" w:rsidRPr="00834C00">
        <w:rPr>
          <w:sz w:val="16"/>
          <w:szCs w:val="16"/>
        </w:rPr>
        <w:t>House p</w:t>
      </w:r>
      <w:r w:rsidRPr="00834C00">
        <w:rPr>
          <w:sz w:val="16"/>
          <w:szCs w:val="16"/>
        </w:rPr>
        <w:t>rices in Perth increased significantly over the past year, although are still lower than most other Australian capital cities.</w:t>
      </w:r>
    </w:p>
    <w:p w14:paraId="463C46B6" w14:textId="3D4C9988" w:rsidR="00233755" w:rsidRPr="00E22AA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E22AA9">
        <w:rPr>
          <w:color w:val="000000" w:themeColor="text1"/>
          <w:sz w:val="16"/>
          <w:szCs w:val="16"/>
        </w:rPr>
        <w:t>Perth’s median established house price was $8</w:t>
      </w:r>
      <w:r w:rsidR="00834C00" w:rsidRPr="00E22AA9">
        <w:rPr>
          <w:color w:val="000000" w:themeColor="text1"/>
          <w:sz w:val="16"/>
          <w:szCs w:val="16"/>
        </w:rPr>
        <w:t>40</w:t>
      </w:r>
      <w:r w:rsidRPr="00E22AA9">
        <w:rPr>
          <w:color w:val="000000" w:themeColor="text1"/>
          <w:sz w:val="16"/>
          <w:szCs w:val="16"/>
        </w:rPr>
        <w:t xml:space="preserve">,000 in the </w:t>
      </w:r>
      <w:r w:rsidR="00834C00" w:rsidRPr="00E22AA9">
        <w:rPr>
          <w:color w:val="000000" w:themeColor="text1"/>
          <w:sz w:val="16"/>
          <w:szCs w:val="16"/>
        </w:rPr>
        <w:t>June</w:t>
      </w:r>
      <w:r w:rsidRPr="00E22AA9">
        <w:rPr>
          <w:color w:val="000000" w:themeColor="text1"/>
          <w:sz w:val="16"/>
          <w:szCs w:val="16"/>
        </w:rPr>
        <w:t xml:space="preserve"> quarter 202</w:t>
      </w:r>
      <w:r w:rsidR="008263A6" w:rsidRPr="00E22AA9">
        <w:rPr>
          <w:color w:val="000000" w:themeColor="text1"/>
          <w:sz w:val="16"/>
          <w:szCs w:val="16"/>
        </w:rPr>
        <w:t>5</w:t>
      </w:r>
      <w:r w:rsidRPr="00E22AA9">
        <w:rPr>
          <w:color w:val="000000" w:themeColor="text1"/>
          <w:sz w:val="16"/>
          <w:szCs w:val="16"/>
        </w:rPr>
        <w:t xml:space="preserve">, </w:t>
      </w:r>
      <w:r w:rsidR="00834C00" w:rsidRPr="00E22AA9">
        <w:rPr>
          <w:color w:val="000000" w:themeColor="text1"/>
          <w:sz w:val="16"/>
          <w:szCs w:val="16"/>
        </w:rPr>
        <w:t>2.4</w:t>
      </w:r>
      <w:r w:rsidRPr="00E22AA9">
        <w:rPr>
          <w:color w:val="000000" w:themeColor="text1"/>
          <w:sz w:val="16"/>
          <w:szCs w:val="16"/>
        </w:rPr>
        <w:t xml:space="preserve">% </w:t>
      </w:r>
      <w:r w:rsidR="00834C00" w:rsidRPr="00E22AA9">
        <w:rPr>
          <w:color w:val="000000" w:themeColor="text1"/>
          <w:sz w:val="16"/>
          <w:szCs w:val="16"/>
        </w:rPr>
        <w:t>higher</w:t>
      </w:r>
      <w:r w:rsidRPr="00E22AA9">
        <w:rPr>
          <w:color w:val="000000" w:themeColor="text1"/>
          <w:sz w:val="16"/>
          <w:szCs w:val="16"/>
        </w:rPr>
        <w:t xml:space="preserve"> than the previous quarter </w:t>
      </w:r>
      <w:r w:rsidR="00834C00" w:rsidRPr="00E22AA9">
        <w:rPr>
          <w:color w:val="000000" w:themeColor="text1"/>
          <w:sz w:val="16"/>
          <w:szCs w:val="16"/>
        </w:rPr>
        <w:t>and</w:t>
      </w:r>
      <w:r w:rsidRPr="00E22AA9">
        <w:rPr>
          <w:color w:val="000000" w:themeColor="text1"/>
          <w:sz w:val="16"/>
          <w:szCs w:val="16"/>
        </w:rPr>
        <w:t xml:space="preserve"> </w:t>
      </w:r>
      <w:r w:rsidR="008263A6" w:rsidRPr="00E22AA9">
        <w:rPr>
          <w:color w:val="000000" w:themeColor="text1"/>
          <w:sz w:val="16"/>
          <w:szCs w:val="16"/>
        </w:rPr>
        <w:t>1</w:t>
      </w:r>
      <w:r w:rsidR="00834C00" w:rsidRPr="00E22AA9">
        <w:rPr>
          <w:color w:val="000000" w:themeColor="text1"/>
          <w:sz w:val="16"/>
          <w:szCs w:val="16"/>
        </w:rPr>
        <w:t>0.5</w:t>
      </w:r>
      <w:r w:rsidRPr="00E22AA9">
        <w:rPr>
          <w:color w:val="000000" w:themeColor="text1"/>
          <w:sz w:val="16"/>
          <w:szCs w:val="16"/>
        </w:rPr>
        <w:t xml:space="preserve">% higher than the </w:t>
      </w:r>
      <w:r w:rsidR="00834C00" w:rsidRPr="00E22AA9">
        <w:rPr>
          <w:color w:val="000000" w:themeColor="text1"/>
          <w:sz w:val="16"/>
          <w:szCs w:val="16"/>
        </w:rPr>
        <w:t>June</w:t>
      </w:r>
      <w:r w:rsidRPr="00E22AA9">
        <w:rPr>
          <w:color w:val="000000" w:themeColor="text1"/>
          <w:sz w:val="16"/>
          <w:szCs w:val="16"/>
        </w:rPr>
        <w:t xml:space="preserve"> quarter 202</w:t>
      </w:r>
      <w:r w:rsidR="008263A6" w:rsidRPr="00E22AA9">
        <w:rPr>
          <w:color w:val="000000" w:themeColor="text1"/>
          <w:sz w:val="16"/>
          <w:szCs w:val="16"/>
        </w:rPr>
        <w:t>4</w:t>
      </w:r>
      <w:r w:rsidR="00AE3E60" w:rsidRPr="00E22AA9">
        <w:rPr>
          <w:color w:val="000000" w:themeColor="text1"/>
          <w:sz w:val="16"/>
          <w:szCs w:val="16"/>
        </w:rPr>
        <w:t>.</w:t>
      </w:r>
    </w:p>
    <w:p w14:paraId="11719E5E" w14:textId="5A5D5862" w:rsidR="00233755" w:rsidRPr="00E22AA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E22AA9">
        <w:rPr>
          <w:color w:val="000000" w:themeColor="text1"/>
          <w:sz w:val="16"/>
          <w:szCs w:val="16"/>
        </w:rPr>
        <w:t>Sydney’s median established house price remained the highest of all Australian capital cities.</w:t>
      </w:r>
    </w:p>
    <w:p w14:paraId="4ED5455A" w14:textId="505A5D93" w:rsidR="00233755" w:rsidRPr="00E22AA9"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E22AA9">
        <w:rPr>
          <w:color w:val="000000" w:themeColor="text1"/>
          <w:sz w:val="16"/>
          <w:szCs w:val="16"/>
        </w:rPr>
        <w:t xml:space="preserve">House prices in the rest of Western Australia also </w:t>
      </w:r>
      <w:r w:rsidR="003E654F" w:rsidRPr="00E22AA9">
        <w:rPr>
          <w:color w:val="000000" w:themeColor="text1"/>
          <w:sz w:val="16"/>
          <w:szCs w:val="16"/>
        </w:rPr>
        <w:t>grew</w:t>
      </w:r>
      <w:r w:rsidRPr="00E22AA9">
        <w:rPr>
          <w:color w:val="000000" w:themeColor="text1"/>
          <w:sz w:val="16"/>
          <w:szCs w:val="16"/>
        </w:rPr>
        <w:t xml:space="preserve"> significantly over the past year but similarly are lower than most of the other non</w:t>
      </w:r>
      <w:r w:rsidRPr="00E22AA9">
        <w:rPr>
          <w:color w:val="000000" w:themeColor="text1"/>
          <w:sz w:val="16"/>
          <w:szCs w:val="16"/>
        </w:rPr>
        <w:noBreakHyphen/>
        <w:t>capital city regions of Australia.</w:t>
      </w:r>
    </w:p>
    <w:p w14:paraId="66D2794A" w14:textId="5C0BEB68" w:rsidR="00233755" w:rsidRPr="00E22AA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E22AA9">
        <w:rPr>
          <w:color w:val="000000" w:themeColor="text1"/>
          <w:sz w:val="16"/>
          <w:szCs w:val="16"/>
        </w:rPr>
        <w:t>The median established house price for the rest of Western Australia (excluding Perth) was $5</w:t>
      </w:r>
      <w:r w:rsidR="00834C00" w:rsidRPr="00E22AA9">
        <w:rPr>
          <w:color w:val="000000" w:themeColor="text1"/>
          <w:sz w:val="16"/>
          <w:szCs w:val="16"/>
        </w:rPr>
        <w:t>49</w:t>
      </w:r>
      <w:r w:rsidRPr="00E22AA9">
        <w:rPr>
          <w:color w:val="000000" w:themeColor="text1"/>
          <w:sz w:val="16"/>
          <w:szCs w:val="16"/>
        </w:rPr>
        <w:t xml:space="preserve">,000 in the </w:t>
      </w:r>
      <w:r w:rsidR="00834C00" w:rsidRPr="00E22AA9">
        <w:rPr>
          <w:color w:val="000000" w:themeColor="text1"/>
          <w:sz w:val="16"/>
          <w:szCs w:val="16"/>
        </w:rPr>
        <w:t>June</w:t>
      </w:r>
      <w:r w:rsidRPr="00E22AA9">
        <w:rPr>
          <w:color w:val="000000" w:themeColor="text1"/>
          <w:sz w:val="16"/>
          <w:szCs w:val="16"/>
        </w:rPr>
        <w:t xml:space="preserve"> quarter 202</w:t>
      </w:r>
      <w:r w:rsidR="008263A6" w:rsidRPr="00E22AA9">
        <w:rPr>
          <w:color w:val="000000" w:themeColor="text1"/>
          <w:sz w:val="16"/>
          <w:szCs w:val="16"/>
        </w:rPr>
        <w:t>5</w:t>
      </w:r>
      <w:r w:rsidRPr="00E22AA9">
        <w:rPr>
          <w:color w:val="000000" w:themeColor="text1"/>
          <w:sz w:val="16"/>
          <w:szCs w:val="16"/>
        </w:rPr>
        <w:t xml:space="preserve">, </w:t>
      </w:r>
      <w:r w:rsidR="00834C00" w:rsidRPr="00E22AA9">
        <w:rPr>
          <w:color w:val="000000" w:themeColor="text1"/>
          <w:sz w:val="16"/>
          <w:szCs w:val="16"/>
        </w:rPr>
        <w:t>1.7</w:t>
      </w:r>
      <w:r w:rsidRPr="00E22AA9">
        <w:rPr>
          <w:color w:val="000000" w:themeColor="text1"/>
          <w:sz w:val="16"/>
          <w:szCs w:val="16"/>
        </w:rPr>
        <w:t xml:space="preserve">% higher than the previous quarter and </w:t>
      </w:r>
      <w:r w:rsidR="008263A6" w:rsidRPr="00E22AA9">
        <w:rPr>
          <w:color w:val="000000" w:themeColor="text1"/>
          <w:sz w:val="16"/>
          <w:szCs w:val="16"/>
        </w:rPr>
        <w:t>1</w:t>
      </w:r>
      <w:r w:rsidR="00834C00" w:rsidRPr="00E22AA9">
        <w:rPr>
          <w:color w:val="000000" w:themeColor="text1"/>
          <w:sz w:val="16"/>
          <w:szCs w:val="16"/>
        </w:rPr>
        <w:t>6.2</w:t>
      </w:r>
      <w:r w:rsidRPr="00E22AA9">
        <w:rPr>
          <w:color w:val="000000" w:themeColor="text1"/>
          <w:sz w:val="16"/>
          <w:szCs w:val="16"/>
        </w:rPr>
        <w:t xml:space="preserve">% higher than the </w:t>
      </w:r>
      <w:r w:rsidR="00834C00" w:rsidRPr="00E22AA9">
        <w:rPr>
          <w:color w:val="000000" w:themeColor="text1"/>
          <w:sz w:val="16"/>
          <w:szCs w:val="16"/>
        </w:rPr>
        <w:t>June</w:t>
      </w:r>
      <w:r w:rsidRPr="00E22AA9">
        <w:rPr>
          <w:color w:val="000000" w:themeColor="text1"/>
          <w:sz w:val="16"/>
          <w:szCs w:val="16"/>
        </w:rPr>
        <w:t xml:space="preserve"> quarter 202</w:t>
      </w:r>
      <w:r w:rsidR="008263A6" w:rsidRPr="00E22AA9">
        <w:rPr>
          <w:color w:val="000000" w:themeColor="text1"/>
          <w:sz w:val="16"/>
          <w:szCs w:val="16"/>
        </w:rPr>
        <w:t>4</w:t>
      </w:r>
      <w:r w:rsidRPr="00E22AA9">
        <w:rPr>
          <w:color w:val="000000" w:themeColor="text1"/>
          <w:sz w:val="16"/>
          <w:szCs w:val="16"/>
        </w:rPr>
        <w:t>.</w:t>
      </w:r>
    </w:p>
    <w:p w14:paraId="338405CB" w14:textId="6DCF2101" w:rsidR="00233755" w:rsidRPr="00A91D46" w:rsidRDefault="008714BB" w:rsidP="006058E8">
      <w:pPr>
        <w:pStyle w:val="ListParagraph"/>
        <w:numPr>
          <w:ilvl w:val="0"/>
          <w:numId w:val="9"/>
        </w:numPr>
        <w:spacing w:before="40" w:after="40"/>
        <w:ind w:left="357" w:right="227" w:hanging="357"/>
        <w:contextualSpacing w:val="0"/>
        <w:jc w:val="both"/>
        <w:rPr>
          <w:sz w:val="16"/>
          <w:szCs w:val="16"/>
        </w:rPr>
      </w:pPr>
      <w:r w:rsidRPr="00A91D46">
        <w:rPr>
          <w:sz w:val="16"/>
          <w:szCs w:val="16"/>
        </w:rPr>
        <w:t>The WA Government State Budget 2025</w:t>
      </w:r>
      <w:r w:rsidRPr="00A91D46">
        <w:rPr>
          <w:sz w:val="16"/>
          <w:szCs w:val="16"/>
        </w:rPr>
        <w:noBreakHyphen/>
        <w:t xml:space="preserve">26 </w:t>
      </w:r>
      <w:r w:rsidR="00233755" w:rsidRPr="00A91D46">
        <w:rPr>
          <w:sz w:val="16"/>
          <w:szCs w:val="16"/>
        </w:rPr>
        <w:t xml:space="preserve">forecasts Western Australia’s median house price will rise </w:t>
      </w:r>
      <w:r w:rsidRPr="00A91D46">
        <w:rPr>
          <w:sz w:val="16"/>
          <w:szCs w:val="16"/>
        </w:rPr>
        <w:t>4.3</w:t>
      </w:r>
      <w:r w:rsidR="00233755" w:rsidRPr="00A91D46">
        <w:rPr>
          <w:sz w:val="16"/>
          <w:szCs w:val="16"/>
        </w:rPr>
        <w:t>% in 2025</w:t>
      </w:r>
      <w:r w:rsidR="00233755" w:rsidRPr="00A91D46">
        <w:rPr>
          <w:sz w:val="16"/>
          <w:szCs w:val="16"/>
        </w:rPr>
        <w:noBreakHyphen/>
        <w:t>26.</w:t>
      </w:r>
    </w:p>
    <w:p w14:paraId="6ADF0486" w14:textId="77777777" w:rsidR="00233755" w:rsidRPr="00422FBC" w:rsidRDefault="00233755" w:rsidP="00233755">
      <w:pPr>
        <w:rPr>
          <w:rFonts w:eastAsiaTheme="majorEastAsia"/>
          <w:color w:val="FF0000"/>
        </w:rPr>
        <w:sectPr w:rsidR="00233755" w:rsidRPr="00422FBC" w:rsidSect="00233755">
          <w:type w:val="continuous"/>
          <w:pgSz w:w="11907" w:h="16840" w:code="9"/>
          <w:pgMar w:top="1701" w:right="425" w:bottom="567" w:left="567" w:header="709" w:footer="709" w:gutter="0"/>
          <w:cols w:num="2" w:space="113"/>
          <w:docGrid w:linePitch="360"/>
        </w:sectPr>
      </w:pPr>
    </w:p>
    <w:p w14:paraId="08BD8956"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6" w:name="_Construction"/>
      <w:bookmarkEnd w:id="26"/>
      <w:r w:rsidRPr="008F7AA0">
        <w:rPr>
          <w:bCs/>
          <w:color w:val="004C3D"/>
          <w:sz w:val="24"/>
          <w:szCs w:val="24"/>
        </w:rPr>
        <w:lastRenderedPageBreak/>
        <w:t>Construction</w:t>
      </w:r>
    </w:p>
    <w:p w14:paraId="6A4A571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0FB3B89"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Private new capital expenditure</w:t>
      </w:r>
    </w:p>
    <w:p w14:paraId="0127C320" w14:textId="2BF46BC2" w:rsidR="00233755" w:rsidRPr="007B1AE5" w:rsidRDefault="00B30739" w:rsidP="00233755">
      <w:r>
        <w:rPr>
          <w:noProof/>
        </w:rPr>
        <w:drawing>
          <wp:inline distT="0" distB="0" distL="0" distR="0" wp14:anchorId="20E3F45A" wp14:editId="2A3EF0A4">
            <wp:extent cx="3359649" cy="1987811"/>
            <wp:effectExtent l="0" t="0" r="0" b="0"/>
            <wp:docPr id="13468546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77417" cy="1998324"/>
                    </a:xfrm>
                    <a:prstGeom prst="rect">
                      <a:avLst/>
                    </a:prstGeom>
                    <a:noFill/>
                    <a:ln>
                      <a:noFill/>
                    </a:ln>
                  </pic:spPr>
                </pic:pic>
              </a:graphicData>
            </a:graphic>
          </wp:inline>
        </w:drawing>
      </w:r>
    </w:p>
    <w:p w14:paraId="6D75599F"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 xml:space="preserve"> 4-quarter rolling sum. </w:t>
      </w:r>
      <w:r w:rsidRPr="00AF759E">
        <w:rPr>
          <w:sz w:val="10"/>
          <w:szCs w:val="10"/>
        </w:rPr>
        <w:t>(a) All industries other than mining; agriculture, forestry and fishing; public administration and safety; and superannuation funds.</w:t>
      </w:r>
    </w:p>
    <w:p w14:paraId="49FC0F0A" w14:textId="77777777" w:rsidR="00233755" w:rsidRPr="00AF759E" w:rsidRDefault="00233755" w:rsidP="00233755">
      <w:pPr>
        <w:jc w:val="both"/>
        <w:rPr>
          <w:sz w:val="10"/>
          <w:szCs w:val="10"/>
        </w:rPr>
      </w:pPr>
      <w:r w:rsidRPr="00AF759E">
        <w:rPr>
          <w:sz w:val="10"/>
          <w:szCs w:val="10"/>
        </w:rPr>
        <w:t>Source: Based on ABS data.</w:t>
      </w:r>
    </w:p>
    <w:p w14:paraId="65D9D5C3" w14:textId="25A48A87" w:rsidR="00233755" w:rsidRPr="00AF312D"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096374" w:rsidRPr="00AF312D">
        <w:rPr>
          <w:color w:val="000000" w:themeColor="text1"/>
          <w:sz w:val="16"/>
          <w:szCs w:val="16"/>
        </w:rPr>
        <w:t>The value of p</w:t>
      </w:r>
      <w:r w:rsidRPr="00AF312D">
        <w:rPr>
          <w:color w:val="000000" w:themeColor="text1"/>
          <w:sz w:val="16"/>
          <w:szCs w:val="16"/>
        </w:rPr>
        <w:t>rivate new capital expenditure in Western Australia increased over the past year in both mining and non</w:t>
      </w:r>
      <w:r w:rsidRPr="00AF312D">
        <w:rPr>
          <w:color w:val="000000" w:themeColor="text1"/>
          <w:sz w:val="16"/>
          <w:szCs w:val="16"/>
        </w:rPr>
        <w:noBreakHyphen/>
        <w:t xml:space="preserve">mining industries. In the year to the </w:t>
      </w:r>
      <w:r w:rsidR="00EB713B" w:rsidRPr="00AF312D">
        <w:rPr>
          <w:color w:val="000000" w:themeColor="text1"/>
          <w:sz w:val="16"/>
          <w:szCs w:val="16"/>
        </w:rPr>
        <w:t>June</w:t>
      </w:r>
      <w:r w:rsidRPr="00AF312D">
        <w:rPr>
          <w:color w:val="000000" w:themeColor="text1"/>
          <w:sz w:val="16"/>
          <w:szCs w:val="16"/>
        </w:rPr>
        <w:t xml:space="preserve"> quarter 2025, the value of Western Australia’s new capital expenditure in the:</w:t>
      </w:r>
    </w:p>
    <w:p w14:paraId="70EA7F97" w14:textId="5C978100" w:rsidR="00233755" w:rsidRPr="00AF312D"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AF312D">
        <w:rPr>
          <w:color w:val="000000" w:themeColor="text1"/>
          <w:sz w:val="16"/>
          <w:szCs w:val="16"/>
        </w:rPr>
        <w:t>mining industry rose 2.</w:t>
      </w:r>
      <w:r w:rsidR="00EB713B" w:rsidRPr="00AF312D">
        <w:rPr>
          <w:color w:val="000000" w:themeColor="text1"/>
          <w:sz w:val="16"/>
          <w:szCs w:val="16"/>
        </w:rPr>
        <w:t>4</w:t>
      </w:r>
      <w:r w:rsidRPr="00AF312D">
        <w:rPr>
          <w:color w:val="000000" w:themeColor="text1"/>
          <w:sz w:val="16"/>
          <w:szCs w:val="16"/>
        </w:rPr>
        <w:t>% to $</w:t>
      </w:r>
      <w:r w:rsidR="00EB713B" w:rsidRPr="00AF312D">
        <w:rPr>
          <w:color w:val="000000" w:themeColor="text1"/>
          <w:sz w:val="16"/>
          <w:szCs w:val="16"/>
        </w:rPr>
        <w:t>33.0</w:t>
      </w:r>
      <w:r w:rsidRPr="00AF312D">
        <w:rPr>
          <w:color w:val="000000" w:themeColor="text1"/>
          <w:sz w:val="16"/>
          <w:szCs w:val="16"/>
        </w:rPr>
        <w:t> billion</w:t>
      </w:r>
    </w:p>
    <w:p w14:paraId="6F2DB751" w14:textId="241F5DB1" w:rsidR="00233755" w:rsidRPr="00AF312D"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AF312D">
        <w:rPr>
          <w:color w:val="000000" w:themeColor="text1"/>
          <w:sz w:val="16"/>
          <w:szCs w:val="16"/>
        </w:rPr>
        <w:t xml:space="preserve">non-mining industry rose </w:t>
      </w:r>
      <w:r w:rsidR="00EB713B" w:rsidRPr="00AF312D">
        <w:rPr>
          <w:color w:val="000000" w:themeColor="text1"/>
          <w:sz w:val="16"/>
          <w:szCs w:val="16"/>
        </w:rPr>
        <w:t>6</w:t>
      </w:r>
      <w:r w:rsidRPr="00AF312D">
        <w:rPr>
          <w:color w:val="000000" w:themeColor="text1"/>
          <w:sz w:val="16"/>
          <w:szCs w:val="16"/>
        </w:rPr>
        <w:t>.2% to $13.</w:t>
      </w:r>
      <w:r w:rsidR="00EB713B" w:rsidRPr="00AF312D">
        <w:rPr>
          <w:color w:val="000000" w:themeColor="text1"/>
          <w:sz w:val="16"/>
          <w:szCs w:val="16"/>
        </w:rPr>
        <w:t xml:space="preserve">6 </w:t>
      </w:r>
      <w:r w:rsidRPr="00AF312D">
        <w:rPr>
          <w:color w:val="000000" w:themeColor="text1"/>
          <w:sz w:val="16"/>
          <w:szCs w:val="16"/>
        </w:rPr>
        <w:t>billion.</w:t>
      </w:r>
    </w:p>
    <w:p w14:paraId="47DE9B2E" w14:textId="54B0D3AA" w:rsidR="00233755" w:rsidRPr="00AF312D"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AF312D">
        <w:rPr>
          <w:color w:val="000000" w:themeColor="text1"/>
          <w:sz w:val="16"/>
          <w:szCs w:val="16"/>
        </w:rPr>
        <w:t>Western Australia accounted for 24.</w:t>
      </w:r>
      <w:r w:rsidR="00EB713B" w:rsidRPr="00AF312D">
        <w:rPr>
          <w:color w:val="000000" w:themeColor="text1"/>
          <w:sz w:val="16"/>
          <w:szCs w:val="16"/>
        </w:rPr>
        <w:t>7</w:t>
      </w:r>
      <w:r w:rsidRPr="00AF312D">
        <w:rPr>
          <w:color w:val="000000" w:themeColor="text1"/>
          <w:sz w:val="16"/>
          <w:szCs w:val="16"/>
        </w:rPr>
        <w:t xml:space="preserve">% of the value of Australia’s private new capital expenditure in the four quarters to the </w:t>
      </w:r>
      <w:r w:rsidR="00EB713B" w:rsidRPr="00AF312D">
        <w:rPr>
          <w:color w:val="000000" w:themeColor="text1"/>
          <w:sz w:val="16"/>
          <w:szCs w:val="16"/>
        </w:rPr>
        <w:t>June</w:t>
      </w:r>
      <w:r w:rsidRPr="00AF312D">
        <w:rPr>
          <w:color w:val="000000" w:themeColor="text1"/>
          <w:sz w:val="16"/>
          <w:szCs w:val="16"/>
        </w:rPr>
        <w:t xml:space="preserve"> quarter 2025, including </w:t>
      </w:r>
      <w:r w:rsidR="00EB713B" w:rsidRPr="00AF312D">
        <w:rPr>
          <w:color w:val="000000" w:themeColor="text1"/>
          <w:sz w:val="16"/>
          <w:szCs w:val="16"/>
        </w:rPr>
        <w:t>62.0</w:t>
      </w:r>
      <w:r w:rsidRPr="00AF312D">
        <w:rPr>
          <w:color w:val="000000" w:themeColor="text1"/>
          <w:sz w:val="16"/>
          <w:szCs w:val="16"/>
        </w:rPr>
        <w:t xml:space="preserve">% of Australia’s mining industry new capital expenditure and </w:t>
      </w:r>
      <w:r w:rsidR="00EB713B" w:rsidRPr="00AF312D">
        <w:rPr>
          <w:color w:val="000000" w:themeColor="text1"/>
          <w:sz w:val="16"/>
          <w:szCs w:val="16"/>
        </w:rPr>
        <w:t>10.0</w:t>
      </w:r>
      <w:r w:rsidRPr="00AF312D">
        <w:rPr>
          <w:color w:val="000000" w:themeColor="text1"/>
          <w:sz w:val="16"/>
          <w:szCs w:val="16"/>
        </w:rPr>
        <w:t>% of Australia’s non</w:t>
      </w:r>
      <w:r w:rsidRPr="00AF312D">
        <w:rPr>
          <w:color w:val="000000" w:themeColor="text1"/>
          <w:sz w:val="16"/>
          <w:szCs w:val="16"/>
        </w:rPr>
        <w:noBreakHyphen/>
        <w:t>mining industries new capital expenditure.</w:t>
      </w:r>
    </w:p>
    <w:p w14:paraId="76A9497B" w14:textId="3E5886EF" w:rsidR="001F12FE" w:rsidRPr="00AF312D" w:rsidRDefault="00176F76" w:rsidP="006058E8">
      <w:pPr>
        <w:pStyle w:val="ListParagraph"/>
        <w:numPr>
          <w:ilvl w:val="0"/>
          <w:numId w:val="9"/>
        </w:numPr>
        <w:spacing w:before="40" w:after="40"/>
        <w:ind w:right="227" w:hanging="357"/>
        <w:contextualSpacing w:val="0"/>
        <w:jc w:val="both"/>
        <w:rPr>
          <w:color w:val="000000" w:themeColor="text1"/>
          <w:sz w:val="16"/>
          <w:szCs w:val="16"/>
        </w:rPr>
      </w:pPr>
      <w:r w:rsidRPr="00AF312D">
        <w:rPr>
          <w:color w:val="000000" w:themeColor="text1"/>
          <w:sz w:val="16"/>
          <w:szCs w:val="16"/>
        </w:rPr>
        <w:t xml:space="preserve">In real terms, Western Australia’s </w:t>
      </w:r>
      <w:r w:rsidR="001F12FE" w:rsidRPr="00AF312D">
        <w:rPr>
          <w:color w:val="000000" w:themeColor="text1"/>
          <w:sz w:val="16"/>
          <w:szCs w:val="16"/>
        </w:rPr>
        <w:t xml:space="preserve">private new capital expenditure </w:t>
      </w:r>
      <w:r w:rsidRPr="00AF312D">
        <w:rPr>
          <w:color w:val="000000" w:themeColor="text1"/>
          <w:sz w:val="16"/>
          <w:szCs w:val="16"/>
        </w:rPr>
        <w:t>increased</w:t>
      </w:r>
      <w:r w:rsidR="001F12FE" w:rsidRPr="00AF312D">
        <w:rPr>
          <w:color w:val="000000" w:themeColor="text1"/>
          <w:sz w:val="16"/>
          <w:szCs w:val="16"/>
        </w:rPr>
        <w:t xml:space="preserve"> 0.</w:t>
      </w:r>
      <w:r w:rsidRPr="00AF312D">
        <w:rPr>
          <w:color w:val="000000" w:themeColor="text1"/>
          <w:sz w:val="16"/>
          <w:szCs w:val="16"/>
        </w:rPr>
        <w:t>4</w:t>
      </w:r>
      <w:r w:rsidR="001F12FE" w:rsidRPr="00AF312D">
        <w:rPr>
          <w:color w:val="000000" w:themeColor="text1"/>
          <w:sz w:val="16"/>
          <w:szCs w:val="16"/>
        </w:rPr>
        <w:t xml:space="preserve">% in the </w:t>
      </w:r>
      <w:r w:rsidRPr="00AF312D">
        <w:rPr>
          <w:color w:val="000000" w:themeColor="text1"/>
          <w:sz w:val="16"/>
          <w:szCs w:val="16"/>
        </w:rPr>
        <w:t xml:space="preserve">year to the </w:t>
      </w:r>
      <w:r w:rsidR="001F12FE" w:rsidRPr="00AF312D">
        <w:rPr>
          <w:color w:val="000000" w:themeColor="text1"/>
          <w:sz w:val="16"/>
          <w:szCs w:val="16"/>
        </w:rPr>
        <w:t>June quarter 2025.</w:t>
      </w:r>
    </w:p>
    <w:p w14:paraId="41F41E2F" w14:textId="1FF7585C" w:rsidR="00233755" w:rsidRPr="00600223" w:rsidRDefault="00233755" w:rsidP="006058E8">
      <w:pPr>
        <w:pStyle w:val="ListParagraph"/>
        <w:numPr>
          <w:ilvl w:val="0"/>
          <w:numId w:val="9"/>
        </w:numPr>
        <w:spacing w:before="40" w:after="40"/>
        <w:ind w:right="227" w:hanging="357"/>
        <w:contextualSpacing w:val="0"/>
        <w:jc w:val="both"/>
        <w:rPr>
          <w:color w:val="000000" w:themeColor="text1"/>
          <w:sz w:val="16"/>
          <w:szCs w:val="16"/>
        </w:rPr>
      </w:pPr>
      <w:bookmarkStart w:id="27" w:name="_Hlk199497375"/>
      <w:r w:rsidRPr="00AF312D">
        <w:rPr>
          <w:color w:val="000000" w:themeColor="text1"/>
          <w:sz w:val="16"/>
          <w:szCs w:val="16"/>
        </w:rPr>
        <w:t xml:space="preserve">The ABS survey of expected expenditure suggests </w:t>
      </w:r>
      <w:r w:rsidR="00176F76" w:rsidRPr="00AF312D">
        <w:rPr>
          <w:color w:val="000000" w:themeColor="text1"/>
          <w:sz w:val="16"/>
          <w:szCs w:val="16"/>
        </w:rPr>
        <w:t xml:space="preserve">the value of </w:t>
      </w:r>
      <w:r w:rsidRPr="00AF312D">
        <w:rPr>
          <w:color w:val="000000" w:themeColor="text1"/>
          <w:sz w:val="16"/>
          <w:szCs w:val="16"/>
        </w:rPr>
        <w:t xml:space="preserve">private new capital expenditure in Western Australia </w:t>
      </w:r>
      <w:bookmarkEnd w:id="27"/>
      <w:r w:rsidRPr="00AF312D">
        <w:rPr>
          <w:color w:val="000000" w:themeColor="text1"/>
          <w:sz w:val="16"/>
          <w:szCs w:val="16"/>
        </w:rPr>
        <w:t xml:space="preserve">will fall </w:t>
      </w:r>
      <w:r w:rsidR="001F4689" w:rsidRPr="00AF312D">
        <w:rPr>
          <w:color w:val="000000" w:themeColor="text1"/>
          <w:sz w:val="16"/>
          <w:szCs w:val="16"/>
        </w:rPr>
        <w:t>20.3</w:t>
      </w:r>
      <w:r w:rsidRPr="00AF312D">
        <w:rPr>
          <w:color w:val="000000" w:themeColor="text1"/>
          <w:sz w:val="16"/>
          <w:szCs w:val="16"/>
        </w:rPr>
        <w:t xml:space="preserve">% to </w:t>
      </w:r>
      <w:r w:rsidRPr="00600223">
        <w:rPr>
          <w:color w:val="000000" w:themeColor="text1"/>
          <w:sz w:val="16"/>
          <w:szCs w:val="16"/>
        </w:rPr>
        <w:t>$37.1 billion in 2025-26, with expenditure in the:</w:t>
      </w:r>
    </w:p>
    <w:p w14:paraId="4D36CF2F" w14:textId="0974A371" w:rsidR="00233755" w:rsidRPr="00600223"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600223">
        <w:rPr>
          <w:color w:val="000000" w:themeColor="text1"/>
          <w:sz w:val="16"/>
          <w:szCs w:val="16"/>
        </w:rPr>
        <w:t xml:space="preserve">mining industry expected to fall </w:t>
      </w:r>
      <w:r w:rsidR="001F4689" w:rsidRPr="00600223">
        <w:rPr>
          <w:color w:val="000000" w:themeColor="text1"/>
          <w:sz w:val="16"/>
          <w:szCs w:val="16"/>
        </w:rPr>
        <w:t>19.4</w:t>
      </w:r>
      <w:r w:rsidRPr="00600223">
        <w:rPr>
          <w:color w:val="000000" w:themeColor="text1"/>
          <w:sz w:val="16"/>
          <w:szCs w:val="16"/>
        </w:rPr>
        <w:t>% to $26.6 billion</w:t>
      </w:r>
    </w:p>
    <w:p w14:paraId="4AB71D4F" w14:textId="0BD73277" w:rsidR="00233755" w:rsidRPr="00EB713B"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600223">
        <w:rPr>
          <w:color w:val="000000" w:themeColor="text1"/>
          <w:sz w:val="16"/>
          <w:szCs w:val="16"/>
        </w:rPr>
        <w:t>non</w:t>
      </w:r>
      <w:r w:rsidRPr="00600223">
        <w:rPr>
          <w:color w:val="000000" w:themeColor="text1"/>
          <w:sz w:val="16"/>
          <w:szCs w:val="16"/>
        </w:rPr>
        <w:noBreakHyphen/>
        <w:t xml:space="preserve">mining industry expected to fall </w:t>
      </w:r>
      <w:r w:rsidR="001F4689" w:rsidRPr="00600223">
        <w:rPr>
          <w:color w:val="000000" w:themeColor="text1"/>
          <w:sz w:val="16"/>
          <w:szCs w:val="16"/>
        </w:rPr>
        <w:t>22.5</w:t>
      </w:r>
      <w:r w:rsidRPr="00600223">
        <w:rPr>
          <w:color w:val="000000" w:themeColor="text1"/>
          <w:sz w:val="16"/>
          <w:szCs w:val="16"/>
        </w:rPr>
        <w:t>% to $10.6 billion</w:t>
      </w:r>
      <w:r w:rsidRPr="001F4689">
        <w:rPr>
          <w:color w:val="FF0000"/>
          <w:sz w:val="16"/>
          <w:szCs w:val="16"/>
        </w:rPr>
        <w:t>.</w:t>
      </w:r>
    </w:p>
    <w:p w14:paraId="6DEC345E" w14:textId="77777777" w:rsidR="00233755" w:rsidRPr="00390202" w:rsidRDefault="00233755" w:rsidP="006058E8">
      <w:pPr>
        <w:pStyle w:val="ListParagraph"/>
        <w:numPr>
          <w:ilvl w:val="0"/>
          <w:numId w:val="9"/>
        </w:numPr>
        <w:jc w:val="both"/>
        <w:rPr>
          <w:sz w:val="16"/>
          <w:szCs w:val="16"/>
        </w:rPr>
        <w:sectPr w:rsidR="00233755" w:rsidRPr="00390202" w:rsidSect="00233755">
          <w:type w:val="continuous"/>
          <w:pgSz w:w="11907" w:h="16840" w:code="9"/>
          <w:pgMar w:top="1701" w:right="425" w:bottom="567" w:left="567" w:header="709" w:footer="709" w:gutter="0"/>
          <w:cols w:num="2" w:space="113"/>
          <w:docGrid w:linePitch="360"/>
        </w:sectPr>
      </w:pPr>
    </w:p>
    <w:p w14:paraId="19A1DDBB" w14:textId="774D02B1" w:rsidR="00233755" w:rsidRPr="00CF7CD6" w:rsidRDefault="00440DF2"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Engineering construction activity</w:t>
      </w:r>
    </w:p>
    <w:p w14:paraId="6B7211D0" w14:textId="36AE255A" w:rsidR="00176F76" w:rsidRPr="007B1AE5" w:rsidRDefault="006E6AF6" w:rsidP="00176F76">
      <w:r>
        <w:rPr>
          <w:noProof/>
        </w:rPr>
        <w:drawing>
          <wp:inline distT="0" distB="0" distL="0" distR="0" wp14:anchorId="54A479BD" wp14:editId="4CFB19B7">
            <wp:extent cx="3452116" cy="2290980"/>
            <wp:effectExtent l="0" t="0" r="0" b="0"/>
            <wp:docPr id="12400256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64255" cy="2299036"/>
                    </a:xfrm>
                    <a:prstGeom prst="rect">
                      <a:avLst/>
                    </a:prstGeom>
                    <a:noFill/>
                    <a:ln>
                      <a:noFill/>
                    </a:ln>
                  </pic:spPr>
                </pic:pic>
              </a:graphicData>
            </a:graphic>
          </wp:inline>
        </w:drawing>
      </w:r>
    </w:p>
    <w:p w14:paraId="09ED6D2E" w14:textId="3A18C624" w:rsidR="00233755" w:rsidRPr="00DC1233" w:rsidRDefault="00233755" w:rsidP="00233755">
      <w:pPr>
        <w:jc w:val="both"/>
        <w:rPr>
          <w:color w:val="000000" w:themeColor="text1"/>
          <w:sz w:val="10"/>
          <w:szCs w:val="10"/>
        </w:rPr>
      </w:pPr>
      <w:r w:rsidRPr="00DC1233">
        <w:rPr>
          <w:color w:val="000000" w:themeColor="text1"/>
          <w:sz w:val="10"/>
        </w:rPr>
        <w:t xml:space="preserve">Note – </w:t>
      </w:r>
      <w:r w:rsidRPr="00DC1233">
        <w:rPr>
          <w:color w:val="000000" w:themeColor="text1"/>
          <w:sz w:val="10"/>
          <w:szCs w:val="10"/>
        </w:rPr>
        <w:t xml:space="preserve">Current prices. </w:t>
      </w:r>
      <w:r w:rsidR="00AA4406" w:rsidRPr="00DC1233">
        <w:rPr>
          <w:color w:val="000000" w:themeColor="text1"/>
          <w:sz w:val="10"/>
          <w:szCs w:val="10"/>
        </w:rPr>
        <w:t>Original</w:t>
      </w:r>
      <w:r w:rsidRPr="00DC1233">
        <w:rPr>
          <w:color w:val="000000" w:themeColor="text1"/>
          <w:sz w:val="10"/>
          <w:szCs w:val="10"/>
        </w:rPr>
        <w:t xml:space="preserve"> series. 4-quarter rolling sum.</w:t>
      </w:r>
      <w:r w:rsidRPr="00DC1233" w:rsidDel="00FB05CF">
        <w:rPr>
          <w:color w:val="000000" w:themeColor="text1"/>
          <w:sz w:val="10"/>
          <w:szCs w:val="10"/>
        </w:rPr>
        <w:t xml:space="preserve"> </w:t>
      </w:r>
      <w:r w:rsidRPr="00DC1233">
        <w:rPr>
          <w:color w:val="000000" w:themeColor="text1"/>
          <w:sz w:val="10"/>
          <w:szCs w:val="10"/>
        </w:rPr>
        <w:t>(a)</w:t>
      </w:r>
      <w:r w:rsidR="00096374" w:rsidRPr="00DC1233">
        <w:rPr>
          <w:color w:val="000000" w:themeColor="text1"/>
          <w:sz w:val="10"/>
          <w:szCs w:val="10"/>
        </w:rPr>
        <w:t xml:space="preserve"> Oil, gas, coal, bauxite, alumina and other mineral production, storage and distribution facilities; refineries; pumping stations; construction of mines; drilling wells; chemical plants; blast furnaces; steel mills; other industrial processing plants; and ovens.</w:t>
      </w:r>
    </w:p>
    <w:p w14:paraId="74822BCA" w14:textId="77777777" w:rsidR="00233755" w:rsidRPr="00DC1233" w:rsidRDefault="00233755" w:rsidP="00233755">
      <w:pPr>
        <w:jc w:val="both"/>
        <w:rPr>
          <w:color w:val="000000" w:themeColor="text1"/>
          <w:sz w:val="10"/>
          <w:szCs w:val="10"/>
        </w:rPr>
      </w:pPr>
      <w:r w:rsidRPr="00DC1233">
        <w:rPr>
          <w:color w:val="000000" w:themeColor="text1"/>
          <w:sz w:val="10"/>
          <w:szCs w:val="10"/>
        </w:rPr>
        <w:t>Source: Based on ABS data.</w:t>
      </w:r>
    </w:p>
    <w:p w14:paraId="67A34E13" w14:textId="059701BD" w:rsidR="004047BB" w:rsidRPr="00DC1233"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DC1233">
        <w:rPr>
          <w:color w:val="000000" w:themeColor="text1"/>
          <w:sz w:val="16"/>
          <w:szCs w:val="16"/>
        </w:rPr>
        <w:t xml:space="preserve">The value of </w:t>
      </w:r>
      <w:r w:rsidR="0048427B" w:rsidRPr="00DC1233">
        <w:rPr>
          <w:color w:val="000000" w:themeColor="text1"/>
          <w:sz w:val="16"/>
          <w:szCs w:val="16"/>
        </w:rPr>
        <w:t xml:space="preserve">engineering </w:t>
      </w:r>
      <w:r w:rsidRPr="00DC1233">
        <w:rPr>
          <w:color w:val="000000" w:themeColor="text1"/>
          <w:sz w:val="16"/>
          <w:szCs w:val="16"/>
        </w:rPr>
        <w:t xml:space="preserve">construction activity in Western Australia </w:t>
      </w:r>
      <w:r w:rsidR="00176F76" w:rsidRPr="00DC1233">
        <w:rPr>
          <w:color w:val="000000" w:themeColor="text1"/>
          <w:sz w:val="16"/>
          <w:szCs w:val="16"/>
        </w:rPr>
        <w:t xml:space="preserve">in the </w:t>
      </w:r>
      <w:r w:rsidR="004F3342" w:rsidRPr="00DC1233">
        <w:rPr>
          <w:color w:val="000000" w:themeColor="text1"/>
          <w:sz w:val="16"/>
          <w:szCs w:val="16"/>
        </w:rPr>
        <w:t>year</w:t>
      </w:r>
      <w:r w:rsidR="00176F76" w:rsidRPr="00DC1233">
        <w:rPr>
          <w:color w:val="000000" w:themeColor="text1"/>
          <w:sz w:val="16"/>
          <w:szCs w:val="16"/>
        </w:rPr>
        <w:t xml:space="preserve"> to the June quarter 2025 </w:t>
      </w:r>
      <w:r w:rsidR="004047BB" w:rsidRPr="00DC1233">
        <w:rPr>
          <w:color w:val="000000" w:themeColor="text1"/>
          <w:sz w:val="16"/>
          <w:szCs w:val="16"/>
        </w:rPr>
        <w:t>was $35.2</w:t>
      </w:r>
      <w:r w:rsidR="00176F76" w:rsidRPr="00DC1233">
        <w:rPr>
          <w:color w:val="000000" w:themeColor="text1"/>
          <w:sz w:val="16"/>
          <w:szCs w:val="16"/>
        </w:rPr>
        <w:t> </w:t>
      </w:r>
      <w:r w:rsidR="004047BB" w:rsidRPr="00DC1233">
        <w:rPr>
          <w:color w:val="000000" w:themeColor="text1"/>
          <w:sz w:val="16"/>
          <w:szCs w:val="16"/>
        </w:rPr>
        <w:t>billion</w:t>
      </w:r>
      <w:r w:rsidR="00176F76" w:rsidRPr="00DC1233">
        <w:rPr>
          <w:color w:val="000000" w:themeColor="text1"/>
          <w:sz w:val="16"/>
          <w:szCs w:val="16"/>
        </w:rPr>
        <w:t>,</w:t>
      </w:r>
      <w:r w:rsidR="004047BB" w:rsidRPr="00DC1233">
        <w:rPr>
          <w:color w:val="000000" w:themeColor="text1"/>
          <w:sz w:val="16"/>
          <w:szCs w:val="16"/>
        </w:rPr>
        <w:t xml:space="preserve"> with heavy industry accounting for 52% </w:t>
      </w:r>
      <w:r w:rsidR="00176F76" w:rsidRPr="00DC1233">
        <w:rPr>
          <w:color w:val="000000" w:themeColor="text1"/>
          <w:sz w:val="16"/>
          <w:szCs w:val="16"/>
        </w:rPr>
        <w:t>of the total.</w:t>
      </w:r>
    </w:p>
    <w:p w14:paraId="40D6D96C" w14:textId="45C4E559" w:rsidR="00233755" w:rsidRPr="00DC1233" w:rsidRDefault="004047BB" w:rsidP="006058E8">
      <w:pPr>
        <w:pStyle w:val="ListParagraph"/>
        <w:numPr>
          <w:ilvl w:val="0"/>
          <w:numId w:val="9"/>
        </w:numPr>
        <w:spacing w:before="40" w:after="40"/>
        <w:ind w:right="227" w:hanging="357"/>
        <w:contextualSpacing w:val="0"/>
        <w:jc w:val="both"/>
        <w:rPr>
          <w:color w:val="000000" w:themeColor="text1"/>
          <w:sz w:val="16"/>
          <w:szCs w:val="16"/>
        </w:rPr>
      </w:pPr>
      <w:r w:rsidRPr="00DC1233">
        <w:rPr>
          <w:color w:val="000000" w:themeColor="text1"/>
          <w:sz w:val="16"/>
          <w:szCs w:val="16"/>
        </w:rPr>
        <w:t xml:space="preserve">In the </w:t>
      </w:r>
      <w:r w:rsidR="004F3342" w:rsidRPr="00DC1233">
        <w:rPr>
          <w:color w:val="000000" w:themeColor="text1"/>
          <w:sz w:val="16"/>
          <w:szCs w:val="16"/>
        </w:rPr>
        <w:t>year to the June quarter 2025</w:t>
      </w:r>
      <w:r w:rsidRPr="00DC1233">
        <w:rPr>
          <w:color w:val="000000" w:themeColor="text1"/>
          <w:sz w:val="16"/>
          <w:szCs w:val="16"/>
        </w:rPr>
        <w:t xml:space="preserve">, the value of </w:t>
      </w:r>
      <w:r w:rsidR="0048427B" w:rsidRPr="00DC1233">
        <w:rPr>
          <w:color w:val="000000" w:themeColor="text1"/>
          <w:sz w:val="16"/>
          <w:szCs w:val="16"/>
        </w:rPr>
        <w:t xml:space="preserve">engineering </w:t>
      </w:r>
      <w:r w:rsidRPr="00DC1233">
        <w:rPr>
          <w:color w:val="000000" w:themeColor="text1"/>
          <w:sz w:val="16"/>
          <w:szCs w:val="16"/>
        </w:rPr>
        <w:t>construction for:</w:t>
      </w:r>
    </w:p>
    <w:p w14:paraId="6CF4AB4F" w14:textId="2114DCDD" w:rsidR="004047BB" w:rsidRPr="00DC1233" w:rsidRDefault="004F3342" w:rsidP="006058E8">
      <w:pPr>
        <w:pStyle w:val="ListParagraph"/>
        <w:numPr>
          <w:ilvl w:val="0"/>
          <w:numId w:val="10"/>
        </w:numPr>
        <w:spacing w:before="40" w:after="40"/>
        <w:ind w:right="227" w:hanging="357"/>
        <w:contextualSpacing w:val="0"/>
        <w:jc w:val="both"/>
        <w:rPr>
          <w:color w:val="000000" w:themeColor="text1"/>
          <w:sz w:val="16"/>
          <w:szCs w:val="16"/>
        </w:rPr>
      </w:pPr>
      <w:r w:rsidRPr="00DC1233">
        <w:rPr>
          <w:color w:val="000000" w:themeColor="text1"/>
          <w:sz w:val="16"/>
          <w:szCs w:val="16"/>
        </w:rPr>
        <w:t>w</w:t>
      </w:r>
      <w:r w:rsidR="004047BB" w:rsidRPr="00DC1233">
        <w:rPr>
          <w:color w:val="000000" w:themeColor="text1"/>
          <w:sz w:val="16"/>
          <w:szCs w:val="16"/>
        </w:rPr>
        <w:t>ater storage and supply</w:t>
      </w:r>
      <w:r w:rsidRPr="00DC1233">
        <w:rPr>
          <w:color w:val="000000" w:themeColor="text1"/>
          <w:sz w:val="16"/>
          <w:szCs w:val="16"/>
        </w:rPr>
        <w:t>,</w:t>
      </w:r>
      <w:r w:rsidR="004047BB" w:rsidRPr="00DC1233">
        <w:rPr>
          <w:color w:val="000000" w:themeColor="text1"/>
          <w:sz w:val="16"/>
          <w:szCs w:val="16"/>
        </w:rPr>
        <w:t xml:space="preserve"> sew</w:t>
      </w:r>
      <w:r w:rsidRPr="00DC1233">
        <w:rPr>
          <w:color w:val="000000" w:themeColor="text1"/>
          <w:sz w:val="16"/>
          <w:szCs w:val="16"/>
        </w:rPr>
        <w:t>er</w:t>
      </w:r>
      <w:r w:rsidR="004047BB" w:rsidRPr="00DC1233">
        <w:rPr>
          <w:color w:val="000000" w:themeColor="text1"/>
          <w:sz w:val="16"/>
          <w:szCs w:val="16"/>
        </w:rPr>
        <w:t xml:space="preserve">age and drainage </w:t>
      </w:r>
      <w:proofErr w:type="gramStart"/>
      <w:r w:rsidR="004047BB" w:rsidRPr="00DC1233">
        <w:rPr>
          <w:color w:val="000000" w:themeColor="text1"/>
          <w:sz w:val="16"/>
          <w:szCs w:val="16"/>
        </w:rPr>
        <w:t>was</w:t>
      </w:r>
      <w:proofErr w:type="gramEnd"/>
      <w:r w:rsidR="004047BB" w:rsidRPr="00DC1233">
        <w:rPr>
          <w:color w:val="000000" w:themeColor="text1"/>
          <w:sz w:val="16"/>
          <w:szCs w:val="16"/>
        </w:rPr>
        <w:t xml:space="preserve"> up 53.3% to $2.9</w:t>
      </w:r>
      <w:r w:rsidR="00176F76" w:rsidRPr="00DC1233">
        <w:rPr>
          <w:color w:val="000000" w:themeColor="text1"/>
          <w:sz w:val="16"/>
          <w:szCs w:val="16"/>
        </w:rPr>
        <w:t> </w:t>
      </w:r>
      <w:r w:rsidR="004047BB" w:rsidRPr="00DC1233">
        <w:rPr>
          <w:color w:val="000000" w:themeColor="text1"/>
          <w:sz w:val="16"/>
          <w:szCs w:val="16"/>
        </w:rPr>
        <w:t>billion</w:t>
      </w:r>
    </w:p>
    <w:p w14:paraId="0D5FD396" w14:textId="698FF074" w:rsidR="00233755" w:rsidRPr="00DC1233"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DC1233">
        <w:rPr>
          <w:color w:val="000000" w:themeColor="text1"/>
          <w:sz w:val="16"/>
          <w:szCs w:val="16"/>
        </w:rPr>
        <w:t>heavy industry</w:t>
      </w:r>
      <w:r w:rsidR="004047BB" w:rsidRPr="00DC1233">
        <w:rPr>
          <w:color w:val="000000" w:themeColor="text1"/>
          <w:sz w:val="16"/>
          <w:szCs w:val="16"/>
        </w:rPr>
        <w:t xml:space="preserve"> </w:t>
      </w:r>
      <w:r w:rsidR="004F3342" w:rsidRPr="00DC1233">
        <w:rPr>
          <w:color w:val="000000" w:themeColor="text1"/>
          <w:sz w:val="16"/>
          <w:szCs w:val="16"/>
        </w:rPr>
        <w:t xml:space="preserve">was </w:t>
      </w:r>
      <w:r w:rsidRPr="00DC1233">
        <w:rPr>
          <w:color w:val="000000" w:themeColor="text1"/>
          <w:sz w:val="16"/>
          <w:szCs w:val="16"/>
        </w:rPr>
        <w:t xml:space="preserve">up </w:t>
      </w:r>
      <w:r w:rsidR="004047BB" w:rsidRPr="00DC1233">
        <w:rPr>
          <w:color w:val="000000" w:themeColor="text1"/>
          <w:sz w:val="16"/>
          <w:szCs w:val="16"/>
        </w:rPr>
        <w:t>5.1</w:t>
      </w:r>
      <w:r w:rsidRPr="00DC1233">
        <w:rPr>
          <w:color w:val="000000" w:themeColor="text1"/>
          <w:sz w:val="16"/>
          <w:szCs w:val="16"/>
        </w:rPr>
        <w:t>% to $18.</w:t>
      </w:r>
      <w:r w:rsidR="004047BB" w:rsidRPr="00DC1233">
        <w:rPr>
          <w:color w:val="000000" w:themeColor="text1"/>
          <w:sz w:val="16"/>
          <w:szCs w:val="16"/>
        </w:rPr>
        <w:t>4</w:t>
      </w:r>
      <w:r w:rsidRPr="00DC1233">
        <w:rPr>
          <w:color w:val="000000" w:themeColor="text1"/>
          <w:sz w:val="16"/>
          <w:szCs w:val="16"/>
        </w:rPr>
        <w:t> billion</w:t>
      </w:r>
    </w:p>
    <w:p w14:paraId="3044E2AE" w14:textId="193C2B52" w:rsidR="00233755" w:rsidRPr="00DC1233"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DC1233">
        <w:rPr>
          <w:color w:val="000000" w:themeColor="text1"/>
          <w:sz w:val="16"/>
          <w:szCs w:val="16"/>
        </w:rPr>
        <w:t>electricity generation, transmission and distribution and pipelines</w:t>
      </w:r>
      <w:r w:rsidR="004F3342" w:rsidRPr="00DC1233">
        <w:rPr>
          <w:color w:val="000000" w:themeColor="text1"/>
          <w:sz w:val="16"/>
          <w:szCs w:val="16"/>
        </w:rPr>
        <w:t xml:space="preserve"> was</w:t>
      </w:r>
      <w:r w:rsidRPr="00DC1233">
        <w:rPr>
          <w:color w:val="000000" w:themeColor="text1"/>
          <w:sz w:val="16"/>
          <w:szCs w:val="16"/>
        </w:rPr>
        <w:t xml:space="preserve"> up </w:t>
      </w:r>
      <w:r w:rsidR="004047BB" w:rsidRPr="00DC1233">
        <w:rPr>
          <w:color w:val="000000" w:themeColor="text1"/>
          <w:sz w:val="16"/>
          <w:szCs w:val="16"/>
        </w:rPr>
        <w:t>20.5</w:t>
      </w:r>
      <w:r w:rsidRPr="00DC1233">
        <w:rPr>
          <w:color w:val="000000" w:themeColor="text1"/>
          <w:sz w:val="16"/>
          <w:szCs w:val="16"/>
        </w:rPr>
        <w:t>% to $</w:t>
      </w:r>
      <w:r w:rsidR="004047BB" w:rsidRPr="00DC1233">
        <w:rPr>
          <w:color w:val="000000" w:themeColor="text1"/>
          <w:sz w:val="16"/>
          <w:szCs w:val="16"/>
        </w:rPr>
        <w:t>4.9</w:t>
      </w:r>
      <w:r w:rsidRPr="00DC1233">
        <w:rPr>
          <w:color w:val="000000" w:themeColor="text1"/>
          <w:sz w:val="16"/>
          <w:szCs w:val="16"/>
        </w:rPr>
        <w:t> billion.</w:t>
      </w:r>
    </w:p>
    <w:p w14:paraId="11DC798E" w14:textId="2308D105" w:rsidR="00233755" w:rsidRPr="00DC1233" w:rsidRDefault="004F3342" w:rsidP="004F3342">
      <w:pPr>
        <w:pStyle w:val="ListParagraph"/>
        <w:numPr>
          <w:ilvl w:val="0"/>
          <w:numId w:val="9"/>
        </w:numPr>
        <w:spacing w:before="40" w:after="40"/>
        <w:ind w:right="227" w:hanging="357"/>
        <w:contextualSpacing w:val="0"/>
        <w:jc w:val="both"/>
        <w:rPr>
          <w:color w:val="000000" w:themeColor="text1"/>
          <w:sz w:val="16"/>
          <w:szCs w:val="16"/>
        </w:rPr>
      </w:pPr>
      <w:r w:rsidRPr="00DC1233">
        <w:rPr>
          <w:color w:val="000000" w:themeColor="text1"/>
          <w:sz w:val="16"/>
          <w:szCs w:val="16"/>
        </w:rPr>
        <w:t>In real terms, t</w:t>
      </w:r>
      <w:r w:rsidR="00233755" w:rsidRPr="00DC1233">
        <w:rPr>
          <w:color w:val="000000" w:themeColor="text1"/>
          <w:sz w:val="16"/>
          <w:szCs w:val="16"/>
        </w:rPr>
        <w:t xml:space="preserve">he value of </w:t>
      </w:r>
      <w:r w:rsidR="0048427B" w:rsidRPr="00DC1233">
        <w:rPr>
          <w:color w:val="000000" w:themeColor="text1"/>
          <w:sz w:val="16"/>
          <w:szCs w:val="16"/>
        </w:rPr>
        <w:t xml:space="preserve">engineering construction activity done </w:t>
      </w:r>
      <w:r w:rsidR="00233755" w:rsidRPr="00DC1233">
        <w:rPr>
          <w:color w:val="000000" w:themeColor="text1"/>
          <w:sz w:val="16"/>
          <w:szCs w:val="16"/>
        </w:rPr>
        <w:t xml:space="preserve">in Western Australia </w:t>
      </w:r>
      <w:r w:rsidRPr="00DC1233">
        <w:rPr>
          <w:color w:val="000000" w:themeColor="text1"/>
          <w:sz w:val="16"/>
          <w:szCs w:val="16"/>
        </w:rPr>
        <w:t>increased</w:t>
      </w:r>
      <w:r w:rsidR="0048427B" w:rsidRPr="00DC1233">
        <w:rPr>
          <w:color w:val="000000" w:themeColor="text1"/>
          <w:sz w:val="16"/>
          <w:szCs w:val="16"/>
        </w:rPr>
        <w:t xml:space="preserve"> </w:t>
      </w:r>
      <w:r w:rsidRPr="00DC1233">
        <w:rPr>
          <w:color w:val="000000" w:themeColor="text1"/>
          <w:sz w:val="16"/>
          <w:szCs w:val="16"/>
        </w:rPr>
        <w:t>6.5</w:t>
      </w:r>
      <w:r w:rsidR="0048427B" w:rsidRPr="00DC1233">
        <w:rPr>
          <w:color w:val="000000" w:themeColor="text1"/>
          <w:sz w:val="16"/>
          <w:szCs w:val="16"/>
        </w:rPr>
        <w:t xml:space="preserve">% in the </w:t>
      </w:r>
      <w:r w:rsidRPr="00DC1233">
        <w:rPr>
          <w:color w:val="000000" w:themeColor="text1"/>
          <w:sz w:val="16"/>
          <w:szCs w:val="16"/>
        </w:rPr>
        <w:t xml:space="preserve">year to the </w:t>
      </w:r>
      <w:r w:rsidR="0048427B" w:rsidRPr="00DC1233">
        <w:rPr>
          <w:color w:val="000000" w:themeColor="text1"/>
          <w:sz w:val="16"/>
          <w:szCs w:val="16"/>
        </w:rPr>
        <w:t>June quarter 2025.</w:t>
      </w:r>
    </w:p>
    <w:p w14:paraId="522FE9B1" w14:textId="77777777" w:rsidR="00233755" w:rsidRPr="006A3A77" w:rsidRDefault="00233755" w:rsidP="006058E8">
      <w:pPr>
        <w:pStyle w:val="ListParagraph"/>
        <w:numPr>
          <w:ilvl w:val="0"/>
          <w:numId w:val="10"/>
        </w:numPr>
        <w:jc w:val="both"/>
        <w:rPr>
          <w:sz w:val="16"/>
          <w:szCs w:val="16"/>
        </w:rPr>
        <w:sectPr w:rsidR="00233755" w:rsidRPr="006A3A77" w:rsidSect="00233755">
          <w:type w:val="continuous"/>
          <w:pgSz w:w="11907" w:h="16840" w:code="9"/>
          <w:pgMar w:top="1701" w:right="425" w:bottom="567" w:left="567" w:header="709" w:footer="709" w:gutter="0"/>
          <w:cols w:num="2" w:space="113"/>
          <w:docGrid w:linePitch="360"/>
        </w:sectPr>
      </w:pPr>
    </w:p>
    <w:p w14:paraId="1325127B" w14:textId="55CEEAFE" w:rsidR="00233755" w:rsidRPr="00CF7CD6" w:rsidRDefault="00440DF2" w:rsidP="00233755">
      <w:pPr>
        <w:pStyle w:val="Heading4"/>
        <w:spacing w:before="120"/>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Engineering construction activity in the pipeline</w:t>
      </w:r>
    </w:p>
    <w:p w14:paraId="1042B0BC" w14:textId="5CAA1AA4" w:rsidR="00233755" w:rsidRPr="007B1AE5" w:rsidRDefault="006E6AF6" w:rsidP="00233755">
      <w:pPr>
        <w:rPr>
          <w:rFonts w:eastAsiaTheme="majorEastAsia"/>
        </w:rPr>
      </w:pPr>
      <w:r>
        <w:rPr>
          <w:rFonts w:eastAsiaTheme="majorEastAsia"/>
          <w:noProof/>
        </w:rPr>
        <w:drawing>
          <wp:inline distT="0" distB="0" distL="0" distR="0" wp14:anchorId="22A36F02" wp14:editId="5453FB59">
            <wp:extent cx="3360224" cy="2075379"/>
            <wp:effectExtent l="0" t="0" r="0" b="1270"/>
            <wp:docPr id="3373308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8330" cy="2080386"/>
                    </a:xfrm>
                    <a:prstGeom prst="rect">
                      <a:avLst/>
                    </a:prstGeom>
                    <a:noFill/>
                    <a:ln>
                      <a:noFill/>
                    </a:ln>
                  </pic:spPr>
                </pic:pic>
              </a:graphicData>
            </a:graphic>
          </wp:inline>
        </w:drawing>
      </w:r>
    </w:p>
    <w:p w14:paraId="6982CAAD" w14:textId="26B663EF" w:rsidR="00233755" w:rsidRPr="00AF759E" w:rsidRDefault="00233755" w:rsidP="00233755">
      <w:pPr>
        <w:jc w:val="both"/>
        <w:rPr>
          <w:sz w:val="10"/>
          <w:szCs w:val="10"/>
        </w:rPr>
      </w:pPr>
      <w:r w:rsidRPr="000C0C45">
        <w:rPr>
          <w:sz w:val="10"/>
        </w:rPr>
        <w:t xml:space="preserve">Note – </w:t>
      </w:r>
      <w:r w:rsidRPr="00AF759E">
        <w:rPr>
          <w:sz w:val="10"/>
          <w:szCs w:val="10"/>
        </w:rPr>
        <w:t xml:space="preserve">Current prices. Original series. Quarterly </w:t>
      </w:r>
      <w:r w:rsidRPr="00440DF2">
        <w:rPr>
          <w:color w:val="000000" w:themeColor="text1"/>
          <w:sz w:val="10"/>
          <w:szCs w:val="10"/>
        </w:rPr>
        <w:t>series. (a</w:t>
      </w:r>
      <w:r w:rsidR="00787FE7" w:rsidRPr="00440DF2">
        <w:rPr>
          <w:color w:val="000000" w:themeColor="text1"/>
          <w:sz w:val="10"/>
          <w:szCs w:val="10"/>
        </w:rPr>
        <w:t>)</w:t>
      </w:r>
      <w:r w:rsidR="00300F54" w:rsidRPr="00440DF2">
        <w:rPr>
          <w:color w:val="000000" w:themeColor="text1"/>
          <w:sz w:val="10"/>
          <w:szCs w:val="10"/>
        </w:rPr>
        <w:t xml:space="preserve"> </w:t>
      </w:r>
      <w:r w:rsidR="00096374" w:rsidRPr="00440DF2">
        <w:rPr>
          <w:color w:val="000000" w:themeColor="text1"/>
          <w:sz w:val="10"/>
          <w:szCs w:val="10"/>
        </w:rPr>
        <w:t xml:space="preserve">As per footnote (a) in the chart above. </w:t>
      </w:r>
      <w:r w:rsidR="007918A9" w:rsidRPr="00440DF2">
        <w:rPr>
          <w:color w:val="000000" w:themeColor="text1"/>
          <w:sz w:val="10"/>
          <w:szCs w:val="10"/>
        </w:rPr>
        <w:t>(</w:t>
      </w:r>
      <w:r w:rsidRPr="00440DF2">
        <w:rPr>
          <w:color w:val="000000" w:themeColor="text1"/>
          <w:sz w:val="10"/>
          <w:szCs w:val="10"/>
        </w:rPr>
        <w:t xml:space="preserve">b) </w:t>
      </w:r>
      <w:r w:rsidR="00300F54" w:rsidRPr="00440DF2">
        <w:rPr>
          <w:color w:val="000000" w:themeColor="text1"/>
          <w:sz w:val="10"/>
          <w:szCs w:val="10"/>
        </w:rPr>
        <w:t>Water storage and supply, sewage and drainage.</w:t>
      </w:r>
      <w:r w:rsidRPr="00440DF2">
        <w:rPr>
          <w:color w:val="000000" w:themeColor="text1"/>
          <w:sz w:val="10"/>
          <w:szCs w:val="10"/>
        </w:rPr>
        <w:t xml:space="preserve"> (c) </w:t>
      </w:r>
      <w:r w:rsidR="00300F54" w:rsidRPr="00440DF2">
        <w:rPr>
          <w:color w:val="000000" w:themeColor="text1"/>
          <w:sz w:val="10"/>
          <w:szCs w:val="10"/>
        </w:rPr>
        <w:t>Roads, highways and subdivisions; and bridges, railways and harbours. (d) Electricity generation and transmission and pipelines. (e) Telecommunications; and recreations and other structures.</w:t>
      </w:r>
    </w:p>
    <w:p w14:paraId="59A63965" w14:textId="77777777" w:rsidR="00233755" w:rsidRPr="00AF759E" w:rsidRDefault="00233755" w:rsidP="00233755">
      <w:pPr>
        <w:jc w:val="both"/>
        <w:rPr>
          <w:sz w:val="10"/>
          <w:szCs w:val="10"/>
        </w:rPr>
      </w:pPr>
      <w:r w:rsidRPr="00AF759E">
        <w:rPr>
          <w:sz w:val="10"/>
          <w:szCs w:val="10"/>
        </w:rPr>
        <w:t>Source: Based on ABS data.</w:t>
      </w:r>
    </w:p>
    <w:p w14:paraId="21FF040E" w14:textId="7E56AFB8" w:rsidR="007918A9" w:rsidRPr="00440DF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48427B" w:rsidRPr="00440DF2">
        <w:rPr>
          <w:color w:val="000000" w:themeColor="text1"/>
          <w:sz w:val="16"/>
          <w:szCs w:val="16"/>
        </w:rPr>
        <w:t>The v</w:t>
      </w:r>
      <w:r w:rsidRPr="00440DF2">
        <w:rPr>
          <w:color w:val="000000" w:themeColor="text1"/>
          <w:sz w:val="16"/>
          <w:szCs w:val="16"/>
        </w:rPr>
        <w:t xml:space="preserve">alue of engineering construction activity in the pipeline </w:t>
      </w:r>
      <w:r w:rsidR="00300F54" w:rsidRPr="00440DF2">
        <w:rPr>
          <w:color w:val="000000" w:themeColor="text1"/>
          <w:sz w:val="16"/>
          <w:szCs w:val="16"/>
        </w:rPr>
        <w:t xml:space="preserve">in Western Australia </w:t>
      </w:r>
      <w:r w:rsidR="007918A9" w:rsidRPr="00440DF2">
        <w:rPr>
          <w:color w:val="000000" w:themeColor="text1"/>
          <w:sz w:val="16"/>
          <w:szCs w:val="16"/>
        </w:rPr>
        <w:t xml:space="preserve">has fallen over the past year as the value of construction work completed over the past year has not been </w:t>
      </w:r>
      <w:r w:rsidR="00D74556" w:rsidRPr="00440DF2">
        <w:rPr>
          <w:color w:val="000000" w:themeColor="text1"/>
          <w:sz w:val="16"/>
          <w:szCs w:val="16"/>
        </w:rPr>
        <w:t xml:space="preserve">fully </w:t>
      </w:r>
      <w:r w:rsidR="007918A9" w:rsidRPr="00440DF2">
        <w:rPr>
          <w:color w:val="000000" w:themeColor="text1"/>
          <w:sz w:val="16"/>
          <w:szCs w:val="16"/>
        </w:rPr>
        <w:t>replaced by committed new activity.</w:t>
      </w:r>
    </w:p>
    <w:p w14:paraId="58F4BCC5" w14:textId="7123CBCD" w:rsidR="00233755" w:rsidRPr="00440DF2" w:rsidRDefault="007918A9" w:rsidP="006058E8">
      <w:pPr>
        <w:pStyle w:val="ListParagraph"/>
        <w:numPr>
          <w:ilvl w:val="0"/>
          <w:numId w:val="9"/>
        </w:numPr>
        <w:spacing w:before="40" w:after="40"/>
        <w:ind w:right="227" w:hanging="357"/>
        <w:contextualSpacing w:val="0"/>
        <w:jc w:val="both"/>
        <w:rPr>
          <w:color w:val="000000" w:themeColor="text1"/>
          <w:sz w:val="16"/>
          <w:szCs w:val="16"/>
        </w:rPr>
      </w:pPr>
      <w:r w:rsidRPr="00440DF2">
        <w:rPr>
          <w:color w:val="000000" w:themeColor="text1"/>
          <w:sz w:val="16"/>
          <w:szCs w:val="16"/>
        </w:rPr>
        <w:t xml:space="preserve">The value of engineering construction activity in the pipeline </w:t>
      </w:r>
      <w:r w:rsidR="00B63127" w:rsidRPr="00440DF2">
        <w:rPr>
          <w:color w:val="000000" w:themeColor="text1"/>
          <w:sz w:val="16"/>
          <w:szCs w:val="16"/>
        </w:rPr>
        <w:t xml:space="preserve">in Western Australia </w:t>
      </w:r>
      <w:r w:rsidRPr="00440DF2">
        <w:rPr>
          <w:color w:val="000000" w:themeColor="text1"/>
          <w:sz w:val="16"/>
          <w:szCs w:val="16"/>
        </w:rPr>
        <w:t>in the June quarter 2025 was $23.2 billion, 27.9% less than in the June quarter 2024.</w:t>
      </w:r>
    </w:p>
    <w:p w14:paraId="6CFFE482" w14:textId="5EA032B5" w:rsidR="00351882" w:rsidRPr="00440DF2" w:rsidRDefault="007918A9" w:rsidP="00C24386">
      <w:pPr>
        <w:pStyle w:val="ListParagraph"/>
        <w:numPr>
          <w:ilvl w:val="0"/>
          <w:numId w:val="9"/>
        </w:numPr>
        <w:spacing w:before="40" w:after="40"/>
        <w:ind w:right="227" w:hanging="357"/>
        <w:contextualSpacing w:val="0"/>
        <w:jc w:val="both"/>
        <w:rPr>
          <w:color w:val="000000" w:themeColor="text1"/>
          <w:sz w:val="16"/>
          <w:szCs w:val="16"/>
        </w:rPr>
      </w:pPr>
      <w:r w:rsidRPr="00440DF2">
        <w:rPr>
          <w:color w:val="000000" w:themeColor="text1"/>
          <w:sz w:val="16"/>
          <w:szCs w:val="16"/>
        </w:rPr>
        <w:t>The value of engineering construction activity in the pipeline</w:t>
      </w:r>
      <w:r w:rsidR="00B63127" w:rsidRPr="00440DF2">
        <w:rPr>
          <w:color w:val="000000" w:themeColor="text1"/>
          <w:sz w:val="16"/>
          <w:szCs w:val="16"/>
        </w:rPr>
        <w:t xml:space="preserve"> in Western Australia</w:t>
      </w:r>
      <w:r w:rsidRPr="00440DF2">
        <w:rPr>
          <w:color w:val="000000" w:themeColor="text1"/>
          <w:sz w:val="16"/>
          <w:szCs w:val="16"/>
        </w:rPr>
        <w:t xml:space="preserve"> for heavy industry </w:t>
      </w:r>
      <w:r w:rsidR="00B63127" w:rsidRPr="00440DF2">
        <w:rPr>
          <w:color w:val="000000" w:themeColor="text1"/>
          <w:sz w:val="16"/>
          <w:szCs w:val="16"/>
        </w:rPr>
        <w:t xml:space="preserve">fell by 36.3% </w:t>
      </w:r>
      <w:r w:rsidRPr="00440DF2">
        <w:rPr>
          <w:color w:val="000000" w:themeColor="text1"/>
          <w:sz w:val="16"/>
          <w:szCs w:val="16"/>
        </w:rPr>
        <w:t>over the past year</w:t>
      </w:r>
      <w:r w:rsidR="00B63127" w:rsidRPr="00440DF2">
        <w:rPr>
          <w:color w:val="000000" w:themeColor="text1"/>
          <w:sz w:val="16"/>
          <w:szCs w:val="16"/>
        </w:rPr>
        <w:t>, while for transport it fell by 21.3%. This was due mainly to construction activity being completed on high</w:t>
      </w:r>
      <w:r w:rsidR="00B63127" w:rsidRPr="00440DF2">
        <w:rPr>
          <w:color w:val="000000" w:themeColor="text1"/>
          <w:sz w:val="16"/>
          <w:szCs w:val="16"/>
        </w:rPr>
        <w:noBreakHyphen/>
        <w:t>val</w:t>
      </w:r>
      <w:r w:rsidR="00D74556" w:rsidRPr="00440DF2">
        <w:rPr>
          <w:color w:val="000000" w:themeColor="text1"/>
          <w:sz w:val="16"/>
          <w:szCs w:val="16"/>
        </w:rPr>
        <w:t>u</w:t>
      </w:r>
      <w:r w:rsidR="00B63127" w:rsidRPr="00440DF2">
        <w:rPr>
          <w:color w:val="000000" w:themeColor="text1"/>
          <w:sz w:val="16"/>
          <w:szCs w:val="16"/>
        </w:rPr>
        <w:t>e resource projects and major public transport infrastructure.</w:t>
      </w:r>
    </w:p>
    <w:p w14:paraId="089F63E1" w14:textId="3995B0C1" w:rsidR="00233755" w:rsidRPr="003844E2" w:rsidRDefault="00B63127" w:rsidP="00C24386">
      <w:pPr>
        <w:pStyle w:val="ListParagraph"/>
        <w:numPr>
          <w:ilvl w:val="0"/>
          <w:numId w:val="9"/>
        </w:numPr>
        <w:spacing w:before="40" w:after="40"/>
        <w:ind w:right="227" w:hanging="357"/>
        <w:contextualSpacing w:val="0"/>
        <w:jc w:val="both"/>
        <w:rPr>
          <w:sz w:val="16"/>
          <w:szCs w:val="16"/>
        </w:rPr>
      </w:pPr>
      <w:r w:rsidRPr="003844E2">
        <w:rPr>
          <w:sz w:val="16"/>
          <w:szCs w:val="16"/>
        </w:rPr>
        <w:t>The value of construction activity in the pipeline in Western Australia for electricity increased by 15.2% over the past year. There is expected to be an ongoing pipeline of construction activity for electricity as Western Australia undertakes its energy transition.</w:t>
      </w:r>
    </w:p>
    <w:p w14:paraId="65C775B2"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2FFB080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8" w:name="_International_trade"/>
      <w:bookmarkStart w:id="29" w:name="_Regional_economic_conditions"/>
      <w:bookmarkEnd w:id="28"/>
      <w:bookmarkEnd w:id="29"/>
      <w:r w:rsidRPr="008F7AA0">
        <w:rPr>
          <w:bCs/>
          <w:color w:val="004C3D"/>
          <w:sz w:val="24"/>
          <w:szCs w:val="24"/>
        </w:rPr>
        <w:lastRenderedPageBreak/>
        <w:t>Regional labour markets and construction</w:t>
      </w:r>
    </w:p>
    <w:p w14:paraId="4C6FD0A1" w14:textId="77777777" w:rsidR="00233755" w:rsidRPr="00CF7CD6" w:rsidRDefault="00233755" w:rsidP="00233755">
      <w:pPr>
        <w:ind w:right="227"/>
        <w:jc w:val="right"/>
        <w:rPr>
          <w:rStyle w:val="Hyperlink"/>
          <w:b/>
          <w:bCs/>
          <w:sz w:val="16"/>
          <w:szCs w:val="16"/>
        </w:rPr>
        <w:sectPr w:rsidR="00233755" w:rsidRPr="00CF7CD6" w:rsidSect="00233755">
          <w:type w:val="continuous"/>
          <w:pgSz w:w="11907" w:h="16840" w:code="9"/>
          <w:pgMar w:top="1701" w:right="425" w:bottom="567" w:left="567" w:header="709" w:footer="709" w:gutter="0"/>
          <w:cols w:space="720"/>
          <w:docGrid w:linePitch="360"/>
        </w:sectPr>
      </w:pPr>
      <w:hyperlink w:anchor="_Contents" w:history="1">
        <w:r w:rsidRPr="00CF7CD6">
          <w:rPr>
            <w:rStyle w:val="Hyperlink"/>
            <w:b/>
            <w:bCs/>
            <w:sz w:val="16"/>
            <w:szCs w:val="16"/>
          </w:rPr>
          <w:t>Back to contents</w:t>
        </w:r>
      </w:hyperlink>
    </w:p>
    <w:p w14:paraId="78A39364"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Internet vacancies by region</w:t>
      </w:r>
    </w:p>
    <w:p w14:paraId="365A5A8A" w14:textId="49263CD5" w:rsidR="00233755" w:rsidRPr="007B1AE5" w:rsidRDefault="00F12B82" w:rsidP="00233755">
      <w:r>
        <w:rPr>
          <w:noProof/>
        </w:rPr>
        <w:drawing>
          <wp:inline distT="0" distB="0" distL="0" distR="0" wp14:anchorId="4F029B94" wp14:editId="39340440">
            <wp:extent cx="3395831" cy="2022764"/>
            <wp:effectExtent l="0" t="0" r="0" b="0"/>
            <wp:docPr id="3909960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9748" cy="2031054"/>
                    </a:xfrm>
                    <a:prstGeom prst="rect">
                      <a:avLst/>
                    </a:prstGeom>
                    <a:noFill/>
                    <a:ln>
                      <a:noFill/>
                    </a:ln>
                  </pic:spPr>
                </pic:pic>
              </a:graphicData>
            </a:graphic>
          </wp:inline>
        </w:drawing>
      </w:r>
    </w:p>
    <w:p w14:paraId="435039AC" w14:textId="77777777" w:rsidR="00233755" w:rsidRPr="00AC7274" w:rsidRDefault="00233755" w:rsidP="00233755">
      <w:pPr>
        <w:jc w:val="both"/>
        <w:rPr>
          <w:sz w:val="10"/>
          <w:szCs w:val="10"/>
        </w:rPr>
      </w:pPr>
      <w:r w:rsidRPr="00AC7274">
        <w:rPr>
          <w:sz w:val="10"/>
        </w:rPr>
        <w:t xml:space="preserve">Note – </w:t>
      </w:r>
      <w:r w:rsidRPr="00AC7274">
        <w:rPr>
          <w:sz w:val="10"/>
          <w:szCs w:val="10"/>
        </w:rPr>
        <w:t>Original series. Monthly series. 3-month moving average. Custom Internet Vacancy Index regions.</w:t>
      </w:r>
    </w:p>
    <w:p w14:paraId="77C157A5" w14:textId="77777777" w:rsidR="00233755" w:rsidRPr="00AC7274" w:rsidRDefault="00233755" w:rsidP="00233755">
      <w:pPr>
        <w:jc w:val="both"/>
        <w:rPr>
          <w:sz w:val="10"/>
          <w:szCs w:val="10"/>
        </w:rPr>
      </w:pPr>
      <w:r w:rsidRPr="00AC7274">
        <w:rPr>
          <w:sz w:val="10"/>
          <w:szCs w:val="10"/>
        </w:rPr>
        <w:t>Source: Jobs and Skills Australia.</w:t>
      </w:r>
    </w:p>
    <w:p w14:paraId="3B12A4BA" w14:textId="712C7A8C" w:rsidR="00233755" w:rsidRPr="00EA2D70" w:rsidRDefault="00233755" w:rsidP="00C24386">
      <w:pPr>
        <w:pStyle w:val="ListParagraph"/>
        <w:numPr>
          <w:ilvl w:val="0"/>
          <w:numId w:val="9"/>
        </w:numPr>
        <w:spacing w:before="40" w:after="40"/>
        <w:ind w:right="227" w:hanging="357"/>
        <w:contextualSpacing w:val="0"/>
        <w:jc w:val="both"/>
        <w:rPr>
          <w:sz w:val="16"/>
          <w:szCs w:val="16"/>
        </w:rPr>
      </w:pPr>
      <w:r w:rsidRPr="007B1AE5">
        <w:br w:type="column"/>
      </w:r>
      <w:bookmarkStart w:id="30" w:name="_Hlk194604205"/>
      <w:r w:rsidRPr="00EA2D70">
        <w:rPr>
          <w:sz w:val="16"/>
          <w:szCs w:val="16"/>
        </w:rPr>
        <w:t>Internet job vacancies have been falling across Western Australia’s regions, although they remain at relatively high levels.</w:t>
      </w:r>
      <w:r w:rsidR="0086153B" w:rsidRPr="00EA2D70">
        <w:rPr>
          <w:sz w:val="16"/>
          <w:szCs w:val="16"/>
        </w:rPr>
        <w:t xml:space="preserve"> </w:t>
      </w:r>
      <w:r w:rsidRPr="00EA2D70">
        <w:rPr>
          <w:sz w:val="16"/>
          <w:szCs w:val="16"/>
        </w:rPr>
        <w:t xml:space="preserve">Between </w:t>
      </w:r>
      <w:r w:rsidR="00F12B82" w:rsidRPr="00EA2D70">
        <w:rPr>
          <w:sz w:val="16"/>
          <w:szCs w:val="16"/>
        </w:rPr>
        <w:t>September</w:t>
      </w:r>
      <w:r w:rsidR="002B3DF5" w:rsidRPr="00EA2D70">
        <w:rPr>
          <w:sz w:val="16"/>
          <w:szCs w:val="16"/>
        </w:rPr>
        <w:t> </w:t>
      </w:r>
      <w:r w:rsidRPr="00EA2D70">
        <w:rPr>
          <w:sz w:val="16"/>
          <w:szCs w:val="16"/>
        </w:rPr>
        <w:t xml:space="preserve">2024 and </w:t>
      </w:r>
      <w:r w:rsidR="00F12B82" w:rsidRPr="00EA2D70">
        <w:rPr>
          <w:sz w:val="16"/>
          <w:szCs w:val="16"/>
        </w:rPr>
        <w:t>September</w:t>
      </w:r>
      <w:r w:rsidR="000A382D" w:rsidRPr="00EA2D70">
        <w:rPr>
          <w:sz w:val="16"/>
          <w:szCs w:val="16"/>
        </w:rPr>
        <w:t> </w:t>
      </w:r>
      <w:r w:rsidRPr="00EA2D70">
        <w:rPr>
          <w:sz w:val="16"/>
          <w:szCs w:val="16"/>
        </w:rPr>
        <w:t xml:space="preserve">2025, internet </w:t>
      </w:r>
      <w:r w:rsidR="00EF2CC9" w:rsidRPr="00EA2D70">
        <w:rPr>
          <w:sz w:val="16"/>
          <w:szCs w:val="16"/>
        </w:rPr>
        <w:t xml:space="preserve">job </w:t>
      </w:r>
      <w:r w:rsidRPr="00EA2D70">
        <w:rPr>
          <w:sz w:val="16"/>
          <w:szCs w:val="16"/>
        </w:rPr>
        <w:t>vacancies in the:</w:t>
      </w:r>
    </w:p>
    <w:p w14:paraId="569A0C50" w14:textId="4BBE3281" w:rsidR="005F2C39" w:rsidRPr="00EA2D70" w:rsidRDefault="005F2C39" w:rsidP="005F2C39">
      <w:pPr>
        <w:pStyle w:val="ListParagraph"/>
        <w:numPr>
          <w:ilvl w:val="1"/>
          <w:numId w:val="9"/>
        </w:numPr>
        <w:spacing w:before="40" w:after="40"/>
        <w:ind w:right="227"/>
        <w:contextualSpacing w:val="0"/>
        <w:jc w:val="both"/>
        <w:rPr>
          <w:sz w:val="16"/>
          <w:szCs w:val="16"/>
        </w:rPr>
      </w:pPr>
      <w:r w:rsidRPr="00EA2D70">
        <w:rPr>
          <w:sz w:val="16"/>
          <w:szCs w:val="16"/>
        </w:rPr>
        <w:t xml:space="preserve">Pilbara &amp; Kimberley region fell </w:t>
      </w:r>
      <w:r w:rsidR="00172338" w:rsidRPr="00EA2D70">
        <w:rPr>
          <w:sz w:val="16"/>
          <w:szCs w:val="16"/>
        </w:rPr>
        <w:t>4</w:t>
      </w:r>
      <w:r w:rsidRPr="00EA2D70">
        <w:rPr>
          <w:sz w:val="16"/>
          <w:szCs w:val="16"/>
        </w:rPr>
        <w:t>% to 1,86</w:t>
      </w:r>
      <w:r w:rsidR="001A7443" w:rsidRPr="00EA2D70">
        <w:rPr>
          <w:sz w:val="16"/>
          <w:szCs w:val="16"/>
        </w:rPr>
        <w:t>6</w:t>
      </w:r>
      <w:r w:rsidRPr="00EA2D70">
        <w:rPr>
          <w:sz w:val="16"/>
          <w:szCs w:val="16"/>
        </w:rPr>
        <w:t xml:space="preserve">, with the largest falls in vacancies for </w:t>
      </w:r>
      <w:r w:rsidR="00DC5259" w:rsidRPr="00EA2D70">
        <w:rPr>
          <w:sz w:val="16"/>
          <w:szCs w:val="16"/>
        </w:rPr>
        <w:t xml:space="preserve">automotive and engineering trades workers and </w:t>
      </w:r>
      <w:r w:rsidRPr="00EA2D70">
        <w:rPr>
          <w:sz w:val="16"/>
          <w:szCs w:val="16"/>
        </w:rPr>
        <w:t>engineers</w:t>
      </w:r>
      <w:r w:rsidR="00163A85" w:rsidRPr="00EA2D70">
        <w:rPr>
          <w:sz w:val="16"/>
          <w:szCs w:val="16"/>
        </w:rPr>
        <w:t>.</w:t>
      </w:r>
    </w:p>
    <w:p w14:paraId="55465460" w14:textId="714BC8AC" w:rsidR="00233755" w:rsidRPr="00EA2D70" w:rsidRDefault="007164C7" w:rsidP="006058E8">
      <w:pPr>
        <w:pStyle w:val="ListParagraph"/>
        <w:numPr>
          <w:ilvl w:val="1"/>
          <w:numId w:val="9"/>
        </w:numPr>
        <w:spacing w:before="40" w:after="40"/>
        <w:ind w:right="227"/>
        <w:contextualSpacing w:val="0"/>
        <w:jc w:val="both"/>
        <w:rPr>
          <w:sz w:val="16"/>
          <w:szCs w:val="16"/>
        </w:rPr>
      </w:pPr>
      <w:proofErr w:type="gramStart"/>
      <w:r w:rsidRPr="00EA2D70">
        <w:rPr>
          <w:sz w:val="16"/>
          <w:szCs w:val="16"/>
        </w:rPr>
        <w:t>South West</w:t>
      </w:r>
      <w:proofErr w:type="gramEnd"/>
      <w:r w:rsidRPr="00EA2D70">
        <w:rPr>
          <w:sz w:val="16"/>
          <w:szCs w:val="16"/>
        </w:rPr>
        <w:t xml:space="preserve"> region fell </w:t>
      </w:r>
      <w:r w:rsidR="005F2C39" w:rsidRPr="00EA2D70">
        <w:rPr>
          <w:sz w:val="16"/>
          <w:szCs w:val="16"/>
        </w:rPr>
        <w:t>3</w:t>
      </w:r>
      <w:r w:rsidRPr="00EA2D70">
        <w:rPr>
          <w:sz w:val="16"/>
          <w:szCs w:val="16"/>
        </w:rPr>
        <w:t xml:space="preserve">% to </w:t>
      </w:r>
      <w:r w:rsidR="00233755" w:rsidRPr="00EA2D70">
        <w:rPr>
          <w:sz w:val="16"/>
          <w:szCs w:val="16"/>
        </w:rPr>
        <w:t>1,</w:t>
      </w:r>
      <w:r w:rsidRPr="00EA2D70">
        <w:rPr>
          <w:sz w:val="16"/>
          <w:szCs w:val="16"/>
        </w:rPr>
        <w:t>3</w:t>
      </w:r>
      <w:r w:rsidR="001A7443" w:rsidRPr="00EA2D70">
        <w:rPr>
          <w:sz w:val="16"/>
          <w:szCs w:val="16"/>
        </w:rPr>
        <w:t>97</w:t>
      </w:r>
      <w:r w:rsidR="00C22963" w:rsidRPr="00EA2D70">
        <w:rPr>
          <w:sz w:val="16"/>
          <w:szCs w:val="16"/>
        </w:rPr>
        <w:t xml:space="preserve">, </w:t>
      </w:r>
      <w:r w:rsidR="000A382D" w:rsidRPr="00EA2D70">
        <w:rPr>
          <w:sz w:val="16"/>
          <w:szCs w:val="16"/>
        </w:rPr>
        <w:t>with the largest falls</w:t>
      </w:r>
      <w:r w:rsidR="00C22963" w:rsidRPr="00EA2D70">
        <w:rPr>
          <w:sz w:val="16"/>
          <w:szCs w:val="16"/>
        </w:rPr>
        <w:t xml:space="preserve"> in </w:t>
      </w:r>
      <w:r w:rsidR="000A382D" w:rsidRPr="00EA2D70">
        <w:rPr>
          <w:sz w:val="16"/>
          <w:szCs w:val="16"/>
        </w:rPr>
        <w:t xml:space="preserve">vacancies for </w:t>
      </w:r>
      <w:r w:rsidR="00232FE7" w:rsidRPr="00EA2D70">
        <w:rPr>
          <w:sz w:val="16"/>
          <w:szCs w:val="16"/>
        </w:rPr>
        <w:t>automotive and engineering trades workers.</w:t>
      </w:r>
    </w:p>
    <w:p w14:paraId="061FDACB" w14:textId="5BE47A37" w:rsidR="00233755" w:rsidRPr="00EA2D70" w:rsidRDefault="00233755" w:rsidP="006058E8">
      <w:pPr>
        <w:pStyle w:val="ListParagraph"/>
        <w:numPr>
          <w:ilvl w:val="1"/>
          <w:numId w:val="9"/>
        </w:numPr>
        <w:spacing w:before="40" w:after="40"/>
        <w:ind w:right="227"/>
        <w:contextualSpacing w:val="0"/>
        <w:jc w:val="both"/>
        <w:rPr>
          <w:sz w:val="16"/>
          <w:szCs w:val="16"/>
        </w:rPr>
      </w:pPr>
      <w:r w:rsidRPr="00EA2D70">
        <w:rPr>
          <w:sz w:val="16"/>
          <w:szCs w:val="16"/>
        </w:rPr>
        <w:t xml:space="preserve">Goldfields </w:t>
      </w:r>
      <w:r w:rsidR="00785816" w:rsidRPr="00EA2D70">
        <w:rPr>
          <w:sz w:val="16"/>
          <w:szCs w:val="16"/>
        </w:rPr>
        <w:t>&amp;</w:t>
      </w:r>
      <w:r w:rsidRPr="00EA2D70">
        <w:rPr>
          <w:sz w:val="16"/>
          <w:szCs w:val="16"/>
        </w:rPr>
        <w:t xml:space="preserve"> Southern region </w:t>
      </w:r>
      <w:r w:rsidR="00CB7170" w:rsidRPr="00EA2D70">
        <w:rPr>
          <w:sz w:val="16"/>
          <w:szCs w:val="16"/>
        </w:rPr>
        <w:t xml:space="preserve">rose </w:t>
      </w:r>
      <w:r w:rsidR="001A7443" w:rsidRPr="00EA2D70">
        <w:rPr>
          <w:sz w:val="16"/>
          <w:szCs w:val="16"/>
        </w:rPr>
        <w:t>5</w:t>
      </w:r>
      <w:r w:rsidRPr="00EA2D70">
        <w:rPr>
          <w:sz w:val="16"/>
          <w:szCs w:val="16"/>
        </w:rPr>
        <w:t>% to 1,</w:t>
      </w:r>
      <w:r w:rsidR="0060019E" w:rsidRPr="00EA2D70">
        <w:rPr>
          <w:sz w:val="16"/>
          <w:szCs w:val="16"/>
        </w:rPr>
        <w:t>857</w:t>
      </w:r>
      <w:r w:rsidR="00645C90" w:rsidRPr="00EA2D70">
        <w:rPr>
          <w:sz w:val="16"/>
          <w:szCs w:val="16"/>
        </w:rPr>
        <w:t xml:space="preserve">, </w:t>
      </w:r>
      <w:r w:rsidR="000A382D" w:rsidRPr="00EA2D70">
        <w:rPr>
          <w:sz w:val="16"/>
          <w:szCs w:val="16"/>
        </w:rPr>
        <w:t xml:space="preserve">with the largest </w:t>
      </w:r>
      <w:r w:rsidR="005F2C39" w:rsidRPr="00EA2D70">
        <w:rPr>
          <w:sz w:val="16"/>
          <w:szCs w:val="16"/>
        </w:rPr>
        <w:t>increases</w:t>
      </w:r>
      <w:r w:rsidR="00645C90" w:rsidRPr="00EA2D70">
        <w:rPr>
          <w:sz w:val="16"/>
          <w:szCs w:val="16"/>
        </w:rPr>
        <w:t xml:space="preserve"> in </w:t>
      </w:r>
      <w:r w:rsidR="000A382D" w:rsidRPr="00EA2D70">
        <w:rPr>
          <w:sz w:val="16"/>
          <w:szCs w:val="16"/>
        </w:rPr>
        <w:t xml:space="preserve">vacancies for </w:t>
      </w:r>
      <w:r w:rsidR="00645C90" w:rsidRPr="00EA2D70">
        <w:rPr>
          <w:sz w:val="16"/>
          <w:szCs w:val="16"/>
        </w:rPr>
        <w:t xml:space="preserve">electrotechnology and telecommunications trades workers and </w:t>
      </w:r>
      <w:r w:rsidR="00ED7CB9" w:rsidRPr="00EA2D70">
        <w:rPr>
          <w:sz w:val="16"/>
          <w:szCs w:val="16"/>
        </w:rPr>
        <w:t>automotive and engineering trades workers</w:t>
      </w:r>
      <w:r w:rsidR="007164C7" w:rsidRPr="00EA2D70">
        <w:rPr>
          <w:sz w:val="16"/>
          <w:szCs w:val="16"/>
        </w:rPr>
        <w:t>.</w:t>
      </w:r>
    </w:p>
    <w:p w14:paraId="594AE982" w14:textId="7486E5FE" w:rsidR="00233755" w:rsidRPr="00EA2D70" w:rsidRDefault="00E77D8A" w:rsidP="006058E8">
      <w:pPr>
        <w:pStyle w:val="ListParagraph"/>
        <w:numPr>
          <w:ilvl w:val="0"/>
          <w:numId w:val="9"/>
        </w:numPr>
        <w:spacing w:before="40" w:after="40"/>
        <w:ind w:right="227"/>
        <w:contextualSpacing w:val="0"/>
        <w:jc w:val="both"/>
        <w:rPr>
          <w:sz w:val="16"/>
          <w:szCs w:val="16"/>
        </w:rPr>
      </w:pPr>
      <w:r w:rsidRPr="00EA2D70">
        <w:rPr>
          <w:sz w:val="16"/>
          <w:szCs w:val="16"/>
        </w:rPr>
        <w:t xml:space="preserve">In </w:t>
      </w:r>
      <w:r w:rsidR="00D918D9" w:rsidRPr="00EA2D70">
        <w:rPr>
          <w:sz w:val="16"/>
          <w:szCs w:val="16"/>
        </w:rPr>
        <w:t>September</w:t>
      </w:r>
      <w:r w:rsidR="000A382D" w:rsidRPr="00EA2D70">
        <w:rPr>
          <w:sz w:val="16"/>
          <w:szCs w:val="16"/>
        </w:rPr>
        <w:t> </w:t>
      </w:r>
      <w:r w:rsidRPr="00EA2D70">
        <w:rPr>
          <w:sz w:val="16"/>
          <w:szCs w:val="16"/>
        </w:rPr>
        <w:t xml:space="preserve">2025, </w:t>
      </w:r>
      <w:r w:rsidR="00CF156B" w:rsidRPr="00EA2D70">
        <w:rPr>
          <w:sz w:val="16"/>
          <w:szCs w:val="16"/>
        </w:rPr>
        <w:t xml:space="preserve">the highest number of </w:t>
      </w:r>
      <w:r w:rsidRPr="00EA2D70">
        <w:rPr>
          <w:sz w:val="16"/>
          <w:szCs w:val="16"/>
        </w:rPr>
        <w:t>in</w:t>
      </w:r>
      <w:r w:rsidR="0001173C" w:rsidRPr="00EA2D70">
        <w:rPr>
          <w:sz w:val="16"/>
          <w:szCs w:val="16"/>
        </w:rPr>
        <w:t xml:space="preserve">ternet </w:t>
      </w:r>
      <w:r w:rsidR="00EF2CC9" w:rsidRPr="00EA2D70">
        <w:rPr>
          <w:sz w:val="16"/>
          <w:szCs w:val="16"/>
        </w:rPr>
        <w:t xml:space="preserve">job </w:t>
      </w:r>
      <w:r w:rsidR="0001173C" w:rsidRPr="00EA2D70">
        <w:rPr>
          <w:sz w:val="16"/>
          <w:szCs w:val="16"/>
        </w:rPr>
        <w:t>vacancies</w:t>
      </w:r>
      <w:r w:rsidR="00785816" w:rsidRPr="00EA2D70">
        <w:rPr>
          <w:sz w:val="16"/>
          <w:szCs w:val="16"/>
        </w:rPr>
        <w:t xml:space="preserve"> in the</w:t>
      </w:r>
      <w:r w:rsidR="0001173C" w:rsidRPr="00EA2D70">
        <w:rPr>
          <w:sz w:val="16"/>
          <w:szCs w:val="16"/>
        </w:rPr>
        <w:t>:</w:t>
      </w:r>
    </w:p>
    <w:p w14:paraId="04E226F6" w14:textId="4A4BD8D4" w:rsidR="00ED7CB9" w:rsidRPr="00EA2D70" w:rsidRDefault="00ED7CB9" w:rsidP="00ED7CB9">
      <w:pPr>
        <w:pStyle w:val="ListParagraph"/>
        <w:numPr>
          <w:ilvl w:val="1"/>
          <w:numId w:val="9"/>
        </w:numPr>
        <w:spacing w:before="40" w:after="40"/>
        <w:ind w:right="227"/>
        <w:contextualSpacing w:val="0"/>
        <w:jc w:val="both"/>
        <w:rPr>
          <w:sz w:val="16"/>
          <w:szCs w:val="16"/>
        </w:rPr>
      </w:pPr>
      <w:r w:rsidRPr="00EA2D70">
        <w:rPr>
          <w:sz w:val="16"/>
          <w:szCs w:val="16"/>
        </w:rPr>
        <w:t>Pilbara &amp; Kimberley region were for automotive and engineering trades workers (2</w:t>
      </w:r>
      <w:r w:rsidR="001E2632" w:rsidRPr="00EA2D70">
        <w:rPr>
          <w:sz w:val="16"/>
          <w:szCs w:val="16"/>
        </w:rPr>
        <w:t>01</w:t>
      </w:r>
      <w:r w:rsidRPr="00EA2D70">
        <w:rPr>
          <w:sz w:val="16"/>
          <w:szCs w:val="16"/>
        </w:rPr>
        <w:t>) and general-inquiry clerks (1</w:t>
      </w:r>
      <w:r w:rsidR="00760B1D" w:rsidRPr="00EA2D70">
        <w:rPr>
          <w:sz w:val="16"/>
          <w:szCs w:val="16"/>
        </w:rPr>
        <w:t>32</w:t>
      </w:r>
      <w:r w:rsidRPr="00EA2D70">
        <w:rPr>
          <w:sz w:val="16"/>
          <w:szCs w:val="16"/>
        </w:rPr>
        <w:t>)</w:t>
      </w:r>
    </w:p>
    <w:p w14:paraId="26C9D384" w14:textId="7F4645C9" w:rsidR="004C40A7" w:rsidRPr="00EA2D70" w:rsidRDefault="0001173C" w:rsidP="006058E8">
      <w:pPr>
        <w:pStyle w:val="ListParagraph"/>
        <w:numPr>
          <w:ilvl w:val="1"/>
          <w:numId w:val="9"/>
        </w:numPr>
        <w:spacing w:before="40" w:after="40"/>
        <w:ind w:right="227"/>
        <w:contextualSpacing w:val="0"/>
        <w:jc w:val="both"/>
        <w:rPr>
          <w:sz w:val="16"/>
          <w:szCs w:val="16"/>
        </w:rPr>
      </w:pPr>
      <w:proofErr w:type="gramStart"/>
      <w:r w:rsidRPr="00EA2D70">
        <w:rPr>
          <w:sz w:val="16"/>
          <w:szCs w:val="16"/>
        </w:rPr>
        <w:t>South West</w:t>
      </w:r>
      <w:proofErr w:type="gramEnd"/>
      <w:r w:rsidRPr="00EA2D70">
        <w:rPr>
          <w:sz w:val="16"/>
          <w:szCs w:val="16"/>
        </w:rPr>
        <w:t xml:space="preserve"> </w:t>
      </w:r>
      <w:r w:rsidR="00E77D8A" w:rsidRPr="00EA2D70">
        <w:rPr>
          <w:sz w:val="16"/>
          <w:szCs w:val="16"/>
        </w:rPr>
        <w:t xml:space="preserve">region </w:t>
      </w:r>
      <w:proofErr w:type="gramStart"/>
      <w:r w:rsidR="00785816" w:rsidRPr="00EA2D70">
        <w:rPr>
          <w:sz w:val="16"/>
          <w:szCs w:val="16"/>
        </w:rPr>
        <w:t>were</w:t>
      </w:r>
      <w:proofErr w:type="gramEnd"/>
      <w:r w:rsidR="00785816" w:rsidRPr="00EA2D70">
        <w:rPr>
          <w:sz w:val="16"/>
          <w:szCs w:val="16"/>
        </w:rPr>
        <w:t xml:space="preserve"> </w:t>
      </w:r>
      <w:r w:rsidR="006C4688" w:rsidRPr="00EA2D70">
        <w:rPr>
          <w:sz w:val="16"/>
          <w:szCs w:val="16"/>
        </w:rPr>
        <w:t xml:space="preserve">for </w:t>
      </w:r>
      <w:r w:rsidR="00ED7CB9" w:rsidRPr="00EA2D70">
        <w:rPr>
          <w:sz w:val="16"/>
          <w:szCs w:val="16"/>
        </w:rPr>
        <w:t>sales assistants and salespersons (1</w:t>
      </w:r>
      <w:r w:rsidR="00A45EED" w:rsidRPr="00EA2D70">
        <w:rPr>
          <w:sz w:val="16"/>
          <w:szCs w:val="16"/>
        </w:rPr>
        <w:t>10</w:t>
      </w:r>
      <w:r w:rsidR="00ED7CB9" w:rsidRPr="00EA2D70">
        <w:rPr>
          <w:sz w:val="16"/>
          <w:szCs w:val="16"/>
        </w:rPr>
        <w:t xml:space="preserve">) and </w:t>
      </w:r>
      <w:r w:rsidR="00935D3B" w:rsidRPr="00EA2D70">
        <w:rPr>
          <w:sz w:val="16"/>
          <w:szCs w:val="16"/>
        </w:rPr>
        <w:t>automotive and engineering trades workers (</w:t>
      </w:r>
      <w:r w:rsidR="00ED7CB9" w:rsidRPr="00EA2D70">
        <w:rPr>
          <w:sz w:val="16"/>
          <w:szCs w:val="16"/>
        </w:rPr>
        <w:t>9</w:t>
      </w:r>
      <w:r w:rsidR="00A22817" w:rsidRPr="00EA2D70">
        <w:rPr>
          <w:sz w:val="16"/>
          <w:szCs w:val="16"/>
        </w:rPr>
        <w:t>8</w:t>
      </w:r>
      <w:r w:rsidR="00935D3B" w:rsidRPr="00EA2D70">
        <w:rPr>
          <w:sz w:val="16"/>
          <w:szCs w:val="16"/>
        </w:rPr>
        <w:t>)</w:t>
      </w:r>
    </w:p>
    <w:p w14:paraId="5AD286A8" w14:textId="2D31EC40" w:rsidR="00567061" w:rsidRPr="00EA2D70" w:rsidRDefault="0001173C" w:rsidP="00217B9F">
      <w:pPr>
        <w:pStyle w:val="ListParagraph"/>
        <w:numPr>
          <w:ilvl w:val="1"/>
          <w:numId w:val="9"/>
        </w:numPr>
        <w:spacing w:before="40" w:after="40"/>
        <w:ind w:right="227"/>
        <w:contextualSpacing w:val="0"/>
        <w:jc w:val="both"/>
        <w:rPr>
          <w:sz w:val="16"/>
          <w:szCs w:val="16"/>
        </w:rPr>
        <w:sectPr w:rsidR="00567061" w:rsidRPr="00EA2D70" w:rsidSect="00233755">
          <w:type w:val="continuous"/>
          <w:pgSz w:w="11907" w:h="16840" w:code="9"/>
          <w:pgMar w:top="1701" w:right="425" w:bottom="567" w:left="567" w:header="709" w:footer="709" w:gutter="0"/>
          <w:cols w:num="2" w:space="113"/>
          <w:docGrid w:linePitch="360"/>
        </w:sectPr>
      </w:pPr>
      <w:r w:rsidRPr="00EA2D70">
        <w:rPr>
          <w:sz w:val="16"/>
          <w:szCs w:val="16"/>
        </w:rPr>
        <w:t>Goldfields</w:t>
      </w:r>
      <w:r w:rsidR="00EF2CC9" w:rsidRPr="00EA2D70">
        <w:rPr>
          <w:sz w:val="16"/>
          <w:szCs w:val="16"/>
        </w:rPr>
        <w:t xml:space="preserve"> </w:t>
      </w:r>
      <w:r w:rsidR="00785816" w:rsidRPr="00EA2D70">
        <w:rPr>
          <w:sz w:val="16"/>
          <w:szCs w:val="16"/>
        </w:rPr>
        <w:t>&amp;</w:t>
      </w:r>
      <w:r w:rsidR="00EF2CC9" w:rsidRPr="00EA2D70">
        <w:rPr>
          <w:sz w:val="16"/>
          <w:szCs w:val="16"/>
        </w:rPr>
        <w:t xml:space="preserve"> Southern </w:t>
      </w:r>
      <w:r w:rsidR="00E77D8A" w:rsidRPr="00EA2D70">
        <w:rPr>
          <w:sz w:val="16"/>
          <w:szCs w:val="16"/>
        </w:rPr>
        <w:t xml:space="preserve">region </w:t>
      </w:r>
      <w:r w:rsidR="00785816" w:rsidRPr="00EA2D70">
        <w:rPr>
          <w:sz w:val="16"/>
          <w:szCs w:val="16"/>
        </w:rPr>
        <w:t xml:space="preserve">were </w:t>
      </w:r>
      <w:r w:rsidR="00EF2CC9" w:rsidRPr="00EA2D70">
        <w:rPr>
          <w:sz w:val="16"/>
          <w:szCs w:val="16"/>
        </w:rPr>
        <w:t>for automotive and engineering trades workers (2</w:t>
      </w:r>
      <w:r w:rsidR="0096707B" w:rsidRPr="00EA2D70">
        <w:rPr>
          <w:sz w:val="16"/>
          <w:szCs w:val="16"/>
        </w:rPr>
        <w:t>44</w:t>
      </w:r>
      <w:r w:rsidR="00EF2CC9" w:rsidRPr="00EA2D70">
        <w:rPr>
          <w:sz w:val="16"/>
          <w:szCs w:val="16"/>
        </w:rPr>
        <w:t>)</w:t>
      </w:r>
      <w:bookmarkEnd w:id="30"/>
      <w:r w:rsidR="000A382D" w:rsidRPr="00EA2D70">
        <w:rPr>
          <w:sz w:val="16"/>
          <w:szCs w:val="16"/>
        </w:rPr>
        <w:t>.</w:t>
      </w:r>
    </w:p>
    <w:p w14:paraId="5984C128"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Unemployment rate by region</w:t>
      </w:r>
    </w:p>
    <w:p w14:paraId="54F30B79" w14:textId="0B097D72" w:rsidR="00233755" w:rsidRPr="007B1AE5" w:rsidRDefault="002B7C5D" w:rsidP="00233755">
      <w:r>
        <w:rPr>
          <w:noProof/>
        </w:rPr>
        <w:drawing>
          <wp:inline distT="0" distB="0" distL="0" distR="0" wp14:anchorId="16CD3E88" wp14:editId="6E5AC56C">
            <wp:extent cx="3395345" cy="2091282"/>
            <wp:effectExtent l="0" t="0" r="0" b="4445"/>
            <wp:docPr id="1110049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98734" cy="2093369"/>
                    </a:xfrm>
                    <a:prstGeom prst="rect">
                      <a:avLst/>
                    </a:prstGeom>
                    <a:noFill/>
                    <a:ln>
                      <a:noFill/>
                    </a:ln>
                  </pic:spPr>
                </pic:pic>
              </a:graphicData>
            </a:graphic>
          </wp:inline>
        </w:drawing>
      </w:r>
    </w:p>
    <w:p w14:paraId="0B0C0909" w14:textId="77777777" w:rsidR="00233755" w:rsidRPr="00635C58" w:rsidRDefault="00233755" w:rsidP="00233755">
      <w:pPr>
        <w:jc w:val="both"/>
        <w:rPr>
          <w:sz w:val="10"/>
        </w:rPr>
      </w:pPr>
      <w:r w:rsidRPr="00635C58">
        <w:rPr>
          <w:sz w:val="10"/>
        </w:rPr>
        <w:t>Note – Smoothed seasonally adjusted series. Development commission regions.</w:t>
      </w:r>
    </w:p>
    <w:p w14:paraId="67C35D35" w14:textId="77777777" w:rsidR="00233755" w:rsidRDefault="00233755" w:rsidP="00233755">
      <w:pPr>
        <w:jc w:val="both"/>
        <w:rPr>
          <w:sz w:val="10"/>
          <w:szCs w:val="10"/>
        </w:rPr>
      </w:pPr>
      <w:r w:rsidRPr="00635C58">
        <w:rPr>
          <w:sz w:val="10"/>
        </w:rPr>
        <w:t>Source: Jobs and Skills Australia</w:t>
      </w:r>
      <w:r w:rsidRPr="00AF759E">
        <w:rPr>
          <w:sz w:val="10"/>
          <w:szCs w:val="10"/>
        </w:rPr>
        <w:t>.</w:t>
      </w:r>
    </w:p>
    <w:p w14:paraId="2220081D" w14:textId="1DB9F5A7" w:rsidR="00233755" w:rsidRPr="00EA2D70"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bookmarkStart w:id="31" w:name="_Hlk194604257"/>
      <w:r w:rsidR="004615E7" w:rsidRPr="00EA2D70">
        <w:rPr>
          <w:sz w:val="16"/>
          <w:szCs w:val="16"/>
        </w:rPr>
        <w:t>T</w:t>
      </w:r>
      <w:r w:rsidRPr="00EA2D70">
        <w:rPr>
          <w:sz w:val="16"/>
          <w:szCs w:val="16"/>
        </w:rPr>
        <w:t xml:space="preserve">he unemployment rate was </w:t>
      </w:r>
      <w:r w:rsidR="005834A0" w:rsidRPr="00EA2D70">
        <w:rPr>
          <w:sz w:val="16"/>
          <w:szCs w:val="16"/>
        </w:rPr>
        <w:t xml:space="preserve">below </w:t>
      </w:r>
      <w:r w:rsidRPr="00EA2D70">
        <w:rPr>
          <w:sz w:val="16"/>
          <w:szCs w:val="16"/>
        </w:rPr>
        <w:t xml:space="preserve">4% across Western Australia’s regions in the </w:t>
      </w:r>
      <w:r w:rsidR="0074500B" w:rsidRPr="00EA2D70">
        <w:rPr>
          <w:sz w:val="16"/>
          <w:szCs w:val="16"/>
        </w:rPr>
        <w:t>June</w:t>
      </w:r>
      <w:r w:rsidRPr="00EA2D70">
        <w:rPr>
          <w:sz w:val="16"/>
          <w:szCs w:val="16"/>
        </w:rPr>
        <w:t xml:space="preserve"> quarter 202</w:t>
      </w:r>
      <w:r w:rsidR="001A127C" w:rsidRPr="00EA2D70">
        <w:rPr>
          <w:sz w:val="16"/>
          <w:szCs w:val="16"/>
        </w:rPr>
        <w:t>5</w:t>
      </w:r>
      <w:r w:rsidRPr="00EA2D70">
        <w:rPr>
          <w:sz w:val="16"/>
          <w:szCs w:val="16"/>
        </w:rPr>
        <w:t xml:space="preserve">, </w:t>
      </w:r>
      <w:proofErr w:type="gramStart"/>
      <w:r w:rsidRPr="00EA2D70">
        <w:rPr>
          <w:sz w:val="16"/>
          <w:szCs w:val="16"/>
        </w:rPr>
        <w:t>with the exception of</w:t>
      </w:r>
      <w:proofErr w:type="gramEnd"/>
      <w:r w:rsidRPr="00EA2D70">
        <w:rPr>
          <w:sz w:val="16"/>
          <w:szCs w:val="16"/>
        </w:rPr>
        <w:t xml:space="preserve"> the </w:t>
      </w:r>
      <w:proofErr w:type="spellStart"/>
      <w:r w:rsidR="005834A0" w:rsidRPr="00EA2D70">
        <w:rPr>
          <w:sz w:val="16"/>
          <w:szCs w:val="16"/>
        </w:rPr>
        <w:t>Gascyone</w:t>
      </w:r>
      <w:proofErr w:type="spellEnd"/>
      <w:r w:rsidR="005834A0" w:rsidRPr="00EA2D70">
        <w:rPr>
          <w:sz w:val="16"/>
          <w:szCs w:val="16"/>
        </w:rPr>
        <w:t xml:space="preserve"> and </w:t>
      </w:r>
      <w:r w:rsidRPr="00EA2D70">
        <w:rPr>
          <w:sz w:val="16"/>
          <w:szCs w:val="16"/>
        </w:rPr>
        <w:t>Kimberley region</w:t>
      </w:r>
      <w:r w:rsidR="005834A0" w:rsidRPr="00EA2D70">
        <w:rPr>
          <w:sz w:val="16"/>
          <w:szCs w:val="16"/>
        </w:rPr>
        <w:t>s</w:t>
      </w:r>
      <w:r w:rsidRPr="00EA2D70">
        <w:rPr>
          <w:sz w:val="16"/>
          <w:szCs w:val="16"/>
        </w:rPr>
        <w:t>.</w:t>
      </w:r>
    </w:p>
    <w:p w14:paraId="349B02F0" w14:textId="0B5C9FEC" w:rsidR="00C14F0E" w:rsidRPr="00EA2D70" w:rsidRDefault="00233755" w:rsidP="006058E8">
      <w:pPr>
        <w:pStyle w:val="ListParagraph"/>
        <w:numPr>
          <w:ilvl w:val="0"/>
          <w:numId w:val="9"/>
        </w:numPr>
        <w:spacing w:before="40" w:after="40"/>
        <w:ind w:right="227" w:hanging="357"/>
        <w:contextualSpacing w:val="0"/>
        <w:jc w:val="both"/>
        <w:rPr>
          <w:sz w:val="16"/>
          <w:szCs w:val="16"/>
        </w:rPr>
      </w:pPr>
      <w:r w:rsidRPr="00EA2D70">
        <w:rPr>
          <w:sz w:val="16"/>
          <w:szCs w:val="16"/>
        </w:rPr>
        <w:t>The</w:t>
      </w:r>
      <w:r w:rsidR="005834A0" w:rsidRPr="00EA2D70">
        <w:rPr>
          <w:sz w:val="16"/>
          <w:szCs w:val="16"/>
        </w:rPr>
        <w:t>re</w:t>
      </w:r>
      <w:r w:rsidRPr="00EA2D70">
        <w:rPr>
          <w:sz w:val="16"/>
          <w:szCs w:val="16"/>
        </w:rPr>
        <w:t xml:space="preserve"> </w:t>
      </w:r>
      <w:r w:rsidR="005834A0" w:rsidRPr="00EA2D70">
        <w:rPr>
          <w:sz w:val="16"/>
          <w:szCs w:val="16"/>
        </w:rPr>
        <w:t xml:space="preserve">were </w:t>
      </w:r>
      <w:r w:rsidR="00B47E90" w:rsidRPr="00EA2D70">
        <w:rPr>
          <w:sz w:val="16"/>
          <w:szCs w:val="16"/>
        </w:rPr>
        <w:t>m</w:t>
      </w:r>
      <w:r w:rsidR="0068051B" w:rsidRPr="00EA2D70">
        <w:rPr>
          <w:sz w:val="16"/>
          <w:szCs w:val="16"/>
        </w:rPr>
        <w:t>inimal</w:t>
      </w:r>
      <w:r w:rsidR="005834A0" w:rsidRPr="00EA2D70">
        <w:rPr>
          <w:sz w:val="16"/>
          <w:szCs w:val="16"/>
        </w:rPr>
        <w:t xml:space="preserve"> movements in the </w:t>
      </w:r>
      <w:r w:rsidRPr="00EA2D70">
        <w:rPr>
          <w:sz w:val="16"/>
          <w:szCs w:val="16"/>
        </w:rPr>
        <w:t>unemployment rate</w:t>
      </w:r>
      <w:r w:rsidR="005834A0" w:rsidRPr="00EA2D70">
        <w:rPr>
          <w:sz w:val="16"/>
          <w:szCs w:val="16"/>
        </w:rPr>
        <w:t>s</w:t>
      </w:r>
      <w:r w:rsidRPr="00EA2D70">
        <w:rPr>
          <w:sz w:val="16"/>
          <w:szCs w:val="16"/>
        </w:rPr>
        <w:t xml:space="preserve"> </w:t>
      </w:r>
      <w:r w:rsidR="005834A0" w:rsidRPr="00EA2D70">
        <w:rPr>
          <w:sz w:val="16"/>
          <w:szCs w:val="16"/>
        </w:rPr>
        <w:t>across</w:t>
      </w:r>
      <w:r w:rsidR="001E4304" w:rsidRPr="00EA2D70">
        <w:rPr>
          <w:sz w:val="16"/>
          <w:szCs w:val="16"/>
        </w:rPr>
        <w:t xml:space="preserve"> </w:t>
      </w:r>
      <w:r w:rsidRPr="00EA2D70">
        <w:rPr>
          <w:sz w:val="16"/>
          <w:szCs w:val="16"/>
        </w:rPr>
        <w:t xml:space="preserve">Western Australia’s regions in the </w:t>
      </w:r>
      <w:r w:rsidR="00C20BD6" w:rsidRPr="00EA2D70">
        <w:rPr>
          <w:sz w:val="16"/>
          <w:szCs w:val="16"/>
        </w:rPr>
        <w:t>June</w:t>
      </w:r>
      <w:r w:rsidRPr="00EA2D70">
        <w:rPr>
          <w:sz w:val="16"/>
          <w:szCs w:val="16"/>
        </w:rPr>
        <w:t xml:space="preserve"> quarter 202</w:t>
      </w:r>
      <w:r w:rsidR="001E4304" w:rsidRPr="00EA2D70">
        <w:rPr>
          <w:sz w:val="16"/>
          <w:szCs w:val="16"/>
        </w:rPr>
        <w:t>5</w:t>
      </w:r>
      <w:r w:rsidR="005A7F5D" w:rsidRPr="00EA2D70">
        <w:rPr>
          <w:sz w:val="16"/>
          <w:szCs w:val="16"/>
        </w:rPr>
        <w:t xml:space="preserve">. </w:t>
      </w:r>
    </w:p>
    <w:p w14:paraId="39CC8AE1" w14:textId="547C0D2F" w:rsidR="00C14F0E" w:rsidRPr="00EA2D70" w:rsidRDefault="00766E8B" w:rsidP="006058E8">
      <w:pPr>
        <w:pStyle w:val="ListParagraph"/>
        <w:numPr>
          <w:ilvl w:val="1"/>
          <w:numId w:val="9"/>
        </w:numPr>
        <w:spacing w:before="40" w:after="40"/>
        <w:ind w:right="227"/>
        <w:contextualSpacing w:val="0"/>
        <w:jc w:val="both"/>
        <w:rPr>
          <w:sz w:val="16"/>
          <w:szCs w:val="16"/>
        </w:rPr>
      </w:pPr>
      <w:r w:rsidRPr="00EA2D70">
        <w:rPr>
          <w:sz w:val="16"/>
          <w:szCs w:val="16"/>
        </w:rPr>
        <w:t>Most regions recorded a 0.1</w:t>
      </w:r>
      <w:r w:rsidR="006248A8" w:rsidRPr="00EA2D70">
        <w:rPr>
          <w:sz w:val="16"/>
          <w:szCs w:val="16"/>
        </w:rPr>
        <w:t> </w:t>
      </w:r>
      <w:r w:rsidRPr="00EA2D70">
        <w:rPr>
          <w:sz w:val="16"/>
          <w:szCs w:val="16"/>
        </w:rPr>
        <w:t xml:space="preserve">percentage point increase in </w:t>
      </w:r>
      <w:r w:rsidR="007C612B" w:rsidRPr="00EA2D70">
        <w:rPr>
          <w:sz w:val="16"/>
          <w:szCs w:val="16"/>
        </w:rPr>
        <w:t>the</w:t>
      </w:r>
      <w:r w:rsidRPr="00EA2D70">
        <w:rPr>
          <w:sz w:val="16"/>
          <w:szCs w:val="16"/>
        </w:rPr>
        <w:t xml:space="preserve"> unemployment rates</w:t>
      </w:r>
      <w:r w:rsidR="006248A8" w:rsidRPr="00EA2D70">
        <w:rPr>
          <w:sz w:val="16"/>
          <w:szCs w:val="16"/>
        </w:rPr>
        <w:t>.</w:t>
      </w:r>
      <w:r w:rsidR="002D618B" w:rsidRPr="00EA2D70">
        <w:rPr>
          <w:sz w:val="16"/>
          <w:szCs w:val="16"/>
        </w:rPr>
        <w:t xml:space="preserve"> </w:t>
      </w:r>
      <w:r w:rsidR="006248A8" w:rsidRPr="00EA2D70">
        <w:rPr>
          <w:sz w:val="16"/>
          <w:szCs w:val="16"/>
        </w:rPr>
        <w:t>T</w:t>
      </w:r>
      <w:r w:rsidR="002D618B" w:rsidRPr="00EA2D70">
        <w:rPr>
          <w:sz w:val="16"/>
          <w:szCs w:val="16"/>
        </w:rPr>
        <w:t xml:space="preserve">he </w:t>
      </w:r>
      <w:proofErr w:type="gramStart"/>
      <w:r w:rsidR="002D618B" w:rsidRPr="00EA2D70">
        <w:rPr>
          <w:sz w:val="16"/>
          <w:szCs w:val="16"/>
        </w:rPr>
        <w:t>South West</w:t>
      </w:r>
      <w:proofErr w:type="gramEnd"/>
      <w:r w:rsidR="002D618B" w:rsidRPr="00EA2D70">
        <w:rPr>
          <w:sz w:val="16"/>
          <w:szCs w:val="16"/>
        </w:rPr>
        <w:t xml:space="preserve"> region had th</w:t>
      </w:r>
      <w:r w:rsidR="001B4BC7" w:rsidRPr="00EA2D70">
        <w:rPr>
          <w:sz w:val="16"/>
          <w:szCs w:val="16"/>
        </w:rPr>
        <w:t>e largest increase</w:t>
      </w:r>
      <w:r w:rsidR="008967E7" w:rsidRPr="00EA2D70">
        <w:rPr>
          <w:sz w:val="16"/>
          <w:szCs w:val="16"/>
        </w:rPr>
        <w:t>,</w:t>
      </w:r>
      <w:r w:rsidR="001B4BC7" w:rsidRPr="00EA2D70">
        <w:rPr>
          <w:sz w:val="16"/>
          <w:szCs w:val="16"/>
        </w:rPr>
        <w:t xml:space="preserve"> </w:t>
      </w:r>
      <w:r w:rsidR="00F74819" w:rsidRPr="00EA2D70">
        <w:rPr>
          <w:sz w:val="16"/>
          <w:szCs w:val="16"/>
        </w:rPr>
        <w:t xml:space="preserve">rising from </w:t>
      </w:r>
      <w:r w:rsidR="001B4BC7" w:rsidRPr="00EA2D70">
        <w:rPr>
          <w:sz w:val="16"/>
          <w:szCs w:val="16"/>
        </w:rPr>
        <w:t>2.9% to 3.2%.</w:t>
      </w:r>
    </w:p>
    <w:p w14:paraId="622E9C16" w14:textId="7001BC94" w:rsidR="00233755" w:rsidRPr="00351882" w:rsidRDefault="000A382D" w:rsidP="006058E8">
      <w:pPr>
        <w:pStyle w:val="ListParagraph"/>
        <w:numPr>
          <w:ilvl w:val="0"/>
          <w:numId w:val="9"/>
        </w:numPr>
        <w:spacing w:before="40" w:after="40"/>
        <w:ind w:left="357" w:right="227" w:hanging="357"/>
        <w:contextualSpacing w:val="0"/>
        <w:jc w:val="both"/>
        <w:rPr>
          <w:sz w:val="16"/>
          <w:szCs w:val="16"/>
        </w:rPr>
      </w:pPr>
      <w:r w:rsidRPr="00351882">
        <w:rPr>
          <w:sz w:val="16"/>
          <w:szCs w:val="16"/>
        </w:rPr>
        <w:t>Although t</w:t>
      </w:r>
      <w:r w:rsidR="00A622D0" w:rsidRPr="00351882">
        <w:rPr>
          <w:sz w:val="16"/>
          <w:szCs w:val="16"/>
        </w:rPr>
        <w:t xml:space="preserve">he Kimberley has the highest unemployment rate of </w:t>
      </w:r>
      <w:r w:rsidR="00A622D0" w:rsidRPr="00EA2D70">
        <w:rPr>
          <w:sz w:val="16"/>
          <w:szCs w:val="16"/>
        </w:rPr>
        <w:t>Western Australia’s regions</w:t>
      </w:r>
      <w:r w:rsidRPr="00EA2D70">
        <w:rPr>
          <w:sz w:val="16"/>
          <w:szCs w:val="16"/>
        </w:rPr>
        <w:t>,</w:t>
      </w:r>
      <w:r w:rsidR="00A622D0" w:rsidRPr="00EA2D70">
        <w:rPr>
          <w:sz w:val="16"/>
          <w:szCs w:val="16"/>
        </w:rPr>
        <w:t xml:space="preserve"> </w:t>
      </w:r>
      <w:r w:rsidRPr="00EA2D70">
        <w:rPr>
          <w:sz w:val="16"/>
          <w:szCs w:val="16"/>
        </w:rPr>
        <w:t>its</w:t>
      </w:r>
      <w:r w:rsidR="00A622D0" w:rsidRPr="00EA2D70">
        <w:rPr>
          <w:sz w:val="16"/>
          <w:szCs w:val="16"/>
        </w:rPr>
        <w:t xml:space="preserve"> unemployment rate in the </w:t>
      </w:r>
      <w:r w:rsidR="00F93AFC" w:rsidRPr="00EA2D70">
        <w:rPr>
          <w:sz w:val="16"/>
          <w:szCs w:val="16"/>
        </w:rPr>
        <w:t>June</w:t>
      </w:r>
      <w:r w:rsidR="00A622D0" w:rsidRPr="00EA2D70">
        <w:rPr>
          <w:sz w:val="16"/>
          <w:szCs w:val="16"/>
        </w:rPr>
        <w:t xml:space="preserve"> quarter 2025 </w:t>
      </w:r>
      <w:r w:rsidRPr="00EA2D70">
        <w:rPr>
          <w:sz w:val="16"/>
          <w:szCs w:val="16"/>
        </w:rPr>
        <w:t xml:space="preserve">(9.8%) </w:t>
      </w:r>
      <w:r w:rsidR="00A622D0" w:rsidRPr="00EA2D70">
        <w:rPr>
          <w:sz w:val="16"/>
          <w:szCs w:val="16"/>
        </w:rPr>
        <w:t xml:space="preserve">was much lower than </w:t>
      </w:r>
      <w:r w:rsidRPr="00351882">
        <w:rPr>
          <w:sz w:val="16"/>
          <w:szCs w:val="16"/>
        </w:rPr>
        <w:t xml:space="preserve">it was </w:t>
      </w:r>
      <w:r w:rsidR="00A622D0" w:rsidRPr="00351882">
        <w:rPr>
          <w:sz w:val="16"/>
          <w:szCs w:val="16"/>
        </w:rPr>
        <w:t>prior to the COVID</w:t>
      </w:r>
      <w:r w:rsidR="00A622D0" w:rsidRPr="00351882">
        <w:rPr>
          <w:sz w:val="16"/>
          <w:szCs w:val="16"/>
        </w:rPr>
        <w:noBreakHyphen/>
        <w:t>19 pandemic (16.2% in the December quarter 2019).</w:t>
      </w:r>
    </w:p>
    <w:bookmarkEnd w:id="31"/>
    <w:p w14:paraId="3126E384" w14:textId="77777777" w:rsidR="00233755" w:rsidRPr="001E4304" w:rsidRDefault="00233755" w:rsidP="001E4304">
      <w:pPr>
        <w:jc w:val="both"/>
        <w:rPr>
          <w:sz w:val="16"/>
          <w:szCs w:val="16"/>
        </w:rPr>
        <w:sectPr w:rsidR="00233755" w:rsidRPr="001E4304" w:rsidSect="00233755">
          <w:type w:val="continuous"/>
          <w:pgSz w:w="11907" w:h="16840" w:code="9"/>
          <w:pgMar w:top="1701" w:right="425" w:bottom="567" w:left="567" w:header="709" w:footer="709" w:gutter="0"/>
          <w:cols w:num="2" w:space="113"/>
          <w:docGrid w:linePitch="360"/>
        </w:sectPr>
      </w:pPr>
    </w:p>
    <w:p w14:paraId="3BF30B88" w14:textId="77777777" w:rsidR="00233755" w:rsidRPr="00CF7CD6" w:rsidRDefault="00233755" w:rsidP="00233755">
      <w:pPr>
        <w:pStyle w:val="Heading4"/>
        <w:spacing w:before="120"/>
        <w:rPr>
          <w:i w:val="0"/>
          <w:iCs w:val="0"/>
          <w:color w:val="00997A"/>
          <w:sz w:val="20"/>
          <w:szCs w:val="20"/>
        </w:rPr>
      </w:pPr>
      <w:r w:rsidRPr="00CF7CD6">
        <w:rPr>
          <w:i w:val="0"/>
          <w:iCs w:val="0"/>
          <w:color w:val="00997A"/>
          <w:sz w:val="20"/>
          <w:szCs w:val="20"/>
        </w:rPr>
        <w:t>Building approvals per capita by region: 2023-24</w:t>
      </w:r>
    </w:p>
    <w:p w14:paraId="760E2C4E" w14:textId="77777777" w:rsidR="00233755" w:rsidRPr="003F304B" w:rsidRDefault="00233755" w:rsidP="00233755">
      <w:pPr>
        <w:sectPr w:rsidR="00233755" w:rsidRPr="003F304B" w:rsidSect="00233755">
          <w:type w:val="continuous"/>
          <w:pgSz w:w="11907" w:h="16840" w:code="9"/>
          <w:pgMar w:top="1701" w:right="425" w:bottom="567" w:left="567" w:header="709" w:footer="709" w:gutter="0"/>
          <w:cols w:space="720"/>
          <w:docGrid w:linePitch="360"/>
        </w:sectPr>
      </w:pPr>
    </w:p>
    <w:p w14:paraId="18C6AC9E" w14:textId="111295B8" w:rsidR="00233755" w:rsidRPr="007B1AE5" w:rsidRDefault="00D65644" w:rsidP="00233755">
      <w:pPr>
        <w:rPr>
          <w:rFonts w:eastAsiaTheme="majorEastAsia"/>
        </w:rPr>
      </w:pPr>
      <w:r>
        <w:rPr>
          <w:rFonts w:eastAsiaTheme="majorEastAsia"/>
          <w:noProof/>
        </w:rPr>
        <w:drawing>
          <wp:inline distT="0" distB="0" distL="0" distR="0" wp14:anchorId="276D44EC" wp14:editId="507E797A">
            <wp:extent cx="3234160" cy="1993186"/>
            <wp:effectExtent l="0" t="0" r="4445" b="7620"/>
            <wp:docPr id="5548567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4635" cy="1999642"/>
                    </a:xfrm>
                    <a:prstGeom prst="rect">
                      <a:avLst/>
                    </a:prstGeom>
                    <a:noFill/>
                    <a:ln>
                      <a:noFill/>
                    </a:ln>
                  </pic:spPr>
                </pic:pic>
              </a:graphicData>
            </a:graphic>
          </wp:inline>
        </w:drawing>
      </w:r>
    </w:p>
    <w:p w14:paraId="18D8DBAE" w14:textId="71A48D88" w:rsidR="00233755" w:rsidRPr="00CE11AC" w:rsidRDefault="00233755" w:rsidP="00233755">
      <w:pPr>
        <w:jc w:val="both"/>
        <w:rPr>
          <w:color w:val="000000" w:themeColor="text1"/>
          <w:sz w:val="10"/>
          <w:szCs w:val="10"/>
        </w:rPr>
      </w:pPr>
      <w:r w:rsidRPr="00CE11AC">
        <w:rPr>
          <w:color w:val="000000" w:themeColor="text1"/>
          <w:sz w:val="10"/>
        </w:rPr>
        <w:t xml:space="preserve">Note – </w:t>
      </w:r>
      <w:r w:rsidRPr="00CE11AC">
        <w:rPr>
          <w:color w:val="000000" w:themeColor="text1"/>
          <w:sz w:val="10"/>
          <w:szCs w:val="10"/>
        </w:rPr>
        <w:t xml:space="preserve">Current prices. Original series. Monthly series. </w:t>
      </w:r>
      <w:r w:rsidRPr="00CE11AC">
        <w:rPr>
          <w:color w:val="000000" w:themeColor="text1"/>
          <w:sz w:val="10"/>
        </w:rPr>
        <w:t>Development commission regions.</w:t>
      </w:r>
      <w:r w:rsidRPr="00CE11AC">
        <w:rPr>
          <w:color w:val="000000" w:themeColor="text1"/>
          <w:sz w:val="10"/>
          <w:szCs w:val="10"/>
        </w:rPr>
        <w:t xml:space="preserve"> (a) Residential building approvals for the construction of houses and apartments. (b) Non-residential building approvals for the construction of commercial buildings (retail/wholesale trade, transport, offices), industrial buildings (factories, warehouses, agriculture) and other non-residential buildings (education, religion, health, entertainment/recreation, short-term accommodation).</w:t>
      </w:r>
    </w:p>
    <w:p w14:paraId="5270511E" w14:textId="77777777" w:rsidR="00233755" w:rsidRPr="00AC7274" w:rsidRDefault="00233755" w:rsidP="00233755">
      <w:pPr>
        <w:jc w:val="both"/>
        <w:rPr>
          <w:sz w:val="10"/>
          <w:szCs w:val="10"/>
        </w:rPr>
      </w:pPr>
      <w:r w:rsidRPr="00AC7274">
        <w:rPr>
          <w:sz w:val="10"/>
          <w:szCs w:val="10"/>
        </w:rPr>
        <w:t>Source: Based on ABS data.</w:t>
      </w:r>
    </w:p>
    <w:p w14:paraId="39E4BA80" w14:textId="16DFFA22" w:rsidR="00233755" w:rsidRPr="00C5333F" w:rsidRDefault="00233755" w:rsidP="006058E8">
      <w:pPr>
        <w:pStyle w:val="ListParagraph"/>
        <w:numPr>
          <w:ilvl w:val="0"/>
          <w:numId w:val="9"/>
        </w:numPr>
        <w:spacing w:before="40" w:after="40"/>
        <w:ind w:left="0" w:right="227" w:hanging="284"/>
        <w:contextualSpacing w:val="0"/>
        <w:jc w:val="both"/>
        <w:rPr>
          <w:color w:val="000000" w:themeColor="text1"/>
          <w:sz w:val="16"/>
          <w:szCs w:val="16"/>
        </w:rPr>
      </w:pPr>
      <w:r w:rsidRPr="007B1AE5">
        <w:br w:type="column"/>
      </w:r>
      <w:bookmarkStart w:id="32" w:name="_Hlk194604338"/>
      <w:r w:rsidRPr="00C5333F">
        <w:rPr>
          <w:color w:val="000000" w:themeColor="text1"/>
          <w:sz w:val="16"/>
          <w:szCs w:val="16"/>
        </w:rPr>
        <w:t>The labour-intensive nature of the building industry means large parts of a region’s workforce are active when building activity is high. Building approvals can therefore provide a good indication of broader economic conditions across regional economies.</w:t>
      </w:r>
    </w:p>
    <w:p w14:paraId="16D388BC" w14:textId="19F164BD" w:rsidR="00233755" w:rsidRPr="00C5333F" w:rsidRDefault="007C7002" w:rsidP="006058E8">
      <w:pPr>
        <w:pStyle w:val="ListParagraph"/>
        <w:numPr>
          <w:ilvl w:val="1"/>
          <w:numId w:val="9"/>
        </w:numPr>
        <w:spacing w:before="40" w:after="40"/>
        <w:ind w:left="284" w:right="227" w:hanging="284"/>
        <w:contextualSpacing w:val="0"/>
        <w:jc w:val="both"/>
        <w:rPr>
          <w:color w:val="000000" w:themeColor="text1"/>
          <w:sz w:val="16"/>
          <w:szCs w:val="16"/>
        </w:rPr>
      </w:pPr>
      <w:r w:rsidRPr="00C5333F">
        <w:rPr>
          <w:color w:val="000000" w:themeColor="text1"/>
          <w:sz w:val="16"/>
          <w:szCs w:val="16"/>
        </w:rPr>
        <w:t>Comparing</w:t>
      </w:r>
      <w:r w:rsidR="00233755" w:rsidRPr="00C5333F">
        <w:rPr>
          <w:color w:val="000000" w:themeColor="text1"/>
          <w:sz w:val="16"/>
          <w:szCs w:val="16"/>
        </w:rPr>
        <w:t xml:space="preserve"> building approvals on a </w:t>
      </w:r>
      <w:r w:rsidR="006B18CE" w:rsidRPr="00C5333F">
        <w:rPr>
          <w:color w:val="000000" w:themeColor="text1"/>
          <w:sz w:val="16"/>
          <w:szCs w:val="16"/>
        </w:rPr>
        <w:t>per</w:t>
      </w:r>
      <w:r w:rsidRPr="00C5333F">
        <w:rPr>
          <w:color w:val="000000" w:themeColor="text1"/>
          <w:sz w:val="16"/>
          <w:szCs w:val="16"/>
        </w:rPr>
        <w:t> </w:t>
      </w:r>
      <w:r w:rsidR="006B18CE" w:rsidRPr="00C5333F">
        <w:rPr>
          <w:color w:val="000000" w:themeColor="text1"/>
          <w:sz w:val="16"/>
          <w:szCs w:val="16"/>
        </w:rPr>
        <w:t>capita basis account</w:t>
      </w:r>
      <w:r w:rsidRPr="00C5333F">
        <w:rPr>
          <w:color w:val="000000" w:themeColor="text1"/>
          <w:sz w:val="16"/>
          <w:szCs w:val="16"/>
        </w:rPr>
        <w:t>s</w:t>
      </w:r>
      <w:r w:rsidR="00233755" w:rsidRPr="00C5333F">
        <w:rPr>
          <w:color w:val="000000" w:themeColor="text1"/>
          <w:sz w:val="16"/>
          <w:szCs w:val="16"/>
        </w:rPr>
        <w:t xml:space="preserve"> for differences in regional populations and provides an indication of relative demand across regions.</w:t>
      </w:r>
    </w:p>
    <w:p w14:paraId="4C314BAB" w14:textId="77777777" w:rsidR="00233755" w:rsidRPr="00C5333F" w:rsidRDefault="00233755" w:rsidP="006058E8">
      <w:pPr>
        <w:pStyle w:val="ListParagraph"/>
        <w:numPr>
          <w:ilvl w:val="0"/>
          <w:numId w:val="9"/>
        </w:numPr>
        <w:spacing w:before="40" w:after="40"/>
        <w:ind w:left="0" w:right="227" w:hanging="284"/>
        <w:contextualSpacing w:val="0"/>
        <w:jc w:val="both"/>
        <w:rPr>
          <w:color w:val="000000" w:themeColor="text1"/>
          <w:sz w:val="16"/>
          <w:szCs w:val="16"/>
        </w:rPr>
      </w:pPr>
      <w:r w:rsidRPr="00C5333F">
        <w:rPr>
          <w:color w:val="000000" w:themeColor="text1"/>
          <w:sz w:val="16"/>
          <w:szCs w:val="16"/>
        </w:rPr>
        <w:t xml:space="preserve">In 2023-24, the value of residential building approvals per capita was highest in the Peel region ($4,404), followed by the Gascoyne ($3,421) and </w:t>
      </w:r>
      <w:proofErr w:type="gramStart"/>
      <w:r w:rsidRPr="00C5333F">
        <w:rPr>
          <w:color w:val="000000" w:themeColor="text1"/>
          <w:sz w:val="16"/>
          <w:szCs w:val="16"/>
        </w:rPr>
        <w:t>South West</w:t>
      </w:r>
      <w:proofErr w:type="gramEnd"/>
      <w:r w:rsidRPr="00C5333F">
        <w:rPr>
          <w:color w:val="000000" w:themeColor="text1"/>
          <w:sz w:val="16"/>
          <w:szCs w:val="16"/>
        </w:rPr>
        <w:t xml:space="preserve"> region ($3,162).</w:t>
      </w:r>
    </w:p>
    <w:p w14:paraId="1A30C1E1" w14:textId="23F0EE12" w:rsidR="00233755" w:rsidRPr="00C5333F" w:rsidRDefault="00233755" w:rsidP="006058E8">
      <w:pPr>
        <w:pStyle w:val="ListParagraph"/>
        <w:numPr>
          <w:ilvl w:val="0"/>
          <w:numId w:val="9"/>
        </w:numPr>
        <w:spacing w:before="40" w:after="40"/>
        <w:ind w:left="0" w:right="227" w:hanging="284"/>
        <w:contextualSpacing w:val="0"/>
        <w:jc w:val="both"/>
        <w:rPr>
          <w:color w:val="000000" w:themeColor="text1"/>
          <w:sz w:val="16"/>
          <w:szCs w:val="16"/>
        </w:rPr>
      </w:pPr>
      <w:r w:rsidRPr="00C5333F">
        <w:rPr>
          <w:color w:val="000000" w:themeColor="text1"/>
          <w:sz w:val="16"/>
          <w:szCs w:val="16"/>
        </w:rPr>
        <w:t>The value of non-residential building approvals per</w:t>
      </w:r>
      <w:r w:rsidR="008C3472" w:rsidRPr="00C5333F">
        <w:rPr>
          <w:color w:val="000000" w:themeColor="text1"/>
          <w:sz w:val="16"/>
          <w:szCs w:val="16"/>
        </w:rPr>
        <w:t> </w:t>
      </w:r>
      <w:r w:rsidRPr="00C5333F">
        <w:rPr>
          <w:color w:val="000000" w:themeColor="text1"/>
          <w:sz w:val="16"/>
          <w:szCs w:val="16"/>
        </w:rPr>
        <w:t>capita was extremely high in the Pilbara region ($9,766) in 2023-24, reflecting the industrial and commercial buildings needed to support the region’s large mining industry. The value of non-residential building approvals in the Pilbara region almost quadrupled to $593 million in 2023-24.</w:t>
      </w:r>
    </w:p>
    <w:bookmarkEnd w:id="32"/>
    <w:p w14:paraId="5B8A97A6" w14:textId="77777777" w:rsidR="00233755" w:rsidRPr="005A57BE" w:rsidRDefault="00233755" w:rsidP="006058E8">
      <w:pPr>
        <w:pStyle w:val="ListParagraph"/>
        <w:numPr>
          <w:ilvl w:val="0"/>
          <w:numId w:val="9"/>
        </w:numPr>
        <w:spacing w:before="40" w:after="40"/>
        <w:ind w:left="0" w:right="227" w:hanging="357"/>
        <w:contextualSpacing w:val="0"/>
        <w:jc w:val="both"/>
        <w:rPr>
          <w:color w:val="FF0000"/>
          <w:sz w:val="16"/>
          <w:szCs w:val="16"/>
        </w:rPr>
        <w:sectPr w:rsidR="00233755" w:rsidRPr="005A57BE" w:rsidSect="00233755">
          <w:type w:val="continuous"/>
          <w:pgSz w:w="11907" w:h="16840" w:code="9"/>
          <w:pgMar w:top="1701" w:right="425" w:bottom="567" w:left="567" w:header="709" w:footer="709" w:gutter="0"/>
          <w:cols w:num="2" w:space="720"/>
          <w:docGrid w:linePitch="360"/>
        </w:sectPr>
      </w:pPr>
    </w:p>
    <w:p w14:paraId="6EE89D02"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33" w:name="_International_trade_1"/>
      <w:bookmarkEnd w:id="33"/>
      <w:r w:rsidRPr="008F7AA0">
        <w:rPr>
          <w:bCs/>
          <w:color w:val="004C3D"/>
          <w:sz w:val="24"/>
          <w:szCs w:val="24"/>
        </w:rPr>
        <w:lastRenderedPageBreak/>
        <w:t>International trade</w:t>
      </w:r>
    </w:p>
    <w:p w14:paraId="6CDC5088"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5B0A6685"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Exports of goods</w:t>
      </w:r>
    </w:p>
    <w:p w14:paraId="390BD28F" w14:textId="4C6E549D" w:rsidR="00233755" w:rsidRPr="007B1AE5" w:rsidRDefault="001D6935" w:rsidP="00233755">
      <w:r>
        <w:rPr>
          <w:noProof/>
        </w:rPr>
        <w:drawing>
          <wp:inline distT="0" distB="0" distL="0" distR="0" wp14:anchorId="3FD35BA4" wp14:editId="2DB6ED85">
            <wp:extent cx="3401581" cy="2099388"/>
            <wp:effectExtent l="0" t="0" r="8890" b="0"/>
            <wp:docPr id="578792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14763" cy="2107524"/>
                    </a:xfrm>
                    <a:prstGeom prst="rect">
                      <a:avLst/>
                    </a:prstGeom>
                    <a:noFill/>
                    <a:ln>
                      <a:noFill/>
                    </a:ln>
                  </pic:spPr>
                </pic:pic>
              </a:graphicData>
            </a:graphic>
          </wp:inline>
        </w:drawing>
      </w:r>
    </w:p>
    <w:p w14:paraId="1599946A"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Free on board. Original series. 12</w:t>
      </w:r>
      <w:r>
        <w:rPr>
          <w:sz w:val="10"/>
          <w:szCs w:val="10"/>
        </w:rPr>
        <w:noBreakHyphen/>
      </w:r>
      <w:r w:rsidRPr="00AF759E">
        <w:rPr>
          <w:sz w:val="10"/>
          <w:szCs w:val="10"/>
        </w:rPr>
        <w:t xml:space="preserve">month rolling </w:t>
      </w:r>
      <w:r>
        <w:rPr>
          <w:sz w:val="10"/>
          <w:szCs w:val="10"/>
        </w:rPr>
        <w:t>sum</w:t>
      </w:r>
      <w:r w:rsidRPr="00AF759E">
        <w:rPr>
          <w:sz w:val="10"/>
          <w:szCs w:val="10"/>
        </w:rPr>
        <w:t>.</w:t>
      </w:r>
    </w:p>
    <w:p w14:paraId="3FDF5F87" w14:textId="77777777" w:rsidR="00233755" w:rsidRPr="00AF759E" w:rsidRDefault="00233755" w:rsidP="00233755">
      <w:pPr>
        <w:jc w:val="both"/>
        <w:rPr>
          <w:sz w:val="10"/>
          <w:szCs w:val="10"/>
        </w:rPr>
      </w:pPr>
      <w:r w:rsidRPr="00AF759E">
        <w:rPr>
          <w:sz w:val="10"/>
          <w:szCs w:val="10"/>
        </w:rPr>
        <w:t>Source: Based on ABS data.</w:t>
      </w:r>
    </w:p>
    <w:p w14:paraId="7760A0A5" w14:textId="666A0F7E" w:rsidR="00233755" w:rsidRPr="006B18CE"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6B18CE">
        <w:rPr>
          <w:sz w:val="16"/>
          <w:szCs w:val="16"/>
        </w:rPr>
        <w:t>The value of Western Australia’s exports increased</w:t>
      </w:r>
      <w:r w:rsidR="0036381E" w:rsidRPr="006B18CE">
        <w:rPr>
          <w:sz w:val="16"/>
          <w:szCs w:val="16"/>
        </w:rPr>
        <w:t xml:space="preserve"> significantly between 2016 and 2023</w:t>
      </w:r>
      <w:r w:rsidRPr="006B18CE">
        <w:rPr>
          <w:sz w:val="16"/>
          <w:szCs w:val="16"/>
        </w:rPr>
        <w:t>, driven by high prices for iron ore, liquefied natural gas, battery and critical minerals and grains. With the prices for these commodities returning to longer</w:t>
      </w:r>
      <w:r w:rsidRPr="006B18CE">
        <w:rPr>
          <w:sz w:val="16"/>
          <w:szCs w:val="16"/>
        </w:rPr>
        <w:noBreakHyphen/>
        <w:t>term averages, the value of Western Australia’s exports has fallen from its peak.</w:t>
      </w:r>
    </w:p>
    <w:p w14:paraId="50FFDBA4" w14:textId="56EED3E5" w:rsidR="00233755" w:rsidRPr="00EA2D70" w:rsidRDefault="00233755" w:rsidP="006058E8">
      <w:pPr>
        <w:pStyle w:val="ListParagraph"/>
        <w:numPr>
          <w:ilvl w:val="0"/>
          <w:numId w:val="9"/>
        </w:numPr>
        <w:spacing w:before="40" w:after="40"/>
        <w:ind w:left="357" w:right="227" w:hanging="357"/>
        <w:contextualSpacing w:val="0"/>
        <w:jc w:val="both"/>
        <w:rPr>
          <w:sz w:val="16"/>
          <w:szCs w:val="16"/>
        </w:rPr>
      </w:pPr>
      <w:r w:rsidRPr="00EA2D70">
        <w:rPr>
          <w:sz w:val="16"/>
          <w:szCs w:val="16"/>
        </w:rPr>
        <w:t>Western Australia exported $</w:t>
      </w:r>
      <w:r w:rsidR="002D49F7" w:rsidRPr="00EA2D70">
        <w:rPr>
          <w:sz w:val="16"/>
          <w:szCs w:val="16"/>
        </w:rPr>
        <w:t>23</w:t>
      </w:r>
      <w:r w:rsidR="00DD67D5" w:rsidRPr="00EA2D70">
        <w:rPr>
          <w:sz w:val="16"/>
          <w:szCs w:val="16"/>
        </w:rPr>
        <w:t>3.3</w:t>
      </w:r>
      <w:r w:rsidRPr="00EA2D70">
        <w:rPr>
          <w:sz w:val="16"/>
          <w:szCs w:val="16"/>
        </w:rPr>
        <w:t xml:space="preserve"> billion of goods in the year to </w:t>
      </w:r>
      <w:r w:rsidR="00DD67D5" w:rsidRPr="00EA2D70">
        <w:rPr>
          <w:sz w:val="16"/>
          <w:szCs w:val="16"/>
        </w:rPr>
        <w:t>August</w:t>
      </w:r>
      <w:r w:rsidRPr="00EA2D70">
        <w:rPr>
          <w:sz w:val="16"/>
          <w:szCs w:val="16"/>
        </w:rPr>
        <w:t xml:space="preserve"> 2025, </w:t>
      </w:r>
      <w:r w:rsidR="00E60B3F" w:rsidRPr="00EA2D70">
        <w:rPr>
          <w:sz w:val="16"/>
          <w:szCs w:val="16"/>
        </w:rPr>
        <w:t>4.7</w:t>
      </w:r>
      <w:r w:rsidR="00993D98" w:rsidRPr="00EA2D70">
        <w:rPr>
          <w:sz w:val="16"/>
          <w:szCs w:val="16"/>
        </w:rPr>
        <w:t xml:space="preserve">% </w:t>
      </w:r>
      <w:r w:rsidR="0086153B" w:rsidRPr="00EA2D70">
        <w:rPr>
          <w:sz w:val="16"/>
          <w:szCs w:val="16"/>
        </w:rPr>
        <w:t>less</w:t>
      </w:r>
      <w:r w:rsidRPr="00EA2D70">
        <w:rPr>
          <w:sz w:val="16"/>
          <w:szCs w:val="16"/>
        </w:rPr>
        <w:t xml:space="preserve"> than in the year to </w:t>
      </w:r>
      <w:r w:rsidR="00E60B3F" w:rsidRPr="00EA2D70">
        <w:rPr>
          <w:sz w:val="16"/>
          <w:szCs w:val="16"/>
        </w:rPr>
        <w:t>August</w:t>
      </w:r>
      <w:r w:rsidRPr="00EA2D70">
        <w:rPr>
          <w:sz w:val="16"/>
          <w:szCs w:val="16"/>
        </w:rPr>
        <w:t> 2024.</w:t>
      </w:r>
    </w:p>
    <w:p w14:paraId="029A0C9B" w14:textId="280B0DF9" w:rsidR="00233755" w:rsidRPr="00EA2D70" w:rsidRDefault="00233755" w:rsidP="006058E8">
      <w:pPr>
        <w:pStyle w:val="ListParagraph"/>
        <w:numPr>
          <w:ilvl w:val="0"/>
          <w:numId w:val="9"/>
        </w:numPr>
        <w:spacing w:before="40" w:after="40"/>
        <w:ind w:left="357" w:right="227" w:hanging="357"/>
        <w:contextualSpacing w:val="0"/>
        <w:jc w:val="both"/>
        <w:rPr>
          <w:sz w:val="16"/>
          <w:szCs w:val="16"/>
        </w:rPr>
      </w:pPr>
      <w:r w:rsidRPr="00EA2D70">
        <w:rPr>
          <w:sz w:val="16"/>
          <w:szCs w:val="16"/>
        </w:rPr>
        <w:t xml:space="preserve">In the year to </w:t>
      </w:r>
      <w:r w:rsidR="00250F2F" w:rsidRPr="00EA2D70">
        <w:rPr>
          <w:sz w:val="16"/>
          <w:szCs w:val="16"/>
        </w:rPr>
        <w:t>August</w:t>
      </w:r>
      <w:r w:rsidRPr="00EA2D70">
        <w:rPr>
          <w:sz w:val="16"/>
          <w:szCs w:val="16"/>
        </w:rPr>
        <w:t> 2025, the value of exports of:</w:t>
      </w:r>
    </w:p>
    <w:p w14:paraId="6AE24A9B" w14:textId="1DA37C32" w:rsidR="00233755" w:rsidRPr="00EA2D70" w:rsidRDefault="00233755" w:rsidP="006058E8">
      <w:pPr>
        <w:pStyle w:val="ListParagraph"/>
        <w:numPr>
          <w:ilvl w:val="0"/>
          <w:numId w:val="10"/>
        </w:numPr>
        <w:spacing w:before="40" w:after="40"/>
        <w:ind w:right="227" w:hanging="357"/>
        <w:contextualSpacing w:val="0"/>
        <w:jc w:val="both"/>
        <w:rPr>
          <w:sz w:val="16"/>
          <w:szCs w:val="16"/>
        </w:rPr>
      </w:pPr>
      <w:r w:rsidRPr="00EA2D70">
        <w:rPr>
          <w:sz w:val="16"/>
          <w:szCs w:val="16"/>
        </w:rPr>
        <w:t>iron ore was $</w:t>
      </w:r>
      <w:r w:rsidR="00250F2F" w:rsidRPr="00EA2D70">
        <w:rPr>
          <w:sz w:val="16"/>
          <w:szCs w:val="16"/>
        </w:rPr>
        <w:t>115.2</w:t>
      </w:r>
      <w:r w:rsidRPr="00EA2D70">
        <w:rPr>
          <w:sz w:val="16"/>
          <w:szCs w:val="16"/>
        </w:rPr>
        <w:t xml:space="preserve"> billion, </w:t>
      </w:r>
      <w:r w:rsidR="0086153B" w:rsidRPr="00EA2D70">
        <w:rPr>
          <w:sz w:val="16"/>
          <w:szCs w:val="16"/>
        </w:rPr>
        <w:t>1</w:t>
      </w:r>
      <w:r w:rsidR="006C3AC2" w:rsidRPr="00EA2D70">
        <w:rPr>
          <w:sz w:val="16"/>
          <w:szCs w:val="16"/>
        </w:rPr>
        <w:t>3.8</w:t>
      </w:r>
      <w:r w:rsidRPr="00EA2D70">
        <w:rPr>
          <w:sz w:val="16"/>
          <w:szCs w:val="16"/>
        </w:rPr>
        <w:t xml:space="preserve">% less than in the year to </w:t>
      </w:r>
      <w:r w:rsidR="006C3AC2" w:rsidRPr="00EA2D70">
        <w:rPr>
          <w:sz w:val="16"/>
          <w:szCs w:val="16"/>
        </w:rPr>
        <w:t>August</w:t>
      </w:r>
      <w:r w:rsidRPr="00EA2D70">
        <w:rPr>
          <w:sz w:val="16"/>
          <w:szCs w:val="16"/>
        </w:rPr>
        <w:t> 2024</w:t>
      </w:r>
    </w:p>
    <w:p w14:paraId="06551446" w14:textId="5811A71C" w:rsidR="00233755" w:rsidRPr="00EA2D70" w:rsidRDefault="008C3472" w:rsidP="006058E8">
      <w:pPr>
        <w:pStyle w:val="ListParagraph"/>
        <w:numPr>
          <w:ilvl w:val="0"/>
          <w:numId w:val="10"/>
        </w:numPr>
        <w:spacing w:before="40" w:after="40"/>
        <w:ind w:right="227" w:hanging="357"/>
        <w:contextualSpacing w:val="0"/>
        <w:jc w:val="both"/>
        <w:rPr>
          <w:sz w:val="16"/>
          <w:szCs w:val="16"/>
        </w:rPr>
      </w:pPr>
      <w:r w:rsidRPr="00EA2D70">
        <w:rPr>
          <w:sz w:val="16"/>
          <w:szCs w:val="16"/>
        </w:rPr>
        <w:t>all other commodities</w:t>
      </w:r>
      <w:r w:rsidR="00233755" w:rsidRPr="00EA2D70">
        <w:rPr>
          <w:sz w:val="16"/>
          <w:szCs w:val="16"/>
        </w:rPr>
        <w:t xml:space="preserve"> </w:t>
      </w:r>
      <w:proofErr w:type="gramStart"/>
      <w:r w:rsidR="00233755" w:rsidRPr="00EA2D70">
        <w:rPr>
          <w:sz w:val="16"/>
          <w:szCs w:val="16"/>
        </w:rPr>
        <w:t>was</w:t>
      </w:r>
      <w:proofErr w:type="gramEnd"/>
      <w:r w:rsidR="00233755" w:rsidRPr="00EA2D70">
        <w:rPr>
          <w:sz w:val="16"/>
          <w:szCs w:val="16"/>
        </w:rPr>
        <w:t xml:space="preserve"> $</w:t>
      </w:r>
      <w:r w:rsidR="006C3AC2" w:rsidRPr="00EA2D70">
        <w:rPr>
          <w:sz w:val="16"/>
          <w:szCs w:val="16"/>
        </w:rPr>
        <w:t>118.2</w:t>
      </w:r>
      <w:r w:rsidR="00233755" w:rsidRPr="00EA2D70">
        <w:rPr>
          <w:sz w:val="16"/>
          <w:szCs w:val="16"/>
        </w:rPr>
        <w:t> billion</w:t>
      </w:r>
      <w:r w:rsidR="00391643" w:rsidRPr="00EA2D70">
        <w:rPr>
          <w:sz w:val="16"/>
          <w:szCs w:val="16"/>
        </w:rPr>
        <w:t xml:space="preserve">, </w:t>
      </w:r>
      <w:r w:rsidR="006C3AC2" w:rsidRPr="00EA2D70">
        <w:rPr>
          <w:sz w:val="16"/>
          <w:szCs w:val="16"/>
        </w:rPr>
        <w:t>6.2</w:t>
      </w:r>
      <w:r w:rsidR="00233755" w:rsidRPr="00EA2D70">
        <w:rPr>
          <w:sz w:val="16"/>
          <w:szCs w:val="16"/>
        </w:rPr>
        <w:t xml:space="preserve">% </w:t>
      </w:r>
      <w:r w:rsidR="00583B4E" w:rsidRPr="00EA2D70">
        <w:rPr>
          <w:sz w:val="16"/>
          <w:szCs w:val="16"/>
        </w:rPr>
        <w:t xml:space="preserve">more </w:t>
      </w:r>
      <w:r w:rsidR="00233755" w:rsidRPr="00EA2D70">
        <w:rPr>
          <w:sz w:val="16"/>
          <w:szCs w:val="16"/>
        </w:rPr>
        <w:t xml:space="preserve">than in the year to </w:t>
      </w:r>
      <w:r w:rsidR="006C3AC2" w:rsidRPr="00EA2D70">
        <w:rPr>
          <w:sz w:val="16"/>
          <w:szCs w:val="16"/>
        </w:rPr>
        <w:t>August</w:t>
      </w:r>
      <w:r w:rsidR="00233755" w:rsidRPr="00EA2D70">
        <w:rPr>
          <w:sz w:val="16"/>
          <w:szCs w:val="16"/>
        </w:rPr>
        <w:t> 2024</w:t>
      </w:r>
      <w:r w:rsidR="007C7002" w:rsidRPr="00EA2D70">
        <w:rPr>
          <w:sz w:val="16"/>
          <w:szCs w:val="16"/>
        </w:rPr>
        <w:t>.</w:t>
      </w:r>
    </w:p>
    <w:p w14:paraId="08F7847F" w14:textId="77777777" w:rsidR="00233755" w:rsidRPr="00B36A1B" w:rsidRDefault="00233755" w:rsidP="006058E8">
      <w:pPr>
        <w:pStyle w:val="ListParagraph"/>
        <w:numPr>
          <w:ilvl w:val="0"/>
          <w:numId w:val="9"/>
        </w:numPr>
        <w:spacing w:before="40" w:after="40"/>
        <w:ind w:left="357" w:right="227" w:hanging="357"/>
        <w:contextualSpacing w:val="0"/>
        <w:jc w:val="both"/>
        <w:rPr>
          <w:sz w:val="16"/>
          <w:szCs w:val="16"/>
        </w:rPr>
      </w:pPr>
      <w:r w:rsidRPr="00DC4955">
        <w:rPr>
          <w:color w:val="000000" w:themeColor="text1"/>
          <w:sz w:val="16"/>
          <w:szCs w:val="16"/>
        </w:rPr>
        <w:t xml:space="preserve">The peak value of Western </w:t>
      </w:r>
      <w:r w:rsidRPr="00B36A1B">
        <w:rPr>
          <w:sz w:val="16"/>
          <w:szCs w:val="16"/>
        </w:rPr>
        <w:t>Australia’s exports over a 12</w:t>
      </w:r>
      <w:r w:rsidRPr="00B36A1B">
        <w:rPr>
          <w:sz w:val="16"/>
          <w:szCs w:val="16"/>
        </w:rPr>
        <w:noBreakHyphen/>
        <w:t>month period was $272.1 billion in April 2023. The peak value of Western Australia’s iron ore exports over a 12</w:t>
      </w:r>
      <w:r w:rsidRPr="00B36A1B">
        <w:rPr>
          <w:sz w:val="16"/>
          <w:szCs w:val="16"/>
        </w:rPr>
        <w:noBreakHyphen/>
        <w:t>month period was $162.2 billion in September 2021.</w:t>
      </w:r>
    </w:p>
    <w:p w14:paraId="1AA29F0E" w14:textId="77777777" w:rsidR="00233755" w:rsidRPr="00C161D9" w:rsidRDefault="00233755" w:rsidP="006058E8">
      <w:pPr>
        <w:pStyle w:val="ListParagraph"/>
        <w:numPr>
          <w:ilvl w:val="0"/>
          <w:numId w:val="9"/>
        </w:numPr>
        <w:rPr>
          <w:sz w:val="16"/>
          <w:szCs w:val="16"/>
        </w:rPr>
        <w:sectPr w:rsidR="00233755" w:rsidRPr="00C161D9" w:rsidSect="00233755">
          <w:type w:val="continuous"/>
          <w:pgSz w:w="11907" w:h="16840" w:code="9"/>
          <w:pgMar w:top="1701" w:right="425" w:bottom="567" w:left="567" w:header="709" w:footer="709" w:gutter="0"/>
          <w:cols w:num="2" w:space="113"/>
          <w:docGrid w:linePitch="360"/>
        </w:sectPr>
      </w:pPr>
    </w:p>
    <w:p w14:paraId="6BBCA849"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Imports of goods</w:t>
      </w:r>
    </w:p>
    <w:p w14:paraId="3F90EE4F" w14:textId="3F5E35FE" w:rsidR="00233755" w:rsidRPr="007B1AE5" w:rsidRDefault="001258BD" w:rsidP="00233755">
      <w:r>
        <w:rPr>
          <w:noProof/>
        </w:rPr>
        <w:drawing>
          <wp:inline distT="0" distB="0" distL="0" distR="0" wp14:anchorId="7FAA058E" wp14:editId="0E7AC704">
            <wp:extent cx="3415004" cy="2107672"/>
            <wp:effectExtent l="0" t="0" r="0" b="6985"/>
            <wp:docPr id="28523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7102" cy="2115138"/>
                    </a:xfrm>
                    <a:prstGeom prst="rect">
                      <a:avLst/>
                    </a:prstGeom>
                    <a:noFill/>
                    <a:ln>
                      <a:noFill/>
                    </a:ln>
                  </pic:spPr>
                </pic:pic>
              </a:graphicData>
            </a:graphic>
          </wp:inline>
        </w:drawing>
      </w:r>
    </w:p>
    <w:p w14:paraId="361314DB" w14:textId="77777777" w:rsidR="00233755" w:rsidRPr="003E33BA" w:rsidRDefault="00233755" w:rsidP="00233755">
      <w:pPr>
        <w:jc w:val="both"/>
        <w:rPr>
          <w:sz w:val="10"/>
          <w:szCs w:val="10"/>
        </w:rPr>
      </w:pPr>
      <w:r w:rsidRPr="003E33BA">
        <w:rPr>
          <w:sz w:val="10"/>
        </w:rPr>
        <w:t xml:space="preserve">Note – </w:t>
      </w:r>
      <w:r w:rsidRPr="003E33BA">
        <w:rPr>
          <w:sz w:val="10"/>
          <w:szCs w:val="10"/>
        </w:rPr>
        <w:t>Current prices. Customs value. Original series. 12-month rolling sum. The large increase in the value of imports in 2017 was due largely to the arrival of the Prelude floating LNG plant. (a) Includes road vehicles. (b) Petroleum, petroleum products and other mineral fuels. (c) For further refining at the Perth Mint</w:t>
      </w:r>
      <w:r w:rsidRPr="0088348E">
        <w:rPr>
          <w:color w:val="FF0000"/>
          <w:sz w:val="10"/>
          <w:szCs w:val="10"/>
        </w:rPr>
        <w:t>.</w:t>
      </w:r>
    </w:p>
    <w:p w14:paraId="1513EC54" w14:textId="77777777" w:rsidR="00233755" w:rsidRPr="003E33BA" w:rsidRDefault="00233755" w:rsidP="00233755">
      <w:pPr>
        <w:jc w:val="both"/>
        <w:rPr>
          <w:sz w:val="10"/>
          <w:szCs w:val="10"/>
        </w:rPr>
      </w:pPr>
      <w:r w:rsidRPr="003E33BA">
        <w:rPr>
          <w:sz w:val="10"/>
          <w:szCs w:val="10"/>
        </w:rPr>
        <w:t>Source: Based on ABS data.</w:t>
      </w:r>
    </w:p>
    <w:p w14:paraId="385E1308" w14:textId="45C073FD" w:rsidR="00233755" w:rsidRPr="00E32F9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7274">
        <w:rPr>
          <w:sz w:val="16"/>
          <w:szCs w:val="16"/>
        </w:rPr>
        <w:t xml:space="preserve">The value of Western Australia’s imports increased significantly in 2022, driven by the higher oil price. Although a fall in the oil price has led to a reduction in the value of petroleum imports, </w:t>
      </w:r>
      <w:r w:rsidRPr="00E32F95">
        <w:rPr>
          <w:sz w:val="16"/>
          <w:szCs w:val="16"/>
        </w:rPr>
        <w:t>higher prices and increased demand for a range of other goods ha</w:t>
      </w:r>
      <w:r w:rsidR="0086153B" w:rsidRPr="00E32F95">
        <w:rPr>
          <w:sz w:val="16"/>
          <w:szCs w:val="16"/>
        </w:rPr>
        <w:t>s</w:t>
      </w:r>
      <w:r w:rsidRPr="00E32F95">
        <w:rPr>
          <w:sz w:val="16"/>
          <w:szCs w:val="16"/>
        </w:rPr>
        <w:t xml:space="preserve"> </w:t>
      </w:r>
      <w:r w:rsidR="0086153B" w:rsidRPr="00E32F95">
        <w:rPr>
          <w:sz w:val="16"/>
          <w:szCs w:val="16"/>
        </w:rPr>
        <w:t>kept</w:t>
      </w:r>
      <w:r w:rsidRPr="00E32F95">
        <w:rPr>
          <w:sz w:val="16"/>
          <w:szCs w:val="16"/>
        </w:rPr>
        <w:t xml:space="preserve"> </w:t>
      </w:r>
      <w:r w:rsidR="0086153B" w:rsidRPr="00E32F95">
        <w:rPr>
          <w:sz w:val="16"/>
          <w:szCs w:val="16"/>
        </w:rPr>
        <w:t xml:space="preserve">the </w:t>
      </w:r>
      <w:r w:rsidRPr="00E32F95">
        <w:rPr>
          <w:sz w:val="16"/>
          <w:szCs w:val="16"/>
        </w:rPr>
        <w:t>total value of Western Australia’s imports</w:t>
      </w:r>
      <w:r w:rsidR="0086153B" w:rsidRPr="00E32F95">
        <w:rPr>
          <w:sz w:val="16"/>
          <w:szCs w:val="16"/>
        </w:rPr>
        <w:t xml:space="preserve"> at a high level</w:t>
      </w:r>
      <w:r w:rsidRPr="00E32F95">
        <w:rPr>
          <w:sz w:val="16"/>
          <w:szCs w:val="16"/>
        </w:rPr>
        <w:t>.</w:t>
      </w:r>
    </w:p>
    <w:p w14:paraId="0C0CDC72" w14:textId="15BCEF97" w:rsidR="00233755" w:rsidRPr="00EA2D70" w:rsidRDefault="00233755" w:rsidP="006058E8">
      <w:pPr>
        <w:pStyle w:val="ListParagraph"/>
        <w:numPr>
          <w:ilvl w:val="0"/>
          <w:numId w:val="9"/>
        </w:numPr>
        <w:spacing w:before="40" w:after="40"/>
        <w:ind w:left="357" w:right="227" w:hanging="357"/>
        <w:contextualSpacing w:val="0"/>
        <w:jc w:val="both"/>
        <w:rPr>
          <w:sz w:val="16"/>
          <w:szCs w:val="16"/>
        </w:rPr>
      </w:pPr>
      <w:r w:rsidRPr="00EA2D70">
        <w:rPr>
          <w:sz w:val="16"/>
          <w:szCs w:val="16"/>
        </w:rPr>
        <w:t>Western Australia imported $</w:t>
      </w:r>
      <w:r w:rsidR="00AE6A4B" w:rsidRPr="00EA2D70">
        <w:rPr>
          <w:sz w:val="16"/>
          <w:szCs w:val="16"/>
        </w:rPr>
        <w:t>51.</w:t>
      </w:r>
      <w:r w:rsidR="00E32F95" w:rsidRPr="00EA2D70">
        <w:rPr>
          <w:sz w:val="16"/>
          <w:szCs w:val="16"/>
        </w:rPr>
        <w:t>6</w:t>
      </w:r>
      <w:r w:rsidRPr="00EA2D70">
        <w:rPr>
          <w:sz w:val="16"/>
          <w:szCs w:val="16"/>
        </w:rPr>
        <w:t xml:space="preserve"> billion of goods in the year to </w:t>
      </w:r>
      <w:r w:rsidR="00E32F95" w:rsidRPr="00EA2D70">
        <w:rPr>
          <w:sz w:val="16"/>
          <w:szCs w:val="16"/>
        </w:rPr>
        <w:t>August</w:t>
      </w:r>
      <w:r w:rsidRPr="00EA2D70">
        <w:rPr>
          <w:sz w:val="16"/>
          <w:szCs w:val="16"/>
        </w:rPr>
        <w:t> 2025, a</w:t>
      </w:r>
      <w:r w:rsidR="00E33D6B" w:rsidRPr="00EA2D70">
        <w:rPr>
          <w:sz w:val="16"/>
          <w:szCs w:val="16"/>
        </w:rPr>
        <w:t xml:space="preserve"> fall</w:t>
      </w:r>
      <w:r w:rsidRPr="00EA2D70">
        <w:rPr>
          <w:sz w:val="16"/>
          <w:szCs w:val="16"/>
        </w:rPr>
        <w:t xml:space="preserve"> of </w:t>
      </w:r>
      <w:r w:rsidR="00E32F95" w:rsidRPr="00EA2D70">
        <w:rPr>
          <w:sz w:val="16"/>
          <w:szCs w:val="16"/>
        </w:rPr>
        <w:t>0.6</w:t>
      </w:r>
      <w:r w:rsidR="0086153B" w:rsidRPr="00EA2D70">
        <w:rPr>
          <w:sz w:val="16"/>
          <w:szCs w:val="16"/>
        </w:rPr>
        <w:t>%</w:t>
      </w:r>
      <w:r w:rsidRPr="00EA2D70">
        <w:rPr>
          <w:sz w:val="16"/>
          <w:szCs w:val="16"/>
        </w:rPr>
        <w:t xml:space="preserve"> from the year to </w:t>
      </w:r>
      <w:r w:rsidR="00AF7A5B" w:rsidRPr="00EA2D70">
        <w:rPr>
          <w:sz w:val="16"/>
          <w:szCs w:val="16"/>
        </w:rPr>
        <w:t>August</w:t>
      </w:r>
      <w:r w:rsidRPr="00EA2D70">
        <w:rPr>
          <w:sz w:val="16"/>
          <w:szCs w:val="16"/>
        </w:rPr>
        <w:t> 2024.</w:t>
      </w:r>
    </w:p>
    <w:p w14:paraId="6471C047" w14:textId="7E2AE809" w:rsidR="00233755" w:rsidRPr="00EA2D70" w:rsidRDefault="00233755" w:rsidP="006058E8">
      <w:pPr>
        <w:pStyle w:val="ListParagraph"/>
        <w:numPr>
          <w:ilvl w:val="0"/>
          <w:numId w:val="9"/>
        </w:numPr>
        <w:spacing w:before="40" w:after="40"/>
        <w:ind w:left="357" w:right="227" w:hanging="357"/>
        <w:contextualSpacing w:val="0"/>
        <w:jc w:val="both"/>
        <w:rPr>
          <w:sz w:val="16"/>
          <w:szCs w:val="16"/>
        </w:rPr>
      </w:pPr>
      <w:r w:rsidRPr="00EA2D70">
        <w:rPr>
          <w:sz w:val="16"/>
          <w:szCs w:val="16"/>
        </w:rPr>
        <w:t xml:space="preserve">In the year to </w:t>
      </w:r>
      <w:r w:rsidR="00AF7A5B" w:rsidRPr="00EA2D70">
        <w:rPr>
          <w:sz w:val="16"/>
          <w:szCs w:val="16"/>
        </w:rPr>
        <w:t>August</w:t>
      </w:r>
      <w:r w:rsidRPr="00EA2D70">
        <w:rPr>
          <w:sz w:val="16"/>
          <w:szCs w:val="16"/>
        </w:rPr>
        <w:t> 2025, the value of imports of:</w:t>
      </w:r>
    </w:p>
    <w:p w14:paraId="7AEA4CD7" w14:textId="61556080" w:rsidR="00233755" w:rsidRPr="00EA2D70" w:rsidRDefault="00233755" w:rsidP="006058E8">
      <w:pPr>
        <w:pStyle w:val="ListParagraph"/>
        <w:numPr>
          <w:ilvl w:val="0"/>
          <w:numId w:val="10"/>
        </w:numPr>
        <w:spacing w:before="40" w:after="40"/>
        <w:ind w:right="227" w:hanging="357"/>
        <w:contextualSpacing w:val="0"/>
        <w:jc w:val="both"/>
        <w:rPr>
          <w:sz w:val="16"/>
          <w:szCs w:val="16"/>
        </w:rPr>
      </w:pPr>
      <w:r w:rsidRPr="00EA2D70">
        <w:rPr>
          <w:sz w:val="16"/>
          <w:szCs w:val="16"/>
        </w:rPr>
        <w:t>machinery and transport equipment was $20.</w:t>
      </w:r>
      <w:r w:rsidR="00AF7A5B" w:rsidRPr="00EA2D70">
        <w:rPr>
          <w:sz w:val="16"/>
          <w:szCs w:val="16"/>
        </w:rPr>
        <w:t>4</w:t>
      </w:r>
      <w:r w:rsidRPr="00EA2D70">
        <w:rPr>
          <w:sz w:val="16"/>
          <w:szCs w:val="16"/>
        </w:rPr>
        <w:t xml:space="preserve"> billion, </w:t>
      </w:r>
      <w:r w:rsidR="0086153B" w:rsidRPr="00EA2D70">
        <w:rPr>
          <w:sz w:val="16"/>
          <w:szCs w:val="16"/>
        </w:rPr>
        <w:t>0.</w:t>
      </w:r>
      <w:r w:rsidR="00AF7A5B" w:rsidRPr="00EA2D70">
        <w:rPr>
          <w:sz w:val="16"/>
          <w:szCs w:val="16"/>
        </w:rPr>
        <w:t>3</w:t>
      </w:r>
      <w:r w:rsidRPr="00EA2D70">
        <w:rPr>
          <w:sz w:val="16"/>
          <w:szCs w:val="16"/>
        </w:rPr>
        <w:t xml:space="preserve">% </w:t>
      </w:r>
      <w:r w:rsidR="0086153B" w:rsidRPr="00EA2D70">
        <w:rPr>
          <w:sz w:val="16"/>
          <w:szCs w:val="16"/>
        </w:rPr>
        <w:t>more</w:t>
      </w:r>
      <w:r w:rsidRPr="00EA2D70">
        <w:rPr>
          <w:sz w:val="16"/>
          <w:szCs w:val="16"/>
        </w:rPr>
        <w:t xml:space="preserve"> than in the year to </w:t>
      </w:r>
      <w:r w:rsidR="0024750F" w:rsidRPr="00EA2D70">
        <w:rPr>
          <w:sz w:val="16"/>
          <w:szCs w:val="16"/>
        </w:rPr>
        <w:t xml:space="preserve">August </w:t>
      </w:r>
      <w:r w:rsidRPr="00EA2D70">
        <w:rPr>
          <w:sz w:val="16"/>
          <w:szCs w:val="16"/>
        </w:rPr>
        <w:t>2024</w:t>
      </w:r>
    </w:p>
    <w:p w14:paraId="0992C746" w14:textId="7BAD6269" w:rsidR="00233755" w:rsidRPr="00EA2D70" w:rsidRDefault="00233755" w:rsidP="006058E8">
      <w:pPr>
        <w:pStyle w:val="ListParagraph"/>
        <w:numPr>
          <w:ilvl w:val="0"/>
          <w:numId w:val="10"/>
        </w:numPr>
        <w:spacing w:before="40" w:after="40"/>
        <w:ind w:right="227" w:hanging="357"/>
        <w:contextualSpacing w:val="0"/>
        <w:jc w:val="both"/>
        <w:rPr>
          <w:sz w:val="16"/>
          <w:szCs w:val="16"/>
        </w:rPr>
      </w:pPr>
      <w:r w:rsidRPr="00EA2D70">
        <w:rPr>
          <w:sz w:val="16"/>
          <w:szCs w:val="16"/>
        </w:rPr>
        <w:t>petroleum was $</w:t>
      </w:r>
      <w:r w:rsidR="00AF1EB0" w:rsidRPr="00EA2D70">
        <w:rPr>
          <w:sz w:val="16"/>
          <w:szCs w:val="16"/>
        </w:rPr>
        <w:t>9.</w:t>
      </w:r>
      <w:r w:rsidR="0024750F" w:rsidRPr="00EA2D70">
        <w:rPr>
          <w:sz w:val="16"/>
          <w:szCs w:val="16"/>
        </w:rPr>
        <w:t>8</w:t>
      </w:r>
      <w:r w:rsidRPr="00EA2D70">
        <w:rPr>
          <w:sz w:val="16"/>
          <w:szCs w:val="16"/>
        </w:rPr>
        <w:t xml:space="preserve"> billion, </w:t>
      </w:r>
      <w:r w:rsidR="0086153B" w:rsidRPr="00EA2D70">
        <w:rPr>
          <w:sz w:val="16"/>
          <w:szCs w:val="16"/>
        </w:rPr>
        <w:t>1</w:t>
      </w:r>
      <w:r w:rsidR="0024750F" w:rsidRPr="00EA2D70">
        <w:rPr>
          <w:sz w:val="16"/>
          <w:szCs w:val="16"/>
        </w:rPr>
        <w:t>3.8</w:t>
      </w:r>
      <w:r w:rsidRPr="00EA2D70">
        <w:rPr>
          <w:sz w:val="16"/>
          <w:szCs w:val="16"/>
        </w:rPr>
        <w:t xml:space="preserve">% less than in the year to </w:t>
      </w:r>
      <w:r w:rsidR="0024750F" w:rsidRPr="00EA2D70">
        <w:rPr>
          <w:sz w:val="16"/>
          <w:szCs w:val="16"/>
        </w:rPr>
        <w:t>August</w:t>
      </w:r>
      <w:r w:rsidR="00064E3C" w:rsidRPr="00EA2D70">
        <w:rPr>
          <w:sz w:val="16"/>
          <w:szCs w:val="16"/>
        </w:rPr>
        <w:t> </w:t>
      </w:r>
      <w:r w:rsidRPr="00EA2D70">
        <w:rPr>
          <w:sz w:val="16"/>
          <w:szCs w:val="16"/>
        </w:rPr>
        <w:t>2024</w:t>
      </w:r>
    </w:p>
    <w:p w14:paraId="5EF382F2" w14:textId="370F71C1" w:rsidR="00233755" w:rsidRPr="00EA2D70" w:rsidRDefault="00233755" w:rsidP="006058E8">
      <w:pPr>
        <w:pStyle w:val="ListParagraph"/>
        <w:numPr>
          <w:ilvl w:val="0"/>
          <w:numId w:val="10"/>
        </w:numPr>
        <w:spacing w:before="40" w:after="40"/>
        <w:ind w:right="227" w:hanging="357"/>
        <w:contextualSpacing w:val="0"/>
        <w:jc w:val="both"/>
        <w:rPr>
          <w:sz w:val="16"/>
          <w:szCs w:val="16"/>
        </w:rPr>
      </w:pPr>
      <w:r w:rsidRPr="00EA2D70">
        <w:rPr>
          <w:sz w:val="16"/>
          <w:szCs w:val="16"/>
        </w:rPr>
        <w:t>non-monetary gold was $</w:t>
      </w:r>
      <w:r w:rsidR="00AF1EB0" w:rsidRPr="00EA2D70">
        <w:rPr>
          <w:sz w:val="16"/>
          <w:szCs w:val="16"/>
        </w:rPr>
        <w:t>4.</w:t>
      </w:r>
      <w:r w:rsidR="000217C5" w:rsidRPr="00EA2D70">
        <w:rPr>
          <w:sz w:val="16"/>
          <w:szCs w:val="16"/>
        </w:rPr>
        <w:t>2</w:t>
      </w:r>
      <w:r w:rsidRPr="00EA2D70">
        <w:rPr>
          <w:sz w:val="16"/>
          <w:szCs w:val="16"/>
        </w:rPr>
        <w:t xml:space="preserve"> billion, </w:t>
      </w:r>
      <w:r w:rsidR="0086153B" w:rsidRPr="00EA2D70">
        <w:rPr>
          <w:sz w:val="16"/>
          <w:szCs w:val="16"/>
        </w:rPr>
        <w:t>1</w:t>
      </w:r>
      <w:r w:rsidR="000217C5" w:rsidRPr="00EA2D70">
        <w:rPr>
          <w:sz w:val="16"/>
          <w:szCs w:val="16"/>
        </w:rPr>
        <w:t>7.4</w:t>
      </w:r>
      <w:r w:rsidRPr="00EA2D70">
        <w:rPr>
          <w:sz w:val="16"/>
          <w:szCs w:val="16"/>
        </w:rPr>
        <w:t xml:space="preserve">% </w:t>
      </w:r>
      <w:r w:rsidR="0086153B" w:rsidRPr="00EA2D70">
        <w:rPr>
          <w:sz w:val="16"/>
          <w:szCs w:val="16"/>
        </w:rPr>
        <w:t>more</w:t>
      </w:r>
      <w:r w:rsidRPr="00EA2D70">
        <w:rPr>
          <w:sz w:val="16"/>
          <w:szCs w:val="16"/>
        </w:rPr>
        <w:t xml:space="preserve"> than in the year to </w:t>
      </w:r>
      <w:r w:rsidR="000217C5" w:rsidRPr="00EA2D70">
        <w:rPr>
          <w:sz w:val="16"/>
          <w:szCs w:val="16"/>
        </w:rPr>
        <w:t>August</w:t>
      </w:r>
      <w:r w:rsidR="00064E3C" w:rsidRPr="00EA2D70">
        <w:rPr>
          <w:sz w:val="16"/>
          <w:szCs w:val="16"/>
        </w:rPr>
        <w:t> </w:t>
      </w:r>
      <w:r w:rsidRPr="00EA2D70">
        <w:rPr>
          <w:sz w:val="16"/>
          <w:szCs w:val="16"/>
        </w:rPr>
        <w:t>2024</w:t>
      </w:r>
    </w:p>
    <w:p w14:paraId="3EF378CC" w14:textId="2C5B7E47" w:rsidR="00233755" w:rsidRPr="00EA2D70" w:rsidRDefault="00233755" w:rsidP="006058E8">
      <w:pPr>
        <w:pStyle w:val="ListParagraph"/>
        <w:numPr>
          <w:ilvl w:val="0"/>
          <w:numId w:val="10"/>
        </w:numPr>
        <w:spacing w:before="40" w:after="40"/>
        <w:ind w:right="227" w:hanging="357"/>
        <w:contextualSpacing w:val="0"/>
        <w:jc w:val="both"/>
        <w:rPr>
          <w:sz w:val="16"/>
          <w:szCs w:val="16"/>
        </w:rPr>
      </w:pPr>
      <w:r w:rsidRPr="00EA2D70">
        <w:rPr>
          <w:sz w:val="16"/>
          <w:szCs w:val="16"/>
        </w:rPr>
        <w:t xml:space="preserve">chemicals </w:t>
      </w:r>
      <w:proofErr w:type="gramStart"/>
      <w:r w:rsidRPr="00EA2D70">
        <w:rPr>
          <w:sz w:val="16"/>
          <w:szCs w:val="16"/>
        </w:rPr>
        <w:t>was</w:t>
      </w:r>
      <w:proofErr w:type="gramEnd"/>
      <w:r w:rsidRPr="00EA2D70">
        <w:rPr>
          <w:sz w:val="16"/>
          <w:szCs w:val="16"/>
        </w:rPr>
        <w:t xml:space="preserve"> $</w:t>
      </w:r>
      <w:r w:rsidR="00827805" w:rsidRPr="00EA2D70">
        <w:rPr>
          <w:sz w:val="16"/>
          <w:szCs w:val="16"/>
        </w:rPr>
        <w:t>4.1</w:t>
      </w:r>
      <w:r w:rsidRPr="00EA2D70">
        <w:rPr>
          <w:sz w:val="16"/>
          <w:szCs w:val="16"/>
        </w:rPr>
        <w:t xml:space="preserve"> billion, </w:t>
      </w:r>
      <w:r w:rsidR="00641808" w:rsidRPr="00EA2D70">
        <w:rPr>
          <w:sz w:val="16"/>
          <w:szCs w:val="16"/>
        </w:rPr>
        <w:t>1</w:t>
      </w:r>
      <w:r w:rsidR="005319C0" w:rsidRPr="00EA2D70">
        <w:rPr>
          <w:sz w:val="16"/>
          <w:szCs w:val="16"/>
        </w:rPr>
        <w:t>8.1</w:t>
      </w:r>
      <w:r w:rsidRPr="00EA2D70">
        <w:rPr>
          <w:sz w:val="16"/>
          <w:szCs w:val="16"/>
        </w:rPr>
        <w:t xml:space="preserve">% </w:t>
      </w:r>
      <w:r w:rsidR="00641808" w:rsidRPr="00EA2D70">
        <w:rPr>
          <w:sz w:val="16"/>
          <w:szCs w:val="16"/>
        </w:rPr>
        <w:t>more</w:t>
      </w:r>
      <w:r w:rsidRPr="00EA2D70">
        <w:rPr>
          <w:sz w:val="16"/>
          <w:szCs w:val="16"/>
        </w:rPr>
        <w:t xml:space="preserve"> than in the year to </w:t>
      </w:r>
      <w:r w:rsidR="005319C0" w:rsidRPr="00EA2D70">
        <w:rPr>
          <w:sz w:val="16"/>
          <w:szCs w:val="16"/>
        </w:rPr>
        <w:t>August</w:t>
      </w:r>
      <w:r w:rsidR="00064E3C" w:rsidRPr="00EA2D70">
        <w:rPr>
          <w:sz w:val="16"/>
          <w:szCs w:val="16"/>
        </w:rPr>
        <w:t> </w:t>
      </w:r>
      <w:r w:rsidRPr="00EA2D70">
        <w:rPr>
          <w:sz w:val="16"/>
          <w:szCs w:val="16"/>
        </w:rPr>
        <w:t>2024</w:t>
      </w:r>
    </w:p>
    <w:p w14:paraId="1D6DFFC1" w14:textId="7E464522" w:rsidR="00233755" w:rsidRPr="00EA2D70" w:rsidRDefault="00233755" w:rsidP="006058E8">
      <w:pPr>
        <w:pStyle w:val="ListParagraph"/>
        <w:numPr>
          <w:ilvl w:val="0"/>
          <w:numId w:val="10"/>
        </w:numPr>
        <w:spacing w:before="40" w:after="40"/>
        <w:ind w:right="227" w:hanging="357"/>
        <w:contextualSpacing w:val="0"/>
        <w:jc w:val="both"/>
        <w:rPr>
          <w:sz w:val="16"/>
          <w:szCs w:val="16"/>
        </w:rPr>
      </w:pPr>
      <w:r w:rsidRPr="00EA2D70">
        <w:rPr>
          <w:sz w:val="16"/>
          <w:szCs w:val="16"/>
        </w:rPr>
        <w:t xml:space="preserve">food and live animals </w:t>
      </w:r>
      <w:proofErr w:type="gramStart"/>
      <w:r w:rsidRPr="00EA2D70">
        <w:rPr>
          <w:sz w:val="16"/>
          <w:szCs w:val="16"/>
        </w:rPr>
        <w:t>was</w:t>
      </w:r>
      <w:proofErr w:type="gramEnd"/>
      <w:r w:rsidRPr="00EA2D70">
        <w:rPr>
          <w:sz w:val="16"/>
          <w:szCs w:val="16"/>
        </w:rPr>
        <w:t xml:space="preserve"> $1.2 billion, </w:t>
      </w:r>
      <w:r w:rsidR="00641808" w:rsidRPr="00EA2D70">
        <w:rPr>
          <w:sz w:val="16"/>
          <w:szCs w:val="16"/>
        </w:rPr>
        <w:t>1</w:t>
      </w:r>
      <w:r w:rsidR="005319C0" w:rsidRPr="00EA2D70">
        <w:rPr>
          <w:sz w:val="16"/>
          <w:szCs w:val="16"/>
        </w:rPr>
        <w:t>0.6</w:t>
      </w:r>
      <w:r w:rsidRPr="00EA2D70">
        <w:rPr>
          <w:sz w:val="16"/>
          <w:szCs w:val="16"/>
        </w:rPr>
        <w:t xml:space="preserve">% more than in the year to </w:t>
      </w:r>
      <w:r w:rsidR="005319C0" w:rsidRPr="00EA2D70">
        <w:rPr>
          <w:sz w:val="16"/>
          <w:szCs w:val="16"/>
        </w:rPr>
        <w:t>August</w:t>
      </w:r>
      <w:r w:rsidR="00064E3C" w:rsidRPr="00EA2D70">
        <w:rPr>
          <w:sz w:val="16"/>
          <w:szCs w:val="16"/>
        </w:rPr>
        <w:t> </w:t>
      </w:r>
      <w:r w:rsidRPr="00EA2D70">
        <w:rPr>
          <w:sz w:val="16"/>
          <w:szCs w:val="16"/>
        </w:rPr>
        <w:t>2024.</w:t>
      </w:r>
    </w:p>
    <w:p w14:paraId="1FF95A32" w14:textId="77777777" w:rsidR="00233755" w:rsidRPr="004325A2" w:rsidRDefault="00233755" w:rsidP="006058E8">
      <w:pPr>
        <w:pStyle w:val="ListParagraph"/>
        <w:numPr>
          <w:ilvl w:val="0"/>
          <w:numId w:val="9"/>
        </w:numPr>
        <w:rPr>
          <w:sz w:val="16"/>
          <w:szCs w:val="16"/>
        </w:rPr>
        <w:sectPr w:rsidR="00233755" w:rsidRPr="004325A2" w:rsidSect="00233755">
          <w:type w:val="continuous"/>
          <w:pgSz w:w="11907" w:h="16840" w:code="9"/>
          <w:pgMar w:top="1701" w:right="425" w:bottom="567" w:left="567" w:header="709" w:footer="709" w:gutter="0"/>
          <w:cols w:num="2" w:space="113"/>
          <w:docGrid w:linePitch="360"/>
        </w:sectPr>
      </w:pPr>
    </w:p>
    <w:p w14:paraId="3C05E3CA"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Shipping freight rates</w:t>
      </w:r>
    </w:p>
    <w:p w14:paraId="49009BFE" w14:textId="345BA556" w:rsidR="00233755" w:rsidRPr="007B1AE5" w:rsidRDefault="003E074E" w:rsidP="00233755">
      <w:pPr>
        <w:rPr>
          <w:rFonts w:eastAsiaTheme="majorEastAsia"/>
        </w:rPr>
      </w:pPr>
      <w:r>
        <w:rPr>
          <w:rFonts w:eastAsiaTheme="majorEastAsia"/>
          <w:noProof/>
        </w:rPr>
        <w:drawing>
          <wp:inline distT="0" distB="0" distL="0" distR="0" wp14:anchorId="5D9F2F4F" wp14:editId="23A5EDA2">
            <wp:extent cx="3420000" cy="2108435"/>
            <wp:effectExtent l="0" t="0" r="9525" b="6350"/>
            <wp:docPr id="825461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0000" cy="2108435"/>
                    </a:xfrm>
                    <a:prstGeom prst="rect">
                      <a:avLst/>
                    </a:prstGeom>
                    <a:noFill/>
                    <a:ln>
                      <a:noFill/>
                    </a:ln>
                  </pic:spPr>
                </pic:pic>
              </a:graphicData>
            </a:graphic>
          </wp:inline>
        </w:drawing>
      </w:r>
    </w:p>
    <w:p w14:paraId="376D306C" w14:textId="0EB2D4C8" w:rsidR="00233755" w:rsidRPr="0036381E" w:rsidRDefault="00233755" w:rsidP="009B367D">
      <w:pPr>
        <w:rPr>
          <w:sz w:val="10"/>
          <w:szCs w:val="10"/>
        </w:rPr>
      </w:pPr>
      <w:r w:rsidRPr="000C0C45">
        <w:rPr>
          <w:sz w:val="10"/>
        </w:rPr>
        <w:t xml:space="preserve">Note – </w:t>
      </w:r>
      <w:r w:rsidRPr="00AF759E">
        <w:rPr>
          <w:sz w:val="10"/>
          <w:szCs w:val="10"/>
        </w:rPr>
        <w:t xml:space="preserve">Current prices. Original series. </w:t>
      </w:r>
      <w:r w:rsidR="00B91466" w:rsidRPr="00D77391">
        <w:rPr>
          <w:sz w:val="10"/>
          <w:szCs w:val="10"/>
        </w:rPr>
        <w:t>Values are for the last recorded day in each month</w:t>
      </w:r>
      <w:r w:rsidRPr="00B91466">
        <w:rPr>
          <w:color w:val="FF0000"/>
          <w:sz w:val="10"/>
          <w:szCs w:val="10"/>
        </w:rPr>
        <w:t>.</w:t>
      </w:r>
      <w:r>
        <w:rPr>
          <w:sz w:val="10"/>
          <w:szCs w:val="10"/>
        </w:rPr>
        <w:t xml:space="preserve"> </w:t>
      </w:r>
      <w:r w:rsidRPr="00590783">
        <w:rPr>
          <w:sz w:val="10"/>
          <w:szCs w:val="10"/>
        </w:rPr>
        <w:t xml:space="preserve">The </w:t>
      </w:r>
      <w:r>
        <w:rPr>
          <w:sz w:val="10"/>
          <w:szCs w:val="10"/>
        </w:rPr>
        <w:t>Baltic Dry Index</w:t>
      </w:r>
      <w:r w:rsidRPr="00590783">
        <w:rPr>
          <w:sz w:val="10"/>
          <w:szCs w:val="10"/>
        </w:rPr>
        <w:t xml:space="preserve"> is a composite of three sizes of cargo ships measured by deadweight (</w:t>
      </w:r>
      <w:proofErr w:type="spellStart"/>
      <w:r w:rsidRPr="00590783">
        <w:rPr>
          <w:sz w:val="10"/>
          <w:szCs w:val="10"/>
        </w:rPr>
        <w:t>DWt</w:t>
      </w:r>
      <w:proofErr w:type="spellEnd"/>
      <w:r w:rsidRPr="00590783">
        <w:rPr>
          <w:sz w:val="10"/>
          <w:szCs w:val="10"/>
        </w:rPr>
        <w:t>) tonnage (or weight of cargo excluding the weight of the ship).</w:t>
      </w:r>
    </w:p>
    <w:p w14:paraId="72E76E35" w14:textId="77777777" w:rsidR="00233755" w:rsidRPr="00AF759E" w:rsidRDefault="00233755" w:rsidP="00233755">
      <w:pPr>
        <w:rPr>
          <w:sz w:val="10"/>
          <w:szCs w:val="10"/>
        </w:rPr>
      </w:pPr>
      <w:r w:rsidRPr="00AF759E">
        <w:rPr>
          <w:sz w:val="10"/>
          <w:szCs w:val="10"/>
        </w:rPr>
        <w:t xml:space="preserve">Source: </w:t>
      </w:r>
      <w:r>
        <w:rPr>
          <w:sz w:val="10"/>
          <w:szCs w:val="10"/>
        </w:rPr>
        <w:t>Trading Economics</w:t>
      </w:r>
      <w:r w:rsidRPr="00AF759E">
        <w:rPr>
          <w:sz w:val="10"/>
          <w:szCs w:val="10"/>
        </w:rPr>
        <w:t>.</w:t>
      </w:r>
    </w:p>
    <w:p w14:paraId="48CDFE8A" w14:textId="77777777" w:rsidR="00A3230F" w:rsidRPr="00451E6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007C7002" w:rsidRPr="00451E6E">
        <w:rPr>
          <w:color w:val="000000" w:themeColor="text1"/>
          <w:sz w:val="16"/>
          <w:szCs w:val="16"/>
        </w:rPr>
        <w:t>The Baltic Dry Index (BDI) and containerized freight index (CFI) are useful indicators for global trade as 90% of the world’s goods trade occurs via maritime transport.</w:t>
      </w:r>
    </w:p>
    <w:p w14:paraId="138A0D1E" w14:textId="086C96A6" w:rsidR="00A3230F" w:rsidRPr="00451E6E" w:rsidRDefault="007C7002" w:rsidP="006058E8">
      <w:pPr>
        <w:pStyle w:val="ListParagraph"/>
        <w:numPr>
          <w:ilvl w:val="0"/>
          <w:numId w:val="10"/>
        </w:numPr>
        <w:spacing w:before="40" w:after="40"/>
        <w:ind w:right="227" w:hanging="357"/>
        <w:contextualSpacing w:val="0"/>
        <w:jc w:val="both"/>
        <w:rPr>
          <w:color w:val="000000" w:themeColor="text1"/>
          <w:sz w:val="16"/>
          <w:szCs w:val="16"/>
        </w:rPr>
      </w:pPr>
      <w:r w:rsidRPr="00451E6E">
        <w:rPr>
          <w:color w:val="000000" w:themeColor="text1"/>
          <w:sz w:val="16"/>
          <w:szCs w:val="16"/>
        </w:rPr>
        <w:t>The BDI measures the cost of shipping raw materials over 20</w:t>
      </w:r>
      <w:r w:rsidR="00B96555">
        <w:rPr>
          <w:color w:val="000000" w:themeColor="text1"/>
          <w:sz w:val="16"/>
          <w:szCs w:val="16"/>
        </w:rPr>
        <w:t> </w:t>
      </w:r>
      <w:r w:rsidRPr="00451E6E">
        <w:rPr>
          <w:color w:val="000000" w:themeColor="text1"/>
          <w:sz w:val="16"/>
          <w:szCs w:val="16"/>
        </w:rPr>
        <w:t>sea routes</w:t>
      </w:r>
      <w:r w:rsidR="00A3230F" w:rsidRPr="00451E6E">
        <w:rPr>
          <w:color w:val="000000" w:themeColor="text1"/>
          <w:sz w:val="16"/>
          <w:szCs w:val="16"/>
        </w:rPr>
        <w:t>.</w:t>
      </w:r>
    </w:p>
    <w:p w14:paraId="4DA4E16B" w14:textId="7E796E51" w:rsidR="007C7002" w:rsidRPr="00451E6E" w:rsidRDefault="00A3230F" w:rsidP="006058E8">
      <w:pPr>
        <w:pStyle w:val="ListParagraph"/>
        <w:numPr>
          <w:ilvl w:val="0"/>
          <w:numId w:val="10"/>
        </w:numPr>
        <w:spacing w:before="40" w:after="40"/>
        <w:ind w:right="227" w:hanging="357"/>
        <w:contextualSpacing w:val="0"/>
        <w:jc w:val="both"/>
        <w:rPr>
          <w:color w:val="000000" w:themeColor="text1"/>
          <w:sz w:val="16"/>
          <w:szCs w:val="16"/>
        </w:rPr>
      </w:pPr>
      <w:r w:rsidRPr="00451E6E">
        <w:rPr>
          <w:color w:val="000000" w:themeColor="text1"/>
          <w:sz w:val="16"/>
          <w:szCs w:val="16"/>
        </w:rPr>
        <w:t>T</w:t>
      </w:r>
      <w:r w:rsidR="007C7002" w:rsidRPr="00451E6E">
        <w:rPr>
          <w:color w:val="000000" w:themeColor="text1"/>
          <w:sz w:val="16"/>
          <w:szCs w:val="16"/>
        </w:rPr>
        <w:t>he CFI measures the cost of transporting goods in containers from China’s major ports.</w:t>
      </w:r>
    </w:p>
    <w:p w14:paraId="0891B883" w14:textId="68DF4E94" w:rsidR="007C7002" w:rsidRPr="00451E6E" w:rsidRDefault="00A3230F" w:rsidP="006058E8">
      <w:pPr>
        <w:pStyle w:val="ListParagraph"/>
        <w:numPr>
          <w:ilvl w:val="0"/>
          <w:numId w:val="9"/>
        </w:numPr>
        <w:spacing w:before="40" w:after="40"/>
        <w:ind w:left="357" w:right="227" w:hanging="357"/>
        <w:contextualSpacing w:val="0"/>
        <w:jc w:val="both"/>
        <w:rPr>
          <w:color w:val="000000" w:themeColor="text1"/>
          <w:sz w:val="16"/>
          <w:szCs w:val="16"/>
        </w:rPr>
      </w:pPr>
      <w:r w:rsidRPr="00451E6E">
        <w:rPr>
          <w:color w:val="000000" w:themeColor="text1"/>
          <w:sz w:val="16"/>
          <w:szCs w:val="16"/>
        </w:rPr>
        <w:t>Both t</w:t>
      </w:r>
      <w:r w:rsidR="00233755" w:rsidRPr="00451E6E">
        <w:rPr>
          <w:color w:val="000000" w:themeColor="text1"/>
          <w:sz w:val="16"/>
          <w:szCs w:val="16"/>
        </w:rPr>
        <w:t xml:space="preserve">he BDI </w:t>
      </w:r>
      <w:r w:rsidRPr="00451E6E">
        <w:rPr>
          <w:color w:val="000000" w:themeColor="text1"/>
          <w:sz w:val="16"/>
          <w:szCs w:val="16"/>
        </w:rPr>
        <w:t xml:space="preserve">and CFI </w:t>
      </w:r>
      <w:r w:rsidR="00233755" w:rsidRPr="00451E6E">
        <w:rPr>
          <w:color w:val="000000" w:themeColor="text1"/>
          <w:sz w:val="16"/>
          <w:szCs w:val="16"/>
        </w:rPr>
        <w:t xml:space="preserve">increased rapidly from mid-2020 to </w:t>
      </w:r>
      <w:r w:rsidRPr="00451E6E">
        <w:rPr>
          <w:color w:val="000000" w:themeColor="text1"/>
          <w:sz w:val="16"/>
          <w:szCs w:val="16"/>
        </w:rPr>
        <w:t>late</w:t>
      </w:r>
      <w:r w:rsidRPr="00451E6E">
        <w:rPr>
          <w:color w:val="000000" w:themeColor="text1"/>
          <w:sz w:val="16"/>
          <w:szCs w:val="16"/>
        </w:rPr>
        <w:noBreakHyphen/>
      </w:r>
      <w:r w:rsidR="00233755" w:rsidRPr="00451E6E">
        <w:rPr>
          <w:color w:val="000000" w:themeColor="text1"/>
          <w:sz w:val="16"/>
          <w:szCs w:val="16"/>
        </w:rPr>
        <w:t>2021 as the global econom</w:t>
      </w:r>
      <w:r w:rsidR="007C7002" w:rsidRPr="00451E6E">
        <w:rPr>
          <w:color w:val="000000" w:themeColor="text1"/>
          <w:sz w:val="16"/>
          <w:szCs w:val="16"/>
        </w:rPr>
        <w:t>ic</w:t>
      </w:r>
      <w:r w:rsidR="00233755" w:rsidRPr="00451E6E">
        <w:rPr>
          <w:color w:val="000000" w:themeColor="text1"/>
          <w:sz w:val="16"/>
          <w:szCs w:val="16"/>
        </w:rPr>
        <w:t xml:space="preserve"> recover</w:t>
      </w:r>
      <w:r w:rsidR="007C7002" w:rsidRPr="00451E6E">
        <w:rPr>
          <w:color w:val="000000" w:themeColor="text1"/>
          <w:sz w:val="16"/>
          <w:szCs w:val="16"/>
        </w:rPr>
        <w:t>y</w:t>
      </w:r>
      <w:r w:rsidR="00233755" w:rsidRPr="00451E6E">
        <w:rPr>
          <w:color w:val="000000" w:themeColor="text1"/>
          <w:sz w:val="16"/>
          <w:szCs w:val="16"/>
        </w:rPr>
        <w:t xml:space="preserve"> from the COVID</w:t>
      </w:r>
      <w:r w:rsidR="007C7002" w:rsidRPr="00451E6E">
        <w:rPr>
          <w:color w:val="000000" w:themeColor="text1"/>
          <w:sz w:val="16"/>
          <w:szCs w:val="16"/>
        </w:rPr>
        <w:noBreakHyphen/>
      </w:r>
      <w:r w:rsidR="00233755" w:rsidRPr="00451E6E">
        <w:rPr>
          <w:color w:val="000000" w:themeColor="text1"/>
          <w:sz w:val="16"/>
          <w:szCs w:val="16"/>
        </w:rPr>
        <w:t>19 pandemic</w:t>
      </w:r>
      <w:r w:rsidR="007C7002" w:rsidRPr="00451E6E">
        <w:rPr>
          <w:color w:val="000000" w:themeColor="text1"/>
          <w:sz w:val="16"/>
          <w:szCs w:val="16"/>
        </w:rPr>
        <w:t xml:space="preserve"> led to</w:t>
      </w:r>
      <w:r w:rsidR="00233755" w:rsidRPr="00451E6E">
        <w:rPr>
          <w:color w:val="000000" w:themeColor="text1"/>
          <w:sz w:val="16"/>
          <w:szCs w:val="16"/>
        </w:rPr>
        <w:t xml:space="preserve"> increasing demand for raw materials</w:t>
      </w:r>
      <w:r w:rsidRPr="00451E6E">
        <w:rPr>
          <w:color w:val="000000" w:themeColor="text1"/>
          <w:sz w:val="16"/>
          <w:szCs w:val="16"/>
        </w:rPr>
        <w:t xml:space="preserve"> and goods and disruptions in supply chains led to higher freight rates</w:t>
      </w:r>
      <w:r w:rsidR="00233755" w:rsidRPr="00451E6E">
        <w:rPr>
          <w:color w:val="000000" w:themeColor="text1"/>
          <w:sz w:val="16"/>
          <w:szCs w:val="16"/>
        </w:rPr>
        <w:t>.</w:t>
      </w:r>
    </w:p>
    <w:p w14:paraId="3040A9B9" w14:textId="11D028E5" w:rsidR="00233755" w:rsidRPr="00EA2D70" w:rsidRDefault="00233755" w:rsidP="006058E8">
      <w:pPr>
        <w:pStyle w:val="ListParagraph"/>
        <w:numPr>
          <w:ilvl w:val="0"/>
          <w:numId w:val="9"/>
        </w:numPr>
        <w:spacing w:before="40" w:after="40"/>
        <w:ind w:left="357" w:right="227" w:hanging="357"/>
        <w:contextualSpacing w:val="0"/>
        <w:jc w:val="both"/>
        <w:rPr>
          <w:sz w:val="16"/>
          <w:szCs w:val="16"/>
        </w:rPr>
      </w:pPr>
      <w:r w:rsidRPr="00EA2D70">
        <w:rPr>
          <w:sz w:val="16"/>
          <w:szCs w:val="16"/>
        </w:rPr>
        <w:t>The BDI fell back to pre</w:t>
      </w:r>
      <w:r w:rsidRPr="00EA2D70">
        <w:rPr>
          <w:sz w:val="16"/>
          <w:szCs w:val="16"/>
        </w:rPr>
        <w:noBreakHyphen/>
      </w:r>
      <w:r w:rsidR="00690DE1" w:rsidRPr="00EA2D70">
        <w:rPr>
          <w:sz w:val="16"/>
          <w:szCs w:val="16"/>
        </w:rPr>
        <w:t>pandemic</w:t>
      </w:r>
      <w:r w:rsidRPr="00EA2D70">
        <w:rPr>
          <w:sz w:val="16"/>
          <w:szCs w:val="16"/>
        </w:rPr>
        <w:t xml:space="preserve"> levels in mid</w:t>
      </w:r>
      <w:r w:rsidRPr="00EA2D70">
        <w:rPr>
          <w:sz w:val="16"/>
          <w:szCs w:val="16"/>
        </w:rPr>
        <w:noBreakHyphen/>
        <w:t xml:space="preserve">2022 and has been volatile since. </w:t>
      </w:r>
      <w:r w:rsidR="00C9510F" w:rsidRPr="00EA2D70">
        <w:rPr>
          <w:sz w:val="16"/>
          <w:szCs w:val="16"/>
        </w:rPr>
        <w:t>The BDI</w:t>
      </w:r>
      <w:r w:rsidRPr="00EA2D70">
        <w:rPr>
          <w:sz w:val="16"/>
          <w:szCs w:val="16"/>
        </w:rPr>
        <w:t xml:space="preserve"> </w:t>
      </w:r>
      <w:r w:rsidR="00B91466" w:rsidRPr="00EA2D70">
        <w:rPr>
          <w:sz w:val="16"/>
          <w:szCs w:val="16"/>
        </w:rPr>
        <w:t xml:space="preserve">was </w:t>
      </w:r>
      <w:r w:rsidR="005B1557" w:rsidRPr="00EA2D70">
        <w:rPr>
          <w:sz w:val="16"/>
          <w:szCs w:val="16"/>
        </w:rPr>
        <w:t>1,966</w:t>
      </w:r>
      <w:r w:rsidR="00B91466" w:rsidRPr="00EA2D70">
        <w:rPr>
          <w:sz w:val="16"/>
          <w:szCs w:val="16"/>
        </w:rPr>
        <w:t xml:space="preserve"> at the end of </w:t>
      </w:r>
      <w:r w:rsidR="009476C1" w:rsidRPr="00EA2D70">
        <w:rPr>
          <w:sz w:val="16"/>
          <w:szCs w:val="16"/>
        </w:rPr>
        <w:t>October</w:t>
      </w:r>
      <w:r w:rsidR="00B91466" w:rsidRPr="00EA2D70">
        <w:rPr>
          <w:sz w:val="16"/>
          <w:szCs w:val="16"/>
        </w:rPr>
        <w:t> 2025.</w:t>
      </w:r>
    </w:p>
    <w:p w14:paraId="59DB6A5D" w14:textId="01BD2DDB" w:rsidR="00233755" w:rsidRPr="00451E6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EA2D70">
        <w:rPr>
          <w:sz w:val="16"/>
          <w:szCs w:val="16"/>
        </w:rPr>
        <w:t xml:space="preserve">The CFI </w:t>
      </w:r>
      <w:r w:rsidR="00A3230F" w:rsidRPr="00EA2D70">
        <w:rPr>
          <w:sz w:val="16"/>
          <w:szCs w:val="16"/>
        </w:rPr>
        <w:t>experience</w:t>
      </w:r>
      <w:r w:rsidR="00DA3867" w:rsidRPr="00EA2D70">
        <w:rPr>
          <w:sz w:val="16"/>
          <w:szCs w:val="16"/>
        </w:rPr>
        <w:t>d</w:t>
      </w:r>
      <w:r w:rsidR="00A3230F" w:rsidRPr="00EA2D70">
        <w:rPr>
          <w:sz w:val="16"/>
          <w:szCs w:val="16"/>
        </w:rPr>
        <w:t xml:space="preserve"> another shar</w:t>
      </w:r>
      <w:r w:rsidR="00DA3867" w:rsidRPr="00EA2D70">
        <w:rPr>
          <w:sz w:val="16"/>
          <w:szCs w:val="16"/>
        </w:rPr>
        <w:t>p</w:t>
      </w:r>
      <w:r w:rsidR="00A3230F" w:rsidRPr="00EA2D70">
        <w:rPr>
          <w:sz w:val="16"/>
          <w:szCs w:val="16"/>
        </w:rPr>
        <w:t xml:space="preserve"> rise </w:t>
      </w:r>
      <w:r w:rsidRPr="00EA2D70">
        <w:rPr>
          <w:sz w:val="16"/>
          <w:szCs w:val="16"/>
        </w:rPr>
        <w:t xml:space="preserve">from 887 </w:t>
      </w:r>
      <w:r w:rsidR="00B91466" w:rsidRPr="00EA2D70">
        <w:rPr>
          <w:sz w:val="16"/>
          <w:szCs w:val="16"/>
        </w:rPr>
        <w:t>at the end of</w:t>
      </w:r>
      <w:r w:rsidRPr="00EA2D70">
        <w:rPr>
          <w:sz w:val="16"/>
          <w:szCs w:val="16"/>
        </w:rPr>
        <w:t xml:space="preserve"> September</w:t>
      </w:r>
      <w:r w:rsidR="00A3230F" w:rsidRPr="00EA2D70">
        <w:rPr>
          <w:sz w:val="16"/>
          <w:szCs w:val="16"/>
        </w:rPr>
        <w:t> </w:t>
      </w:r>
      <w:r w:rsidRPr="00EA2D70">
        <w:rPr>
          <w:sz w:val="16"/>
          <w:szCs w:val="16"/>
        </w:rPr>
        <w:t xml:space="preserve">2023 to 3,714 </w:t>
      </w:r>
      <w:r w:rsidR="00B91466" w:rsidRPr="00EA2D70">
        <w:rPr>
          <w:sz w:val="16"/>
          <w:szCs w:val="16"/>
        </w:rPr>
        <w:t>at the end of</w:t>
      </w:r>
      <w:r w:rsidRPr="00EA2D70">
        <w:rPr>
          <w:sz w:val="16"/>
          <w:szCs w:val="16"/>
        </w:rPr>
        <w:t xml:space="preserve"> June 2024 but </w:t>
      </w:r>
      <w:r w:rsidR="00B91466" w:rsidRPr="00EA2D70">
        <w:rPr>
          <w:sz w:val="16"/>
          <w:szCs w:val="16"/>
        </w:rPr>
        <w:t>has trended down since and was 1,</w:t>
      </w:r>
      <w:r w:rsidR="00F94587" w:rsidRPr="00EA2D70">
        <w:rPr>
          <w:sz w:val="16"/>
          <w:szCs w:val="16"/>
        </w:rPr>
        <w:t>5</w:t>
      </w:r>
      <w:r w:rsidR="00F32DCD" w:rsidRPr="00EA2D70">
        <w:rPr>
          <w:sz w:val="16"/>
          <w:szCs w:val="16"/>
        </w:rPr>
        <w:t>51</w:t>
      </w:r>
      <w:r w:rsidR="00B91466" w:rsidRPr="00EA2D70">
        <w:rPr>
          <w:sz w:val="16"/>
          <w:szCs w:val="16"/>
        </w:rPr>
        <w:t xml:space="preserve"> at the end of </w:t>
      </w:r>
      <w:r w:rsidR="009476C1" w:rsidRPr="00EA2D70">
        <w:rPr>
          <w:sz w:val="16"/>
          <w:szCs w:val="16"/>
        </w:rPr>
        <w:t>October</w:t>
      </w:r>
      <w:r w:rsidR="00B91466" w:rsidRPr="00EA2D70">
        <w:rPr>
          <w:sz w:val="16"/>
          <w:szCs w:val="16"/>
        </w:rPr>
        <w:t> 2025</w:t>
      </w:r>
      <w:r w:rsidRPr="00EA2D70">
        <w:rPr>
          <w:sz w:val="16"/>
          <w:szCs w:val="16"/>
        </w:rPr>
        <w:t xml:space="preserve">. The </w:t>
      </w:r>
      <w:r w:rsidRPr="00451E6E">
        <w:rPr>
          <w:color w:val="000000" w:themeColor="text1"/>
          <w:sz w:val="16"/>
          <w:szCs w:val="16"/>
        </w:rPr>
        <w:t xml:space="preserve">decline </w:t>
      </w:r>
      <w:r w:rsidR="00296CDE">
        <w:rPr>
          <w:color w:val="000000" w:themeColor="text1"/>
          <w:sz w:val="16"/>
          <w:szCs w:val="16"/>
        </w:rPr>
        <w:t>has been</w:t>
      </w:r>
      <w:r w:rsidRPr="00451E6E">
        <w:rPr>
          <w:color w:val="000000" w:themeColor="text1"/>
          <w:sz w:val="16"/>
          <w:szCs w:val="16"/>
        </w:rPr>
        <w:t xml:space="preserve"> due to slowing consumer demand in North America and Europe and improved vessel availability.</w:t>
      </w:r>
    </w:p>
    <w:p w14:paraId="518C4C13"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E4F4A06" w14:textId="77777777" w:rsidR="00233755" w:rsidRPr="009446B5" w:rsidRDefault="00233755" w:rsidP="00233755">
      <w:pPr>
        <w:pStyle w:val="Heading2"/>
        <w:numPr>
          <w:ilvl w:val="0"/>
          <w:numId w:val="0"/>
        </w:numPr>
        <w:spacing w:before="0" w:after="120"/>
        <w:rPr>
          <w:color w:val="004C3D"/>
          <w:sz w:val="24"/>
          <w:szCs w:val="24"/>
        </w:rPr>
      </w:pPr>
      <w:bookmarkStart w:id="34" w:name="_Western_Australia_–"/>
      <w:bookmarkEnd w:id="34"/>
      <w:r w:rsidRPr="009446B5">
        <w:rPr>
          <w:color w:val="004C3D"/>
          <w:sz w:val="24"/>
          <w:szCs w:val="24"/>
        </w:rPr>
        <w:lastRenderedPageBreak/>
        <w:t>Western Australia – Economic structure and industries</w:t>
      </w:r>
    </w:p>
    <w:p w14:paraId="12D788D9" w14:textId="77777777"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The Western Australian economy has been shaped over time by the physical and geographical attributes of the State: its large land mass and coastline, extensive mineral and petroleum resources, and the distance between the State’s major population centres and other Australian and overseas cities. Over recent decades, Western Australia’s economy has also been shaped by national and global developments, notably domestic economic reforms and global policies such as trade liberalisation that encouraged the growth of industries in which the State has a comparative advantage. At the same time, economic development in China and other Asian countries with limited mineral and petroleum resources led to an increase in demand for the State’s export commodities, predominantly iron ore</w:t>
      </w:r>
      <w:r>
        <w:rPr>
          <w:rFonts w:ascii="Arial" w:hAnsi="Arial" w:cs="Arial"/>
          <w:sz w:val="20"/>
          <w:szCs w:val="20"/>
        </w:rPr>
        <w:t xml:space="preserve"> and</w:t>
      </w:r>
      <w:r w:rsidRPr="00DB3199">
        <w:rPr>
          <w:rFonts w:ascii="Arial" w:hAnsi="Arial" w:cs="Arial"/>
          <w:sz w:val="20"/>
          <w:szCs w:val="20"/>
        </w:rPr>
        <w:t xml:space="preserve"> liquefied natural gas</w:t>
      </w:r>
      <w:r>
        <w:rPr>
          <w:rFonts w:ascii="Arial" w:hAnsi="Arial" w:cs="Arial"/>
          <w:sz w:val="20"/>
          <w:szCs w:val="20"/>
        </w:rPr>
        <w:t>.</w:t>
      </w:r>
    </w:p>
    <w:p w14:paraId="71A996F0" w14:textId="77777777"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These forces created a mining expansion in Western Australia that can be roughly broken down into three phases: an initial phase from the mid</w:t>
      </w:r>
      <w:r w:rsidRPr="00DB3199">
        <w:rPr>
          <w:rFonts w:ascii="Arial" w:hAnsi="Arial" w:cs="Arial"/>
          <w:sz w:val="20"/>
          <w:szCs w:val="20"/>
        </w:rPr>
        <w:noBreakHyphen/>
        <w:t>to</w:t>
      </w:r>
      <w:r w:rsidRPr="00DB3199">
        <w:rPr>
          <w:rFonts w:ascii="Arial" w:hAnsi="Arial" w:cs="Arial"/>
          <w:sz w:val="20"/>
          <w:szCs w:val="20"/>
        </w:rPr>
        <w:noBreakHyphen/>
        <w:t>late 2000s when higher demand led to an increase in commodity prices; an investment phase from the late</w:t>
      </w:r>
      <w:r w:rsidRPr="00DB3199">
        <w:rPr>
          <w:rFonts w:ascii="Arial" w:hAnsi="Arial" w:cs="Arial"/>
          <w:sz w:val="20"/>
          <w:szCs w:val="20"/>
        </w:rPr>
        <w:noBreakHyphen/>
        <w:t>2000s to mid</w:t>
      </w:r>
      <w:r w:rsidRPr="00DB3199">
        <w:rPr>
          <w:rFonts w:ascii="Arial" w:hAnsi="Arial" w:cs="Arial"/>
          <w:sz w:val="20"/>
          <w:szCs w:val="20"/>
        </w:rPr>
        <w:noBreakHyphen/>
        <w:t>2010s that was the supply response to higher demand and prices, and involved the construction of many large</w:t>
      </w:r>
      <w:r w:rsidRPr="00DB3199">
        <w:rPr>
          <w:rFonts w:ascii="Arial" w:hAnsi="Arial" w:cs="Arial"/>
          <w:sz w:val="20"/>
          <w:szCs w:val="20"/>
        </w:rPr>
        <w:noBreakHyphen/>
        <w:t>scale resource projects; and a production phase from the mid</w:t>
      </w:r>
      <w:r w:rsidRPr="00DB3199">
        <w:rPr>
          <w:rFonts w:ascii="Arial" w:hAnsi="Arial" w:cs="Arial"/>
          <w:sz w:val="20"/>
          <w:szCs w:val="20"/>
        </w:rPr>
        <w:noBreakHyphen/>
        <w:t>2010s after those projects become operational. The scale of new activity the mining expansion generated in Western Australia significantly changed the structure of the economy. In summary, the striking features of Western Australia’s current economic structure are the relatively high share of merchandise exports in its gross state product, the large share of these exports that go to China, and the mining industry’s high share of investment and gross state product.</w:t>
      </w:r>
    </w:p>
    <w:p w14:paraId="1CED09A5" w14:textId="158B183F" w:rsidR="00233755" w:rsidRPr="00DC2ED1" w:rsidRDefault="00233755" w:rsidP="00233755">
      <w:pPr>
        <w:spacing w:after="120" w:line="240" w:lineRule="auto"/>
        <w:ind w:right="227"/>
        <w:jc w:val="both"/>
        <w:rPr>
          <w:sz w:val="20"/>
          <w:szCs w:val="20"/>
        </w:rPr>
      </w:pPr>
      <w:r w:rsidRPr="00EF6CF7">
        <w:rPr>
          <w:sz w:val="20"/>
          <w:szCs w:val="20"/>
        </w:rPr>
        <w:t xml:space="preserve">The mining expansion contributed to Western Australia enjoying a sustained period of economic growth, often </w:t>
      </w:r>
      <w:proofErr w:type="gramStart"/>
      <w:r w:rsidRPr="00EF6CF7">
        <w:rPr>
          <w:sz w:val="20"/>
          <w:szCs w:val="20"/>
        </w:rPr>
        <w:t>in excess of</w:t>
      </w:r>
      <w:proofErr w:type="gramEnd"/>
      <w:r w:rsidRPr="00EF6CF7">
        <w:rPr>
          <w:sz w:val="20"/>
          <w:szCs w:val="20"/>
        </w:rPr>
        <w:t xml:space="preserve"> national levels. However, the impact of Western Australia’s economic growth on household incomes has changed through the phases of the mining expansion. The investment phase required a significant domestic workforce, which boosted labour demand and wages, but the workforce requirements diminished once projects became operational. With the capital for mining projects being largely owned outside the State, and while commodity prices are high enough to generate substantial profits, a higher proportion of the income from Western Australia’s economic output now flows outside of the State</w:t>
      </w:r>
      <w:r w:rsidRPr="00691BA5">
        <w:rPr>
          <w:sz w:val="20"/>
          <w:szCs w:val="20"/>
        </w:rPr>
        <w:t xml:space="preserve">. </w:t>
      </w:r>
      <w:r w:rsidRPr="00DC2ED1">
        <w:rPr>
          <w:sz w:val="20"/>
          <w:szCs w:val="20"/>
        </w:rPr>
        <w:t>So, while in 2023</w:t>
      </w:r>
      <w:r w:rsidRPr="00DC2ED1">
        <w:rPr>
          <w:sz w:val="20"/>
          <w:szCs w:val="20"/>
        </w:rPr>
        <w:noBreakHyphen/>
        <w:t>24 Western Australia’s gross state product per capita was 57 per cent higher than the Australian average, gross disposable household income per capita was only 9 per cent higher than the Australian average.</w:t>
      </w:r>
    </w:p>
    <w:p w14:paraId="4C97CBAB" w14:textId="56A79317" w:rsidR="00233755" w:rsidRPr="00EF6CF7" w:rsidRDefault="00233755" w:rsidP="00233755">
      <w:pPr>
        <w:spacing w:after="120" w:line="240" w:lineRule="auto"/>
        <w:ind w:right="227"/>
        <w:jc w:val="both"/>
        <w:rPr>
          <w:sz w:val="20"/>
          <w:szCs w:val="20"/>
        </w:rPr>
      </w:pPr>
      <w:r w:rsidRPr="00EF6CF7">
        <w:rPr>
          <w:sz w:val="20"/>
          <w:szCs w:val="20"/>
        </w:rPr>
        <w:t xml:space="preserve">The mining industry will likely continue to make the largest contribution to Western Australia’s economic output of any industry for decades to come. However, the main driving force of the mining expansion – growth in China’s steel production from economic development and urbanisation – is receding, </w:t>
      </w:r>
      <w:r>
        <w:rPr>
          <w:sz w:val="20"/>
          <w:szCs w:val="20"/>
        </w:rPr>
        <w:t>and</w:t>
      </w:r>
      <w:r w:rsidRPr="00EF6CF7">
        <w:rPr>
          <w:sz w:val="20"/>
          <w:szCs w:val="20"/>
        </w:rPr>
        <w:t xml:space="preserve"> mining cannot be expected to contribute to </w:t>
      </w:r>
      <w:r>
        <w:rPr>
          <w:sz w:val="20"/>
          <w:szCs w:val="20"/>
        </w:rPr>
        <w:t xml:space="preserve">Western Australia’s </w:t>
      </w:r>
      <w:r w:rsidRPr="00EF6CF7">
        <w:rPr>
          <w:sz w:val="20"/>
          <w:szCs w:val="20"/>
        </w:rPr>
        <w:t xml:space="preserve">economic growth in the same way it has for the past two decades. With the mining industry now accounting for a higher share of Western Australia’s gross state product, the State’s economy is also more </w:t>
      </w:r>
      <w:r w:rsidR="00702BF5">
        <w:rPr>
          <w:sz w:val="20"/>
          <w:szCs w:val="20"/>
        </w:rPr>
        <w:t>exposed</w:t>
      </w:r>
      <w:r w:rsidRPr="00EF6CF7">
        <w:rPr>
          <w:sz w:val="20"/>
          <w:szCs w:val="20"/>
        </w:rPr>
        <w:t xml:space="preserve"> to </w:t>
      </w:r>
      <w:r>
        <w:rPr>
          <w:sz w:val="20"/>
          <w:szCs w:val="20"/>
        </w:rPr>
        <w:t>changes</w:t>
      </w:r>
      <w:r w:rsidRPr="00EF6CF7">
        <w:rPr>
          <w:sz w:val="20"/>
          <w:szCs w:val="20"/>
        </w:rPr>
        <w:t xml:space="preserve"> in commodity prices. Western Australia’s economy must also adapt to other </w:t>
      </w:r>
      <w:r>
        <w:rPr>
          <w:sz w:val="20"/>
          <w:szCs w:val="20"/>
        </w:rPr>
        <w:t>long</w:t>
      </w:r>
      <w:r>
        <w:rPr>
          <w:sz w:val="20"/>
          <w:szCs w:val="20"/>
        </w:rPr>
        <w:noBreakHyphen/>
        <w:t>term trends</w:t>
      </w:r>
      <w:r w:rsidRPr="00EF6CF7">
        <w:rPr>
          <w:sz w:val="20"/>
          <w:szCs w:val="20"/>
        </w:rPr>
        <w:t xml:space="preserve">, including climate change, and technological changes such as the increasing </w:t>
      </w:r>
      <w:r>
        <w:rPr>
          <w:sz w:val="20"/>
          <w:szCs w:val="20"/>
        </w:rPr>
        <w:t>use</w:t>
      </w:r>
      <w:r w:rsidRPr="00EF6CF7">
        <w:rPr>
          <w:sz w:val="20"/>
          <w:szCs w:val="20"/>
        </w:rPr>
        <w:t xml:space="preserve"> of AI and automation.</w:t>
      </w:r>
    </w:p>
    <w:p w14:paraId="29BB48C8" w14:textId="77777777" w:rsidR="0013525D" w:rsidRDefault="00233755" w:rsidP="00233755">
      <w:pPr>
        <w:spacing w:after="120" w:line="240" w:lineRule="auto"/>
        <w:ind w:right="227"/>
        <w:jc w:val="both"/>
        <w:rPr>
          <w:rFonts w:cstheme="minorHAnsi"/>
          <w:sz w:val="20"/>
          <w:szCs w:val="20"/>
        </w:rPr>
      </w:pPr>
      <w:r w:rsidRPr="00EF6CF7">
        <w:rPr>
          <w:rFonts w:cstheme="minorHAnsi"/>
          <w:sz w:val="20"/>
          <w:szCs w:val="20"/>
        </w:rPr>
        <w:t xml:space="preserve">In recognition of these challenges, in 2019 the Western Australian Government released </w:t>
      </w:r>
      <w:hyperlink r:id="rId55" w:history="1">
        <w:r w:rsidRPr="00AF15ED">
          <w:rPr>
            <w:rStyle w:val="Hyperlink"/>
            <w:rFonts w:cstheme="minorHAnsi"/>
            <w:i/>
            <w:iCs/>
            <w:sz w:val="20"/>
            <w:szCs w:val="20"/>
          </w:rPr>
          <w:t>Diversify WA</w:t>
        </w:r>
      </w:hyperlink>
      <w:r w:rsidRPr="002C7CC0">
        <w:rPr>
          <w:rFonts w:cstheme="minorHAnsi"/>
          <w:sz w:val="20"/>
          <w:szCs w:val="20"/>
        </w:rPr>
        <w:t xml:space="preserve">, </w:t>
      </w:r>
      <w:r w:rsidRPr="00EF6CF7">
        <w:rPr>
          <w:rFonts w:cstheme="minorHAnsi"/>
          <w:sz w:val="20"/>
          <w:szCs w:val="20"/>
        </w:rPr>
        <w:t xml:space="preserve">a framework that identified priority sectors for strategic development that match Western Australia’s </w:t>
      </w:r>
      <w:r>
        <w:rPr>
          <w:rFonts w:cstheme="minorHAnsi"/>
          <w:sz w:val="20"/>
          <w:szCs w:val="20"/>
        </w:rPr>
        <w:t xml:space="preserve">perceived </w:t>
      </w:r>
      <w:r w:rsidRPr="00EF6CF7">
        <w:rPr>
          <w:rFonts w:cstheme="minorHAnsi"/>
          <w:sz w:val="20"/>
          <w:szCs w:val="20"/>
        </w:rPr>
        <w:t xml:space="preserve">strengths with global trends. This was followed in 2023 by the release of </w:t>
      </w:r>
      <w:hyperlink r:id="rId56" w:history="1">
        <w:r w:rsidRPr="00920105">
          <w:rPr>
            <w:rStyle w:val="Hyperlink"/>
            <w:rFonts w:cstheme="minorHAnsi"/>
            <w:i/>
            <w:iCs/>
            <w:sz w:val="20"/>
            <w:szCs w:val="20"/>
          </w:rPr>
          <w:t>Future State: Accelerating Diversify WA</w:t>
        </w:r>
      </w:hyperlink>
      <w:r w:rsidRPr="002C7CC0">
        <w:rPr>
          <w:rFonts w:cstheme="minorHAnsi"/>
          <w:sz w:val="20"/>
          <w:szCs w:val="20"/>
        </w:rPr>
        <w:t xml:space="preserve">, </w:t>
      </w:r>
      <w:r w:rsidRPr="00EF6CF7">
        <w:rPr>
          <w:rFonts w:cstheme="minorHAnsi"/>
          <w:sz w:val="20"/>
          <w:szCs w:val="20"/>
        </w:rPr>
        <w:t xml:space="preserve">which focuses on the most significant opportunities </w:t>
      </w:r>
      <w:r>
        <w:rPr>
          <w:rFonts w:cstheme="minorHAnsi"/>
          <w:sz w:val="20"/>
          <w:szCs w:val="20"/>
        </w:rPr>
        <w:t>for</w:t>
      </w:r>
      <w:r w:rsidRPr="00EF6CF7">
        <w:rPr>
          <w:rFonts w:cstheme="minorHAnsi"/>
          <w:sz w:val="20"/>
          <w:szCs w:val="20"/>
        </w:rPr>
        <w:t xml:space="preserve"> international investment to Western Australia.</w:t>
      </w:r>
    </w:p>
    <w:p w14:paraId="766D38F5" w14:textId="1CA1ABD3" w:rsidR="00233755" w:rsidRDefault="00233755" w:rsidP="00233755">
      <w:pPr>
        <w:spacing w:after="120" w:line="240" w:lineRule="auto"/>
        <w:ind w:right="227"/>
        <w:jc w:val="both"/>
        <w:rPr>
          <w:rFonts w:cstheme="minorHAnsi"/>
          <w:sz w:val="20"/>
          <w:szCs w:val="20"/>
        </w:rPr>
      </w:pPr>
      <w:r>
        <w:rPr>
          <w:rFonts w:cstheme="minorHAnsi"/>
          <w:sz w:val="20"/>
          <w:szCs w:val="20"/>
        </w:rPr>
        <w:t xml:space="preserve">The outcomes from economic diversification have to date been mixed; </w:t>
      </w:r>
      <w:r w:rsidR="00785816">
        <w:rPr>
          <w:rFonts w:cstheme="minorHAnsi"/>
          <w:sz w:val="20"/>
          <w:szCs w:val="20"/>
        </w:rPr>
        <w:t>although</w:t>
      </w:r>
      <w:r>
        <w:rPr>
          <w:rFonts w:cstheme="minorHAnsi"/>
          <w:sz w:val="20"/>
          <w:szCs w:val="20"/>
        </w:rPr>
        <w:t xml:space="preserve"> there has been growth in some of the priority sectors, this has not translated to growth in real per capita household incomes. The key reason for this has been an absence of productivity growt</w:t>
      </w:r>
      <w:r w:rsidR="00450B71">
        <w:rPr>
          <w:rFonts w:cstheme="minorHAnsi"/>
          <w:sz w:val="20"/>
          <w:szCs w:val="20"/>
        </w:rPr>
        <w:t>h as the increase in the State’s population</w:t>
      </w:r>
      <w:r w:rsidR="00954C5F">
        <w:rPr>
          <w:rFonts w:cstheme="minorHAnsi"/>
          <w:sz w:val="20"/>
          <w:szCs w:val="20"/>
        </w:rPr>
        <w:t xml:space="preserve">, </w:t>
      </w:r>
      <w:r w:rsidR="00450B71">
        <w:rPr>
          <w:rFonts w:cstheme="minorHAnsi"/>
          <w:sz w:val="20"/>
          <w:szCs w:val="20"/>
        </w:rPr>
        <w:t>in part driven by a desire to grow some of the priority sectors</w:t>
      </w:r>
      <w:r w:rsidR="00954C5F">
        <w:rPr>
          <w:rFonts w:cstheme="minorHAnsi"/>
          <w:sz w:val="20"/>
          <w:szCs w:val="20"/>
        </w:rPr>
        <w:t>,</w:t>
      </w:r>
      <w:r w:rsidR="00450B71">
        <w:rPr>
          <w:rFonts w:cstheme="minorHAnsi"/>
          <w:sz w:val="20"/>
          <w:szCs w:val="20"/>
        </w:rPr>
        <w:t xml:space="preserve"> has not been matched with an increase in investment, leading to capital shallowing</w:t>
      </w:r>
      <w:r>
        <w:rPr>
          <w:rFonts w:cstheme="minorHAnsi"/>
          <w:sz w:val="20"/>
          <w:szCs w:val="20"/>
        </w:rPr>
        <w:t>.</w:t>
      </w:r>
      <w:r w:rsidR="00771FD4">
        <w:rPr>
          <w:rFonts w:cstheme="minorHAnsi"/>
          <w:sz w:val="20"/>
          <w:szCs w:val="20"/>
        </w:rPr>
        <w:t xml:space="preserve"> As mining is by far the </w:t>
      </w:r>
      <w:r w:rsidR="00771FD4" w:rsidRPr="00771FD4">
        <w:rPr>
          <w:rFonts w:cstheme="minorHAnsi"/>
          <w:sz w:val="20"/>
          <w:szCs w:val="20"/>
        </w:rPr>
        <w:t>State’s most productive industry (as measured by output per hour of work)</w:t>
      </w:r>
      <w:r w:rsidR="00771FD4">
        <w:rPr>
          <w:rFonts w:cstheme="minorHAnsi"/>
          <w:sz w:val="20"/>
          <w:szCs w:val="20"/>
        </w:rPr>
        <w:t>, if there is a long</w:t>
      </w:r>
      <w:r w:rsidR="00771FD4">
        <w:rPr>
          <w:rFonts w:cstheme="minorHAnsi"/>
          <w:sz w:val="20"/>
          <w:szCs w:val="20"/>
        </w:rPr>
        <w:noBreakHyphen/>
        <w:t xml:space="preserve">term reduction in the mining industry’s share of the economy, then </w:t>
      </w:r>
      <w:r w:rsidR="00785816">
        <w:rPr>
          <w:rFonts w:cstheme="minorHAnsi"/>
          <w:sz w:val="20"/>
          <w:szCs w:val="20"/>
        </w:rPr>
        <w:t>a significant increase in</w:t>
      </w:r>
      <w:r w:rsidRPr="00EF6CF7">
        <w:rPr>
          <w:rFonts w:cstheme="minorHAnsi"/>
          <w:sz w:val="20"/>
          <w:szCs w:val="20"/>
        </w:rPr>
        <w:t xml:space="preserve"> productivity growth across the economy </w:t>
      </w:r>
      <w:r w:rsidR="00785816">
        <w:rPr>
          <w:rFonts w:cstheme="minorHAnsi"/>
          <w:sz w:val="20"/>
          <w:szCs w:val="20"/>
        </w:rPr>
        <w:t>will be</w:t>
      </w:r>
      <w:r w:rsidR="00126B8D">
        <w:rPr>
          <w:rFonts w:cstheme="minorHAnsi"/>
          <w:sz w:val="20"/>
          <w:szCs w:val="20"/>
        </w:rPr>
        <w:t xml:space="preserve"> needed </w:t>
      </w:r>
      <w:r w:rsidRPr="00EF6CF7">
        <w:rPr>
          <w:rFonts w:cstheme="minorHAnsi"/>
          <w:sz w:val="20"/>
          <w:szCs w:val="20"/>
        </w:rPr>
        <w:t>to sustain increases in per capita incomes.</w:t>
      </w:r>
    </w:p>
    <w:p w14:paraId="572F070A" w14:textId="77777777" w:rsidR="00233755" w:rsidRPr="00EF6CF7" w:rsidRDefault="00233755" w:rsidP="00233755">
      <w:pPr>
        <w:spacing w:after="120" w:line="240" w:lineRule="auto"/>
        <w:ind w:right="227"/>
        <w:jc w:val="both"/>
        <w:rPr>
          <w:rFonts w:cstheme="minorHAnsi"/>
          <w:sz w:val="20"/>
          <w:szCs w:val="20"/>
        </w:rPr>
      </w:pPr>
    </w:p>
    <w:p w14:paraId="422DE42C" w14:textId="77777777" w:rsidR="00233755" w:rsidRPr="00536854" w:rsidRDefault="00233755" w:rsidP="00233755">
      <w:pPr>
        <w:spacing w:before="40" w:after="40"/>
        <w:ind w:right="227"/>
        <w:rPr>
          <w:sz w:val="16"/>
          <w:szCs w:val="16"/>
        </w:rPr>
        <w:sectPr w:rsidR="00233755" w:rsidRPr="00536854" w:rsidSect="00233755">
          <w:type w:val="continuous"/>
          <w:pgSz w:w="11907" w:h="16840" w:code="9"/>
          <w:pgMar w:top="1701" w:right="425" w:bottom="567" w:left="567" w:header="709" w:footer="709" w:gutter="0"/>
          <w:cols w:space="720"/>
          <w:docGrid w:linePitch="360"/>
        </w:sectPr>
      </w:pPr>
    </w:p>
    <w:p w14:paraId="75974825" w14:textId="2BCB0625" w:rsidR="00233755" w:rsidRPr="009446B5" w:rsidRDefault="00233755" w:rsidP="00233755">
      <w:pPr>
        <w:pStyle w:val="Heading3"/>
        <w:spacing w:before="0" w:after="120"/>
        <w:rPr>
          <w:color w:val="004C3D"/>
          <w:sz w:val="24"/>
          <w:szCs w:val="24"/>
        </w:rPr>
        <w:sectPr w:rsidR="00233755" w:rsidRPr="009446B5" w:rsidSect="00233755">
          <w:type w:val="continuous"/>
          <w:pgSz w:w="11907" w:h="16840" w:code="9"/>
          <w:pgMar w:top="1701" w:right="425" w:bottom="567" w:left="567" w:header="709" w:footer="709" w:gutter="0"/>
          <w:cols w:space="720"/>
          <w:docGrid w:linePitch="360"/>
        </w:sectPr>
      </w:pPr>
      <w:bookmarkStart w:id="35" w:name="_Contents_of_economic"/>
      <w:bookmarkEnd w:id="35"/>
      <w:r w:rsidRPr="009446B5">
        <w:rPr>
          <w:color w:val="004C3D"/>
          <w:sz w:val="24"/>
          <w:szCs w:val="24"/>
        </w:rPr>
        <w:t xml:space="preserve">Economic structure and industries – </w:t>
      </w:r>
      <w:r w:rsidR="009446B5" w:rsidRPr="009446B5">
        <w:rPr>
          <w:color w:val="004C3D"/>
          <w:sz w:val="24"/>
          <w:szCs w:val="24"/>
        </w:rPr>
        <w:t>c</w:t>
      </w:r>
      <w:r w:rsidRPr="009446B5">
        <w:rPr>
          <w:color w:val="004C3D"/>
          <w:sz w:val="24"/>
          <w:szCs w:val="24"/>
        </w:rPr>
        <w:t>ontents</w:t>
      </w:r>
    </w:p>
    <w:p w14:paraId="47B79D51" w14:textId="77777777" w:rsidR="00233755" w:rsidRPr="00AC781A" w:rsidRDefault="00233755" w:rsidP="00233755">
      <w:pPr>
        <w:spacing w:after="160" w:line="240" w:lineRule="auto"/>
        <w:rPr>
          <w:b/>
          <w:bCs/>
          <w:sz w:val="20"/>
          <w:szCs w:val="20"/>
        </w:rPr>
      </w:pPr>
      <w:hyperlink w:anchor="_Gross_state_product" w:history="1">
        <w:r w:rsidRPr="00AC781A">
          <w:rPr>
            <w:rStyle w:val="Hyperlink"/>
            <w:b/>
            <w:bCs/>
            <w:sz w:val="20"/>
            <w:szCs w:val="20"/>
          </w:rPr>
          <w:t>Gross state product</w:t>
        </w:r>
      </w:hyperlink>
    </w:p>
    <w:p w14:paraId="6A1AF93A" w14:textId="77777777" w:rsidR="00233755" w:rsidRPr="00AC781A" w:rsidRDefault="00233755" w:rsidP="00233755">
      <w:pPr>
        <w:spacing w:after="160" w:line="240" w:lineRule="auto"/>
        <w:rPr>
          <w:b/>
          <w:bCs/>
          <w:sz w:val="20"/>
          <w:szCs w:val="20"/>
        </w:rPr>
      </w:pPr>
      <w:hyperlink w:anchor="_Per_capita_incomes" w:history="1">
        <w:r w:rsidRPr="00AC781A">
          <w:rPr>
            <w:rStyle w:val="Hyperlink"/>
            <w:b/>
            <w:bCs/>
            <w:sz w:val="20"/>
            <w:szCs w:val="20"/>
          </w:rPr>
          <w:t>Per capita incomes</w:t>
        </w:r>
      </w:hyperlink>
    </w:p>
    <w:p w14:paraId="27D806E1" w14:textId="77777777" w:rsidR="00233755" w:rsidRPr="00AC781A" w:rsidRDefault="00233755" w:rsidP="00233755">
      <w:pPr>
        <w:spacing w:after="160" w:line="240" w:lineRule="auto"/>
        <w:rPr>
          <w:b/>
          <w:bCs/>
          <w:sz w:val="20"/>
          <w:szCs w:val="20"/>
        </w:rPr>
      </w:pPr>
      <w:hyperlink w:anchor="_International_trade_(annual)" w:history="1">
        <w:r w:rsidRPr="00AC781A">
          <w:rPr>
            <w:rStyle w:val="Hyperlink"/>
            <w:b/>
            <w:bCs/>
            <w:sz w:val="20"/>
            <w:szCs w:val="20"/>
          </w:rPr>
          <w:t>International trade (annual)</w:t>
        </w:r>
      </w:hyperlink>
    </w:p>
    <w:p w14:paraId="258CB34A" w14:textId="77777777" w:rsidR="00233755" w:rsidRPr="00AC781A" w:rsidRDefault="00233755" w:rsidP="00233755">
      <w:pPr>
        <w:spacing w:after="160" w:line="240" w:lineRule="auto"/>
        <w:rPr>
          <w:b/>
          <w:bCs/>
          <w:sz w:val="20"/>
          <w:szCs w:val="20"/>
        </w:rPr>
      </w:pPr>
      <w:hyperlink w:anchor="_Productivity" w:history="1">
        <w:r w:rsidRPr="00AC781A">
          <w:rPr>
            <w:rStyle w:val="Hyperlink"/>
            <w:b/>
            <w:bCs/>
            <w:sz w:val="20"/>
            <w:szCs w:val="20"/>
          </w:rPr>
          <w:t>Productivity</w:t>
        </w:r>
      </w:hyperlink>
    </w:p>
    <w:p w14:paraId="21C6F7A6" w14:textId="77777777" w:rsidR="00233755" w:rsidRDefault="00233755" w:rsidP="00233755">
      <w:pPr>
        <w:spacing w:after="160" w:line="240" w:lineRule="auto"/>
        <w:rPr>
          <w:rStyle w:val="Hyperlink"/>
          <w:b/>
          <w:bCs/>
          <w:sz w:val="20"/>
          <w:szCs w:val="20"/>
        </w:rPr>
      </w:pPr>
      <w:hyperlink w:anchor="_Environment" w:history="1">
        <w:r w:rsidRPr="00AC781A">
          <w:rPr>
            <w:rStyle w:val="Hyperlink"/>
            <w:b/>
            <w:bCs/>
            <w:sz w:val="20"/>
            <w:szCs w:val="20"/>
          </w:rPr>
          <w:t>Industry gross value added</w:t>
        </w:r>
      </w:hyperlink>
    </w:p>
    <w:p w14:paraId="69176602" w14:textId="77777777" w:rsidR="00233755" w:rsidRPr="00AC781A" w:rsidRDefault="00233755" w:rsidP="00233755">
      <w:pPr>
        <w:spacing w:after="160" w:line="240" w:lineRule="auto"/>
        <w:rPr>
          <w:b/>
          <w:bCs/>
          <w:sz w:val="20"/>
          <w:szCs w:val="20"/>
        </w:rPr>
      </w:pPr>
      <w:hyperlink w:anchor="_Industry_investment" w:history="1">
        <w:r w:rsidRPr="00AC781A">
          <w:rPr>
            <w:rStyle w:val="Hyperlink"/>
            <w:b/>
            <w:bCs/>
            <w:sz w:val="20"/>
            <w:szCs w:val="20"/>
          </w:rPr>
          <w:t>Industry investment</w:t>
        </w:r>
      </w:hyperlink>
    </w:p>
    <w:p w14:paraId="41B1383D" w14:textId="77777777" w:rsidR="00233755" w:rsidRPr="00AC781A" w:rsidRDefault="00233755" w:rsidP="00233755">
      <w:pPr>
        <w:spacing w:after="160" w:line="240" w:lineRule="auto"/>
        <w:rPr>
          <w:b/>
          <w:bCs/>
          <w:sz w:val="20"/>
          <w:szCs w:val="20"/>
        </w:rPr>
      </w:pPr>
      <w:hyperlink w:anchor="_Industry_employment" w:history="1">
        <w:r w:rsidRPr="00AC781A">
          <w:rPr>
            <w:rStyle w:val="Hyperlink"/>
            <w:b/>
            <w:bCs/>
            <w:sz w:val="20"/>
            <w:szCs w:val="20"/>
          </w:rPr>
          <w:t>Industry employment</w:t>
        </w:r>
      </w:hyperlink>
    </w:p>
    <w:p w14:paraId="46C74A03" w14:textId="77777777" w:rsidR="00233755" w:rsidRDefault="00233755" w:rsidP="00233755">
      <w:pPr>
        <w:spacing w:after="160" w:line="240" w:lineRule="auto"/>
        <w:rPr>
          <w:rStyle w:val="Hyperlink"/>
          <w:b/>
          <w:bCs/>
          <w:sz w:val="20"/>
          <w:szCs w:val="20"/>
        </w:rPr>
      </w:pPr>
      <w:r w:rsidRPr="00AC781A">
        <w:rPr>
          <w:b/>
          <w:bCs/>
          <w:sz w:val="20"/>
          <w:szCs w:val="20"/>
        </w:rPr>
        <w:br w:type="column"/>
      </w:r>
      <w:hyperlink w:anchor="_Gender_indicators_1" w:history="1">
        <w:r w:rsidRPr="00006823">
          <w:rPr>
            <w:rStyle w:val="Hyperlink"/>
            <w:b/>
            <w:bCs/>
            <w:sz w:val="20"/>
            <w:szCs w:val="20"/>
          </w:rPr>
          <w:t>Gender indicators</w:t>
        </w:r>
      </w:hyperlink>
    </w:p>
    <w:p w14:paraId="666F245D" w14:textId="77777777" w:rsidR="00233755" w:rsidRDefault="00233755" w:rsidP="00233755">
      <w:pPr>
        <w:spacing w:after="160" w:line="240" w:lineRule="auto"/>
        <w:rPr>
          <w:b/>
          <w:bCs/>
          <w:sz w:val="20"/>
          <w:szCs w:val="20"/>
        </w:rPr>
      </w:pPr>
      <w:hyperlink w:anchor="_Aboriginal_Indicators" w:history="1">
        <w:r w:rsidRPr="00120C9F">
          <w:rPr>
            <w:rStyle w:val="Hyperlink"/>
            <w:b/>
            <w:bCs/>
            <w:sz w:val="20"/>
            <w:szCs w:val="20"/>
          </w:rPr>
          <w:t>Aboriginal indicators</w:t>
        </w:r>
      </w:hyperlink>
    </w:p>
    <w:p w14:paraId="50D2E45E" w14:textId="77777777" w:rsidR="00233755" w:rsidRPr="00AC781A" w:rsidRDefault="00233755" w:rsidP="00233755">
      <w:pPr>
        <w:spacing w:after="160" w:line="240" w:lineRule="auto"/>
        <w:rPr>
          <w:b/>
          <w:bCs/>
          <w:sz w:val="20"/>
          <w:szCs w:val="20"/>
        </w:rPr>
      </w:pPr>
      <w:hyperlink w:anchor="_Environment_2" w:history="1">
        <w:r w:rsidRPr="00AC781A">
          <w:rPr>
            <w:rStyle w:val="Hyperlink"/>
            <w:b/>
            <w:bCs/>
            <w:sz w:val="20"/>
            <w:szCs w:val="20"/>
          </w:rPr>
          <w:t>Environment</w:t>
        </w:r>
      </w:hyperlink>
    </w:p>
    <w:p w14:paraId="458FC928" w14:textId="77777777" w:rsidR="00233755" w:rsidRPr="00AC781A" w:rsidRDefault="00233755" w:rsidP="00233755">
      <w:pPr>
        <w:spacing w:after="160" w:line="240" w:lineRule="auto"/>
        <w:rPr>
          <w:b/>
          <w:bCs/>
          <w:sz w:val="20"/>
          <w:szCs w:val="20"/>
        </w:rPr>
      </w:pPr>
      <w:hyperlink w:anchor="_Mining_and_energy" w:history="1">
        <w:r w:rsidRPr="00AC781A">
          <w:rPr>
            <w:rStyle w:val="Hyperlink"/>
            <w:b/>
            <w:bCs/>
            <w:sz w:val="20"/>
            <w:szCs w:val="20"/>
          </w:rPr>
          <w:t>Mining and energy industries</w:t>
        </w:r>
      </w:hyperlink>
    </w:p>
    <w:p w14:paraId="3824E9A9" w14:textId="77777777" w:rsidR="00233755" w:rsidRPr="00AC781A" w:rsidRDefault="00233755" w:rsidP="00233755">
      <w:pPr>
        <w:spacing w:after="160" w:line="240" w:lineRule="auto"/>
        <w:rPr>
          <w:b/>
          <w:bCs/>
          <w:sz w:val="20"/>
          <w:szCs w:val="20"/>
        </w:rPr>
      </w:pPr>
      <w:hyperlink w:anchor="_Primary_industries_and" w:history="1">
        <w:r w:rsidRPr="00AC781A">
          <w:rPr>
            <w:rStyle w:val="Hyperlink"/>
            <w:b/>
            <w:bCs/>
            <w:sz w:val="20"/>
            <w:szCs w:val="20"/>
          </w:rPr>
          <w:t>Primary industries and defence industries</w:t>
        </w:r>
      </w:hyperlink>
    </w:p>
    <w:p w14:paraId="7B24C1F9" w14:textId="5DA44513" w:rsidR="00233755" w:rsidRPr="00AC781A" w:rsidRDefault="00233755" w:rsidP="00233755">
      <w:pPr>
        <w:spacing w:after="160" w:line="240" w:lineRule="auto"/>
        <w:rPr>
          <w:b/>
          <w:bCs/>
          <w:sz w:val="20"/>
          <w:szCs w:val="20"/>
        </w:rPr>
      </w:pPr>
      <w:hyperlink w:anchor="_Tourism_and_international" w:history="1">
        <w:r w:rsidRPr="00AC781A">
          <w:rPr>
            <w:rStyle w:val="Hyperlink"/>
            <w:b/>
            <w:bCs/>
            <w:sz w:val="20"/>
            <w:szCs w:val="20"/>
          </w:rPr>
          <w:t>Tourism and international education</w:t>
        </w:r>
      </w:hyperlink>
    </w:p>
    <w:p w14:paraId="4C325588" w14:textId="77777777" w:rsidR="00233755" w:rsidRPr="00AC781A" w:rsidRDefault="00233755" w:rsidP="00233755">
      <w:pPr>
        <w:spacing w:after="160" w:line="240" w:lineRule="auto"/>
        <w:rPr>
          <w:b/>
          <w:bCs/>
          <w:sz w:val="20"/>
          <w:szCs w:val="20"/>
        </w:rPr>
      </w:pPr>
      <w:hyperlink w:anchor="_Regions" w:history="1">
        <w:r w:rsidRPr="00AC781A">
          <w:rPr>
            <w:rStyle w:val="Hyperlink"/>
            <w:b/>
            <w:bCs/>
            <w:sz w:val="20"/>
            <w:szCs w:val="20"/>
          </w:rPr>
          <w:t>Regions</w:t>
        </w:r>
      </w:hyperlink>
    </w:p>
    <w:p w14:paraId="420827C9"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4DEB1AA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36" w:name="_Gross_state_product"/>
      <w:bookmarkEnd w:id="36"/>
      <w:r w:rsidRPr="008F7AA0">
        <w:rPr>
          <w:bCs/>
          <w:color w:val="004C3D"/>
          <w:sz w:val="24"/>
          <w:szCs w:val="24"/>
        </w:rPr>
        <w:lastRenderedPageBreak/>
        <w:t>Gross state product</w:t>
      </w:r>
    </w:p>
    <w:p w14:paraId="4F69F080"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3C400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broad component</w:t>
      </w:r>
    </w:p>
    <w:p w14:paraId="587245F5" w14:textId="71E41150" w:rsidR="00233755" w:rsidRPr="007B1AE5" w:rsidRDefault="00EC44B2" w:rsidP="00233755">
      <w:r>
        <w:rPr>
          <w:noProof/>
        </w:rPr>
        <w:drawing>
          <wp:inline distT="0" distB="0" distL="0" distR="0" wp14:anchorId="726A3F6B" wp14:editId="12CFD5B0">
            <wp:extent cx="3463834" cy="2126751"/>
            <wp:effectExtent l="0" t="0" r="3810" b="6985"/>
            <wp:docPr id="87698147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71624" cy="2131534"/>
                    </a:xfrm>
                    <a:prstGeom prst="rect">
                      <a:avLst/>
                    </a:prstGeom>
                    <a:noFill/>
                    <a:ln>
                      <a:noFill/>
                    </a:ln>
                  </pic:spPr>
                </pic:pic>
              </a:graphicData>
            </a:graphic>
          </wp:inline>
        </w:drawing>
      </w:r>
    </w:p>
    <w:p w14:paraId="32F29EEC"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Household and general government final consumption expenditure, and gross fixed capital formation. (b) Exports less imports of goods and services. Changes in </w:t>
      </w:r>
      <w:r>
        <w:rPr>
          <w:sz w:val="10"/>
          <w:szCs w:val="10"/>
        </w:rPr>
        <w:t xml:space="preserve">state final demand </w:t>
      </w:r>
      <w:r w:rsidRPr="00AF759E">
        <w:rPr>
          <w:sz w:val="10"/>
          <w:szCs w:val="10"/>
        </w:rPr>
        <w:t>can be exaggerated by large swings in business investment without adjusting for the associated changes in imports.</w:t>
      </w:r>
    </w:p>
    <w:p w14:paraId="20C79230" w14:textId="77777777" w:rsidR="00233755" w:rsidRPr="00AF759E" w:rsidRDefault="00233755" w:rsidP="003C6DDF">
      <w:pPr>
        <w:jc w:val="both"/>
        <w:rPr>
          <w:sz w:val="10"/>
          <w:szCs w:val="10"/>
        </w:rPr>
      </w:pPr>
      <w:r w:rsidRPr="00AF759E">
        <w:rPr>
          <w:sz w:val="10"/>
          <w:szCs w:val="10"/>
        </w:rPr>
        <w:t>Source: Based on ABS data.</w:t>
      </w:r>
    </w:p>
    <w:p w14:paraId="233FF5BC" w14:textId="77777777" w:rsidR="00233755" w:rsidRPr="00CE61E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3C3CC5">
        <w:rPr>
          <w:sz w:val="16"/>
          <w:szCs w:val="16"/>
        </w:rPr>
        <w:t>The nominal value of Western Australia’s gross state product (GSP) in 2023</w:t>
      </w:r>
      <w:r w:rsidRPr="003C3CC5">
        <w:rPr>
          <w:sz w:val="16"/>
          <w:szCs w:val="16"/>
        </w:rPr>
        <w:noBreakHyphen/>
        <w:t>24 was $455.7 billion.</w:t>
      </w:r>
    </w:p>
    <w:p w14:paraId="67C2ECE9" w14:textId="7DC23387" w:rsidR="00233755" w:rsidRPr="00CE61E4" w:rsidRDefault="00233755" w:rsidP="006058E8">
      <w:pPr>
        <w:pStyle w:val="ListParagraph"/>
        <w:numPr>
          <w:ilvl w:val="0"/>
          <w:numId w:val="9"/>
        </w:numPr>
        <w:spacing w:before="40" w:after="40"/>
        <w:ind w:right="227" w:hanging="357"/>
        <w:contextualSpacing w:val="0"/>
        <w:jc w:val="both"/>
        <w:rPr>
          <w:sz w:val="16"/>
          <w:szCs w:val="16"/>
        </w:rPr>
      </w:pPr>
      <w:r>
        <w:rPr>
          <w:sz w:val="16"/>
          <w:szCs w:val="16"/>
        </w:rPr>
        <w:t xml:space="preserve">GSP </w:t>
      </w:r>
      <w:r w:rsidRPr="009F7BBC">
        <w:rPr>
          <w:sz w:val="16"/>
          <w:szCs w:val="16"/>
        </w:rPr>
        <w:t xml:space="preserve">can be divided into state final demand, which measures total consumption and investment, and net </w:t>
      </w:r>
      <w:r>
        <w:rPr>
          <w:sz w:val="16"/>
          <w:szCs w:val="16"/>
        </w:rPr>
        <w:t xml:space="preserve">(international) </w:t>
      </w:r>
      <w:r w:rsidRPr="009F7BBC">
        <w:rPr>
          <w:sz w:val="16"/>
          <w:szCs w:val="16"/>
        </w:rPr>
        <w:t>exports of goods and services.</w:t>
      </w:r>
      <w:r>
        <w:rPr>
          <w:sz w:val="16"/>
          <w:szCs w:val="16"/>
        </w:rPr>
        <w:t xml:space="preserve"> </w:t>
      </w:r>
      <w:r w:rsidRPr="00CE61E4">
        <w:rPr>
          <w:sz w:val="16"/>
          <w:szCs w:val="16"/>
        </w:rPr>
        <w:t>In 2023-24</w:t>
      </w:r>
      <w:r w:rsidR="00A97F2D">
        <w:rPr>
          <w:sz w:val="16"/>
          <w:szCs w:val="16"/>
        </w:rPr>
        <w:t xml:space="preserve"> the value of Western Australia’s:</w:t>
      </w:r>
    </w:p>
    <w:p w14:paraId="3C0788A7" w14:textId="1E3FAB65" w:rsidR="00233755" w:rsidRPr="00A237CC" w:rsidRDefault="00233755" w:rsidP="006058E8">
      <w:pPr>
        <w:pStyle w:val="ListParagraph"/>
        <w:numPr>
          <w:ilvl w:val="0"/>
          <w:numId w:val="10"/>
        </w:numPr>
        <w:spacing w:before="40" w:after="40"/>
        <w:ind w:right="227" w:hanging="357"/>
        <w:contextualSpacing w:val="0"/>
        <w:jc w:val="both"/>
        <w:rPr>
          <w:sz w:val="16"/>
          <w:szCs w:val="16"/>
        </w:rPr>
      </w:pPr>
      <w:r w:rsidRPr="00A237CC">
        <w:rPr>
          <w:sz w:val="16"/>
          <w:szCs w:val="16"/>
        </w:rPr>
        <w:t>state final demand was $305.8 billion, 67% of GSP expenditure</w:t>
      </w:r>
    </w:p>
    <w:p w14:paraId="081238A0" w14:textId="0D05F9B6" w:rsidR="00233755" w:rsidRPr="00A237CC" w:rsidRDefault="00233755" w:rsidP="006058E8">
      <w:pPr>
        <w:pStyle w:val="ListParagraph"/>
        <w:numPr>
          <w:ilvl w:val="0"/>
          <w:numId w:val="10"/>
        </w:numPr>
        <w:spacing w:before="40" w:after="40"/>
        <w:ind w:right="227" w:hanging="357"/>
        <w:contextualSpacing w:val="0"/>
        <w:jc w:val="both"/>
        <w:rPr>
          <w:sz w:val="16"/>
          <w:szCs w:val="16"/>
        </w:rPr>
      </w:pPr>
      <w:r w:rsidRPr="00A237CC">
        <w:rPr>
          <w:sz w:val="16"/>
          <w:szCs w:val="16"/>
        </w:rPr>
        <w:t>net exports of goods and services was $193.8 billion, 43% of GSP expenditure</w:t>
      </w:r>
      <w:r w:rsidR="00A97F2D">
        <w:rPr>
          <w:sz w:val="16"/>
          <w:szCs w:val="16"/>
        </w:rPr>
        <w:t>.</w:t>
      </w:r>
    </w:p>
    <w:p w14:paraId="3E131051" w14:textId="71957066" w:rsidR="00233755" w:rsidRPr="00A237CC" w:rsidRDefault="00A97F2D" w:rsidP="00A97F2D">
      <w:pPr>
        <w:pStyle w:val="ListParagraph"/>
        <w:numPr>
          <w:ilvl w:val="0"/>
          <w:numId w:val="9"/>
        </w:numPr>
        <w:spacing w:before="40" w:after="40"/>
        <w:ind w:right="227" w:hanging="357"/>
        <w:contextualSpacing w:val="0"/>
        <w:jc w:val="both"/>
        <w:rPr>
          <w:sz w:val="16"/>
          <w:szCs w:val="16"/>
        </w:rPr>
      </w:pPr>
      <w:r>
        <w:rPr>
          <w:sz w:val="16"/>
          <w:szCs w:val="16"/>
        </w:rPr>
        <w:t>N</w:t>
      </w:r>
      <w:r w:rsidR="00233755" w:rsidRPr="00A237CC">
        <w:rPr>
          <w:sz w:val="16"/>
          <w:szCs w:val="16"/>
        </w:rPr>
        <w:t>et interstate trade and other items detracted $4</w:t>
      </w:r>
      <w:r w:rsidR="00233755">
        <w:rPr>
          <w:sz w:val="16"/>
          <w:szCs w:val="16"/>
        </w:rPr>
        <w:t>3</w:t>
      </w:r>
      <w:r w:rsidR="00233755" w:rsidRPr="00A237CC">
        <w:rPr>
          <w:sz w:val="16"/>
          <w:szCs w:val="16"/>
        </w:rPr>
        <w:t>.9 billion (10%) from Western Australia’s GSP in 2023-24.</w:t>
      </w:r>
    </w:p>
    <w:p w14:paraId="7C65C41F" w14:textId="0CEC299D" w:rsidR="00233755" w:rsidRPr="001F6013" w:rsidRDefault="00B91466" w:rsidP="006058E8">
      <w:pPr>
        <w:pStyle w:val="ListParagraph"/>
        <w:numPr>
          <w:ilvl w:val="0"/>
          <w:numId w:val="9"/>
        </w:numPr>
        <w:spacing w:before="40" w:after="40"/>
        <w:ind w:right="227" w:hanging="357"/>
        <w:contextualSpacing w:val="0"/>
        <w:jc w:val="both"/>
        <w:rPr>
          <w:sz w:val="16"/>
          <w:szCs w:val="16"/>
        </w:rPr>
      </w:pPr>
      <w:r>
        <w:rPr>
          <w:sz w:val="16"/>
          <w:szCs w:val="16"/>
        </w:rPr>
        <w:t>M</w:t>
      </w:r>
      <w:r w:rsidR="00233755" w:rsidRPr="001F6013">
        <w:rPr>
          <w:sz w:val="16"/>
          <w:szCs w:val="16"/>
        </w:rPr>
        <w:t xml:space="preserve">ining industry </w:t>
      </w:r>
      <w:r>
        <w:rPr>
          <w:sz w:val="16"/>
          <w:szCs w:val="16"/>
        </w:rPr>
        <w:t xml:space="preserve">cycles </w:t>
      </w:r>
      <w:r w:rsidR="00233755" w:rsidRPr="001F6013">
        <w:rPr>
          <w:sz w:val="16"/>
          <w:szCs w:val="16"/>
        </w:rPr>
        <w:t>have had a significant effect on the balance of state final demand and net exports in Western Australia’s GSP.</w:t>
      </w:r>
    </w:p>
    <w:p w14:paraId="19D9A8E5" w14:textId="77777777" w:rsidR="00A97F2D" w:rsidRDefault="00233755" w:rsidP="006058E8">
      <w:pPr>
        <w:pStyle w:val="ListParagraph"/>
        <w:numPr>
          <w:ilvl w:val="0"/>
          <w:numId w:val="10"/>
        </w:numPr>
        <w:spacing w:before="40" w:after="40"/>
        <w:ind w:right="227" w:hanging="357"/>
        <w:contextualSpacing w:val="0"/>
        <w:jc w:val="both"/>
        <w:rPr>
          <w:sz w:val="16"/>
          <w:szCs w:val="16"/>
        </w:rPr>
      </w:pPr>
      <w:r w:rsidRPr="001F6013">
        <w:rPr>
          <w:sz w:val="16"/>
          <w:szCs w:val="16"/>
        </w:rPr>
        <w:t>Investments in mining projects led to a large increase in state final demand from the early 2000s to the mid</w:t>
      </w:r>
      <w:r w:rsidRPr="001F6013">
        <w:rPr>
          <w:sz w:val="16"/>
          <w:szCs w:val="16"/>
        </w:rPr>
        <w:noBreakHyphen/>
        <w:t>2010s.</w:t>
      </w:r>
    </w:p>
    <w:p w14:paraId="6FE285CD" w14:textId="7A324742" w:rsidR="00A97F2D" w:rsidRDefault="00233755" w:rsidP="00C24386">
      <w:pPr>
        <w:pStyle w:val="ListParagraph"/>
        <w:numPr>
          <w:ilvl w:val="0"/>
          <w:numId w:val="10"/>
        </w:numPr>
        <w:spacing w:before="40" w:after="40"/>
        <w:ind w:right="227" w:hanging="357"/>
        <w:contextualSpacing w:val="0"/>
        <w:jc w:val="both"/>
        <w:rPr>
          <w:sz w:val="16"/>
          <w:szCs w:val="16"/>
        </w:rPr>
      </w:pPr>
      <w:r w:rsidRPr="00A97F2D">
        <w:rPr>
          <w:sz w:val="16"/>
          <w:szCs w:val="16"/>
        </w:rPr>
        <w:t>The newly installed capacity from this investment then contributed to high growth in net exports from the mid</w:t>
      </w:r>
      <w:r w:rsidRPr="00A97F2D">
        <w:rPr>
          <w:sz w:val="16"/>
          <w:szCs w:val="16"/>
        </w:rPr>
        <w:noBreakHyphen/>
        <w:t>2010s</w:t>
      </w:r>
      <w:r w:rsidR="00A97F2D">
        <w:rPr>
          <w:sz w:val="16"/>
          <w:szCs w:val="16"/>
        </w:rPr>
        <w:t>, but a</w:t>
      </w:r>
      <w:r w:rsidRPr="00A97F2D">
        <w:rPr>
          <w:sz w:val="16"/>
          <w:szCs w:val="16"/>
        </w:rPr>
        <w:t>s projects were completed and the pipeline of new projects became smaller, the value of state final demand contracted.</w:t>
      </w:r>
    </w:p>
    <w:p w14:paraId="167B749B" w14:textId="1C33EEAF" w:rsidR="00233755" w:rsidRPr="00A97F2D" w:rsidRDefault="00233755" w:rsidP="00C24386">
      <w:pPr>
        <w:pStyle w:val="ListParagraph"/>
        <w:numPr>
          <w:ilvl w:val="0"/>
          <w:numId w:val="10"/>
        </w:numPr>
        <w:spacing w:before="40" w:after="40"/>
        <w:ind w:right="227" w:hanging="357"/>
        <w:contextualSpacing w:val="0"/>
        <w:jc w:val="both"/>
        <w:rPr>
          <w:sz w:val="16"/>
          <w:szCs w:val="16"/>
        </w:rPr>
      </w:pPr>
      <w:r w:rsidRPr="00A97F2D">
        <w:rPr>
          <w:sz w:val="16"/>
          <w:szCs w:val="16"/>
        </w:rPr>
        <w:t xml:space="preserve">State final demand has </w:t>
      </w:r>
      <w:r w:rsidR="00A97F2D">
        <w:rPr>
          <w:sz w:val="16"/>
          <w:szCs w:val="16"/>
        </w:rPr>
        <w:t>recovered</w:t>
      </w:r>
      <w:r w:rsidRPr="00A97F2D">
        <w:rPr>
          <w:sz w:val="16"/>
          <w:szCs w:val="16"/>
        </w:rPr>
        <w:t xml:space="preserve"> in recent years</w:t>
      </w:r>
      <w:r w:rsidR="00A97F2D">
        <w:rPr>
          <w:sz w:val="16"/>
          <w:szCs w:val="16"/>
        </w:rPr>
        <w:t>, with activity growing outside the mining industry</w:t>
      </w:r>
      <w:r w:rsidRPr="00A97F2D">
        <w:rPr>
          <w:sz w:val="16"/>
          <w:szCs w:val="16"/>
        </w:rPr>
        <w:t>.</w:t>
      </w:r>
    </w:p>
    <w:p w14:paraId="19352532" w14:textId="77777777" w:rsidR="00233755" w:rsidRPr="00EB1814" w:rsidRDefault="00233755" w:rsidP="006058E8">
      <w:pPr>
        <w:pStyle w:val="ListParagraph"/>
        <w:numPr>
          <w:ilvl w:val="0"/>
          <w:numId w:val="9"/>
        </w:numPr>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6E09C33" w14:textId="77777777" w:rsidR="00233755" w:rsidRPr="009446B5" w:rsidRDefault="00233755" w:rsidP="00233755">
      <w:pPr>
        <w:pStyle w:val="Heading4"/>
        <w:tabs>
          <w:tab w:val="left" w:pos="6411"/>
        </w:tabs>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component (share)</w:t>
      </w:r>
    </w:p>
    <w:p w14:paraId="11D50A60" w14:textId="23412A4D" w:rsidR="00233755" w:rsidRPr="007B1AE5" w:rsidRDefault="00EC44B2" w:rsidP="00233755">
      <w:r>
        <w:rPr>
          <w:noProof/>
        </w:rPr>
        <w:drawing>
          <wp:inline distT="0" distB="0" distL="0" distR="0" wp14:anchorId="6B15DFB9" wp14:editId="00C669CB">
            <wp:extent cx="3421294" cy="2113098"/>
            <wp:effectExtent l="0" t="0" r="8255" b="1905"/>
            <wp:docPr id="53263248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33535" cy="2120659"/>
                    </a:xfrm>
                    <a:prstGeom prst="rect">
                      <a:avLst/>
                    </a:prstGeom>
                    <a:noFill/>
                    <a:ln>
                      <a:noFill/>
                    </a:ln>
                  </pic:spPr>
                </pic:pic>
              </a:graphicData>
            </a:graphic>
          </wp:inline>
        </w:drawing>
      </w:r>
    </w:p>
    <w:p w14:paraId="34FBC10B" w14:textId="77777777" w:rsidR="00233755" w:rsidRPr="00AF759E" w:rsidRDefault="00233755" w:rsidP="003C6DDF">
      <w:pPr>
        <w:jc w:val="both"/>
        <w:rPr>
          <w:sz w:val="10"/>
          <w:szCs w:val="10"/>
        </w:rPr>
      </w:pPr>
      <w:bookmarkStart w:id="37" w:name="_Hlk156309051"/>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3929975E" w14:textId="77777777" w:rsidR="00233755" w:rsidRPr="00AF759E" w:rsidRDefault="00233755" w:rsidP="003C6DDF">
      <w:pPr>
        <w:jc w:val="both"/>
        <w:rPr>
          <w:sz w:val="10"/>
          <w:szCs w:val="10"/>
        </w:rPr>
      </w:pPr>
      <w:r w:rsidRPr="00AF759E">
        <w:rPr>
          <w:sz w:val="10"/>
          <w:szCs w:val="10"/>
        </w:rPr>
        <w:t>Source: Based on ABS data.</w:t>
      </w:r>
    </w:p>
    <w:bookmarkEnd w:id="37"/>
    <w:p w14:paraId="0BA0B8DC"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237CC">
        <w:rPr>
          <w:sz w:val="16"/>
          <w:szCs w:val="16"/>
        </w:rPr>
        <w:t xml:space="preserve">Western Australia’s economy </w:t>
      </w:r>
      <w:r>
        <w:rPr>
          <w:sz w:val="16"/>
          <w:szCs w:val="16"/>
        </w:rPr>
        <w:t>is</w:t>
      </w:r>
      <w:r w:rsidRPr="00A237CC">
        <w:rPr>
          <w:sz w:val="16"/>
          <w:szCs w:val="16"/>
        </w:rPr>
        <w:t xml:space="preserve"> more reliant on international trade </w:t>
      </w:r>
      <w:r>
        <w:rPr>
          <w:sz w:val="16"/>
          <w:szCs w:val="16"/>
        </w:rPr>
        <w:t>compared to</w:t>
      </w:r>
      <w:r w:rsidRPr="00A237CC">
        <w:rPr>
          <w:sz w:val="16"/>
          <w:szCs w:val="16"/>
        </w:rPr>
        <w:t xml:space="preserve"> 30 years</w:t>
      </w:r>
      <w:r>
        <w:rPr>
          <w:sz w:val="16"/>
          <w:szCs w:val="16"/>
        </w:rPr>
        <w:t xml:space="preserve"> ago</w:t>
      </w:r>
      <w:r w:rsidRPr="00A237CC">
        <w:rPr>
          <w:sz w:val="16"/>
          <w:szCs w:val="16"/>
        </w:rPr>
        <w:t>. The GSP share of net exports of goods and services increased from 25% in 1993</w:t>
      </w:r>
      <w:r w:rsidRPr="00A237CC">
        <w:rPr>
          <w:sz w:val="16"/>
          <w:szCs w:val="16"/>
        </w:rPr>
        <w:noBreakHyphen/>
        <w:t>94 to 43% in 2023</w:t>
      </w:r>
      <w:r w:rsidRPr="00A237CC">
        <w:rPr>
          <w:sz w:val="16"/>
          <w:szCs w:val="16"/>
        </w:rPr>
        <w:noBreakHyphen/>
        <w:t>24</w:t>
      </w:r>
      <w:r>
        <w:rPr>
          <w:sz w:val="16"/>
          <w:szCs w:val="16"/>
        </w:rPr>
        <w:t>, with a peak</w:t>
      </w:r>
      <w:r w:rsidRPr="00A237CC">
        <w:rPr>
          <w:sz w:val="16"/>
          <w:szCs w:val="16"/>
        </w:rPr>
        <w:t xml:space="preserve"> of 52% in 2020</w:t>
      </w:r>
      <w:r>
        <w:rPr>
          <w:sz w:val="16"/>
          <w:szCs w:val="16"/>
        </w:rPr>
        <w:noBreakHyphen/>
      </w:r>
      <w:r w:rsidRPr="00A237CC">
        <w:rPr>
          <w:sz w:val="16"/>
          <w:szCs w:val="16"/>
        </w:rPr>
        <w:t xml:space="preserve">21 during the COVID-19 pandemic when </w:t>
      </w:r>
      <w:r>
        <w:rPr>
          <w:sz w:val="16"/>
          <w:szCs w:val="16"/>
        </w:rPr>
        <w:t>goods</w:t>
      </w:r>
      <w:r w:rsidRPr="00A237CC">
        <w:rPr>
          <w:sz w:val="16"/>
          <w:szCs w:val="16"/>
        </w:rPr>
        <w:t xml:space="preserve"> exports remained strong while services imports fell.</w:t>
      </w:r>
    </w:p>
    <w:p w14:paraId="2FE07CE1"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The GSP share of private investment has been influenced by cycles of mining investment. The share peaked at 36% in 2012</w:t>
      </w:r>
      <w:r w:rsidRPr="00A237CC">
        <w:rPr>
          <w:sz w:val="16"/>
          <w:szCs w:val="16"/>
        </w:rPr>
        <w:noBreakHyphen/>
        <w:t>13 when construction activity on multiple iron ore and liquefied natural gas projects was at its height but fell to 17% in 2023</w:t>
      </w:r>
      <w:r w:rsidRPr="00A237CC">
        <w:rPr>
          <w:sz w:val="16"/>
          <w:szCs w:val="16"/>
        </w:rPr>
        <w:noBreakHyphen/>
        <w:t>24 as the mining expansion moved from its construction to the operation phase and output from these projects contributed to net exports.</w:t>
      </w:r>
    </w:p>
    <w:p w14:paraId="52239CFA"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While household consumption and public final demand in Western Australia have grown over time, their share of the economy has fallen as net exports have grown at a faster rate. The GSP share of household consumption fell from 53% in 1993</w:t>
      </w:r>
      <w:r w:rsidRPr="00A237CC">
        <w:rPr>
          <w:sz w:val="16"/>
          <w:szCs w:val="16"/>
        </w:rPr>
        <w:noBreakHyphen/>
        <w:t>94 to 33% in 2023</w:t>
      </w:r>
      <w:r w:rsidRPr="00A237CC">
        <w:rPr>
          <w:sz w:val="16"/>
          <w:szCs w:val="16"/>
        </w:rPr>
        <w:noBreakHyphen/>
        <w:t>24, while the GSP share of public final demand fell from 22% in 1993</w:t>
      </w:r>
      <w:r w:rsidRPr="00A237CC">
        <w:rPr>
          <w:sz w:val="16"/>
          <w:szCs w:val="16"/>
        </w:rPr>
        <w:noBreakHyphen/>
        <w:t>94 to 17% in 2023</w:t>
      </w:r>
      <w:r w:rsidRPr="00A237CC">
        <w:rPr>
          <w:sz w:val="16"/>
          <w:szCs w:val="16"/>
        </w:rPr>
        <w:noBreakHyphen/>
        <w:t>24.</w:t>
      </w:r>
    </w:p>
    <w:p w14:paraId="3B4A0979" w14:textId="77777777" w:rsidR="00233755" w:rsidRPr="00EB1814" w:rsidRDefault="00233755" w:rsidP="006058E8">
      <w:pPr>
        <w:pStyle w:val="ListParagraph"/>
        <w:numPr>
          <w:ilvl w:val="0"/>
          <w:numId w:val="9"/>
        </w:numPr>
        <w:jc w:val="both"/>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25A3AF4" w14:textId="6DD9D70C"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Comparison of gross state</w:t>
      </w:r>
      <w:r w:rsidR="003C6582">
        <w:rPr>
          <w:i w:val="0"/>
          <w:iCs w:val="0"/>
          <w:color w:val="00997A"/>
          <w:sz w:val="20"/>
          <w:szCs w:val="20"/>
        </w:rPr>
        <w:t xml:space="preserve"> and </w:t>
      </w:r>
      <w:r w:rsidRPr="009446B5">
        <w:rPr>
          <w:i w:val="0"/>
          <w:iCs w:val="0"/>
          <w:color w:val="00997A"/>
          <w:sz w:val="20"/>
          <w:szCs w:val="20"/>
        </w:rPr>
        <w:t>domestic product of component (share): 2023</w:t>
      </w:r>
      <w:r w:rsidRPr="009446B5">
        <w:rPr>
          <w:i w:val="0"/>
          <w:iCs w:val="0"/>
          <w:color w:val="00997A"/>
          <w:sz w:val="20"/>
          <w:szCs w:val="20"/>
        </w:rPr>
        <w:noBreakHyphen/>
        <w:t>24</w:t>
      </w:r>
    </w:p>
    <w:p w14:paraId="7A946DDE" w14:textId="12C82E24" w:rsidR="00233755" w:rsidRPr="007B1AE5" w:rsidRDefault="00A32C54" w:rsidP="00233755">
      <w:r>
        <w:rPr>
          <w:noProof/>
        </w:rPr>
        <w:drawing>
          <wp:inline distT="0" distB="0" distL="0" distR="0" wp14:anchorId="01E2F33A" wp14:editId="49385AE8">
            <wp:extent cx="3369923" cy="2073588"/>
            <wp:effectExtent l="0" t="0" r="2540" b="3175"/>
            <wp:docPr id="158570078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81836" cy="2080918"/>
                    </a:xfrm>
                    <a:prstGeom prst="rect">
                      <a:avLst/>
                    </a:prstGeom>
                    <a:noFill/>
                    <a:ln>
                      <a:noFill/>
                    </a:ln>
                  </pic:spPr>
                </pic:pic>
              </a:graphicData>
            </a:graphic>
          </wp:inline>
        </w:drawing>
      </w:r>
    </w:p>
    <w:p w14:paraId="2B47C593"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7B736FD7" w14:textId="77777777" w:rsidR="00233755" w:rsidRPr="00AF759E" w:rsidRDefault="00233755" w:rsidP="003C6DDF">
      <w:pPr>
        <w:jc w:val="both"/>
        <w:rPr>
          <w:sz w:val="10"/>
          <w:szCs w:val="10"/>
        </w:rPr>
      </w:pPr>
      <w:r w:rsidRPr="00AF759E">
        <w:rPr>
          <w:sz w:val="10"/>
          <w:szCs w:val="10"/>
        </w:rPr>
        <w:t>Source: Based on ABS data.</w:t>
      </w:r>
    </w:p>
    <w:p w14:paraId="16968A56" w14:textId="77777777" w:rsidR="00233755" w:rsidRPr="00F63F86"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F63F86">
        <w:rPr>
          <w:sz w:val="16"/>
          <w:szCs w:val="16"/>
        </w:rPr>
        <w:t>The changes in Western Australia’s economy over the past 30 years means it now has an economic structure that is quite different to the rest of Australia.</w:t>
      </w:r>
    </w:p>
    <w:p w14:paraId="2845C934"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Household consumption accounted for 51% of Australia’s gross domestic product (GDP) in 2023</w:t>
      </w:r>
      <w:r w:rsidRPr="00A237CC">
        <w:rPr>
          <w:sz w:val="16"/>
          <w:szCs w:val="16"/>
        </w:rPr>
        <w:noBreakHyphen/>
        <w:t>24, much higher than its share of Western Australia’s GSP in 2023</w:t>
      </w:r>
      <w:r w:rsidRPr="00A237CC">
        <w:rPr>
          <w:sz w:val="16"/>
          <w:szCs w:val="16"/>
        </w:rPr>
        <w:noBreakHyphen/>
        <w:t xml:space="preserve">24, but </w:t>
      </w:r>
      <w:proofErr w:type="gramStart"/>
      <w:r w:rsidRPr="00A237CC">
        <w:rPr>
          <w:sz w:val="16"/>
          <w:szCs w:val="16"/>
        </w:rPr>
        <w:t>similar to</w:t>
      </w:r>
      <w:proofErr w:type="gramEnd"/>
      <w:r w:rsidRPr="00A237CC">
        <w:rPr>
          <w:sz w:val="16"/>
          <w:szCs w:val="16"/>
        </w:rPr>
        <w:t xml:space="preserve"> the share of Western Australia’s GSP in 1993</w:t>
      </w:r>
      <w:r w:rsidRPr="00A237CC">
        <w:rPr>
          <w:sz w:val="16"/>
          <w:szCs w:val="16"/>
        </w:rPr>
        <w:noBreakHyphen/>
        <w:t>94.</w:t>
      </w:r>
    </w:p>
    <w:p w14:paraId="1844A011"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Pr>
          <w:sz w:val="16"/>
          <w:szCs w:val="16"/>
        </w:rPr>
        <w:t>As Western Australia accounts for a high share of Australia’s exports, the GDP share of n</w:t>
      </w:r>
      <w:r w:rsidRPr="00A237CC">
        <w:rPr>
          <w:sz w:val="16"/>
          <w:szCs w:val="16"/>
        </w:rPr>
        <w:t xml:space="preserve">et exports </w:t>
      </w:r>
      <w:r>
        <w:rPr>
          <w:sz w:val="16"/>
          <w:szCs w:val="16"/>
        </w:rPr>
        <w:t>for Australia (</w:t>
      </w:r>
      <w:r w:rsidRPr="00A237CC">
        <w:rPr>
          <w:sz w:val="16"/>
          <w:szCs w:val="16"/>
        </w:rPr>
        <w:t>2% in 2023</w:t>
      </w:r>
      <w:r w:rsidRPr="00A237CC">
        <w:rPr>
          <w:sz w:val="16"/>
          <w:szCs w:val="16"/>
        </w:rPr>
        <w:noBreakHyphen/>
        <w:t>24</w:t>
      </w:r>
      <w:r>
        <w:rPr>
          <w:sz w:val="16"/>
          <w:szCs w:val="16"/>
        </w:rPr>
        <w:t>)</w:t>
      </w:r>
      <w:r w:rsidRPr="00A237CC">
        <w:rPr>
          <w:sz w:val="16"/>
          <w:szCs w:val="16"/>
        </w:rPr>
        <w:t xml:space="preserve">, </w:t>
      </w:r>
      <w:r>
        <w:rPr>
          <w:sz w:val="16"/>
          <w:szCs w:val="16"/>
        </w:rPr>
        <w:t>is much lower compared to its share of Western Australia’s GSP.</w:t>
      </w:r>
    </w:p>
    <w:p w14:paraId="1BBD6D4A" w14:textId="77777777" w:rsidR="00233755" w:rsidRPr="00307C34" w:rsidRDefault="00233755" w:rsidP="006058E8">
      <w:pPr>
        <w:pStyle w:val="ListParagraph"/>
        <w:numPr>
          <w:ilvl w:val="0"/>
          <w:numId w:val="9"/>
        </w:numPr>
        <w:spacing w:before="40" w:after="40"/>
        <w:ind w:left="357" w:right="227" w:hanging="357"/>
        <w:contextualSpacing w:val="0"/>
        <w:jc w:val="both"/>
        <w:rPr>
          <w:sz w:val="16"/>
          <w:szCs w:val="16"/>
        </w:rPr>
      </w:pPr>
      <w:r w:rsidRPr="00307C34">
        <w:rPr>
          <w:sz w:val="16"/>
          <w:szCs w:val="16"/>
        </w:rPr>
        <w:t>The GDP shares of private investment (1</w:t>
      </w:r>
      <w:r>
        <w:rPr>
          <w:sz w:val="16"/>
          <w:szCs w:val="16"/>
        </w:rPr>
        <w:t>9</w:t>
      </w:r>
      <w:r w:rsidRPr="00307C34">
        <w:rPr>
          <w:sz w:val="16"/>
          <w:szCs w:val="16"/>
        </w:rPr>
        <w:t>% in 202</w:t>
      </w:r>
      <w:r>
        <w:rPr>
          <w:sz w:val="16"/>
          <w:szCs w:val="16"/>
        </w:rPr>
        <w:t>3</w:t>
      </w:r>
      <w:r w:rsidRPr="00307C34">
        <w:rPr>
          <w:sz w:val="16"/>
          <w:szCs w:val="16"/>
        </w:rPr>
        <w:noBreakHyphen/>
        <w:t>2</w:t>
      </w:r>
      <w:r>
        <w:rPr>
          <w:sz w:val="16"/>
          <w:szCs w:val="16"/>
        </w:rPr>
        <w:t>4</w:t>
      </w:r>
      <w:r w:rsidRPr="00307C34">
        <w:rPr>
          <w:sz w:val="16"/>
          <w:szCs w:val="16"/>
        </w:rPr>
        <w:t>) and public final demand (2</w:t>
      </w:r>
      <w:r>
        <w:rPr>
          <w:sz w:val="16"/>
          <w:szCs w:val="16"/>
        </w:rPr>
        <w:t>8</w:t>
      </w:r>
      <w:r w:rsidRPr="00307C34">
        <w:rPr>
          <w:sz w:val="16"/>
          <w:szCs w:val="16"/>
        </w:rPr>
        <w:t>% in 202</w:t>
      </w:r>
      <w:r>
        <w:rPr>
          <w:sz w:val="16"/>
          <w:szCs w:val="16"/>
        </w:rPr>
        <w:t>3</w:t>
      </w:r>
      <w:r w:rsidRPr="00307C34">
        <w:rPr>
          <w:sz w:val="16"/>
          <w:szCs w:val="16"/>
        </w:rPr>
        <w:noBreakHyphen/>
        <w:t>2</w:t>
      </w:r>
      <w:r>
        <w:rPr>
          <w:sz w:val="16"/>
          <w:szCs w:val="16"/>
        </w:rPr>
        <w:t>4</w:t>
      </w:r>
      <w:r w:rsidRPr="00307C34">
        <w:rPr>
          <w:sz w:val="16"/>
          <w:szCs w:val="16"/>
        </w:rPr>
        <w:t>) are higher compared to their shares of Western Australia’s GSP</w:t>
      </w:r>
      <w:r>
        <w:rPr>
          <w:sz w:val="16"/>
          <w:szCs w:val="16"/>
        </w:rPr>
        <w:t>, although this is partly explained by the high share of net exports in Western Australia’s GSP</w:t>
      </w:r>
      <w:r w:rsidRPr="00307C34">
        <w:rPr>
          <w:sz w:val="16"/>
          <w:szCs w:val="16"/>
        </w:rPr>
        <w:t>.</w:t>
      </w:r>
    </w:p>
    <w:p w14:paraId="4D1683CD"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73CB3A18"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38" w:name="_Per_capita_incomes"/>
      <w:bookmarkEnd w:id="38"/>
      <w:r w:rsidRPr="008F7AA0">
        <w:rPr>
          <w:bCs/>
          <w:color w:val="004C3D"/>
          <w:sz w:val="24"/>
          <w:szCs w:val="24"/>
        </w:rPr>
        <w:lastRenderedPageBreak/>
        <w:t>Per capita incomes</w:t>
      </w:r>
    </w:p>
    <w:p w14:paraId="568096C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1E24B459" w14:textId="44F05E7C"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w:t>
      </w:r>
      <w:r w:rsidR="00AF0021">
        <w:rPr>
          <w:i w:val="0"/>
          <w:iCs w:val="0"/>
          <w:color w:val="00997A"/>
          <w:sz w:val="20"/>
          <w:szCs w:val="20"/>
        </w:rPr>
        <w:t xml:space="preserve"> and </w:t>
      </w:r>
      <w:r w:rsidRPr="009446B5">
        <w:rPr>
          <w:i w:val="0"/>
          <w:iCs w:val="0"/>
          <w:color w:val="00997A"/>
          <w:sz w:val="20"/>
          <w:szCs w:val="20"/>
        </w:rPr>
        <w:t>domestic product per capita</w:t>
      </w:r>
    </w:p>
    <w:p w14:paraId="01277754" w14:textId="3401649C" w:rsidR="00233755" w:rsidRPr="007B1AE5" w:rsidRDefault="005A547E" w:rsidP="00233755">
      <w:r>
        <w:rPr>
          <w:noProof/>
        </w:rPr>
        <w:drawing>
          <wp:inline distT="0" distB="0" distL="0" distR="0" wp14:anchorId="7D4F456B" wp14:editId="387DE191">
            <wp:extent cx="3400746" cy="2092554"/>
            <wp:effectExtent l="0" t="0" r="0" b="3175"/>
            <wp:docPr id="156631363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08603" cy="2097389"/>
                    </a:xfrm>
                    <a:prstGeom prst="rect">
                      <a:avLst/>
                    </a:prstGeom>
                    <a:noFill/>
                    <a:ln>
                      <a:noFill/>
                    </a:ln>
                  </pic:spPr>
                </pic:pic>
              </a:graphicData>
            </a:graphic>
          </wp:inline>
        </w:drawing>
      </w:r>
    </w:p>
    <w:p w14:paraId="62197F72"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073B1F85" w14:textId="77777777" w:rsidR="00233755" w:rsidRPr="00AF759E" w:rsidRDefault="00233755" w:rsidP="003C6DDF">
      <w:pPr>
        <w:jc w:val="both"/>
        <w:rPr>
          <w:sz w:val="10"/>
          <w:szCs w:val="10"/>
        </w:rPr>
      </w:pPr>
      <w:r w:rsidRPr="00AF759E">
        <w:rPr>
          <w:sz w:val="10"/>
          <w:szCs w:val="10"/>
        </w:rPr>
        <w:t>Source: Based on ABS data.</w:t>
      </w:r>
    </w:p>
    <w:p w14:paraId="0234EDDD" w14:textId="77777777" w:rsidR="00233755" w:rsidRPr="000E4417"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Pr>
          <w:sz w:val="16"/>
          <w:szCs w:val="16"/>
        </w:rPr>
        <w:t>Western Australia’s nominal GSP has grown at a faster rate than Australia’s nominal GSP over the past 20 years, resulting in a large gap between Western Australia’s GSP per capita and Australia’s GDP per capita.</w:t>
      </w:r>
    </w:p>
    <w:p w14:paraId="4395E1C5"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In 2003</w:t>
      </w:r>
      <w:r w:rsidRPr="00A237CC">
        <w:rPr>
          <w:sz w:val="16"/>
          <w:szCs w:val="16"/>
        </w:rPr>
        <w:noBreakHyphen/>
        <w:t>04, Western Australia’s GSP was $95.8 billion, which was 11</w:t>
      </w:r>
      <w:r w:rsidRPr="00A237CC" w:rsidDel="00B715D2">
        <w:rPr>
          <w:sz w:val="16"/>
          <w:szCs w:val="16"/>
        </w:rPr>
        <w:t>.</w:t>
      </w:r>
      <w:r w:rsidRPr="00A237CC">
        <w:rPr>
          <w:sz w:val="16"/>
          <w:szCs w:val="16"/>
        </w:rPr>
        <w:t>1 per cent of Australia’s GDP. In 2023</w:t>
      </w:r>
      <w:r w:rsidRPr="00A237CC">
        <w:rPr>
          <w:sz w:val="16"/>
          <w:szCs w:val="16"/>
        </w:rPr>
        <w:noBreakHyphen/>
        <w:t>24, Western Australia’s GSP was $455.7 billion, and its share of Australia’s GDP had grown to 17</w:t>
      </w:r>
      <w:r w:rsidRPr="00A237CC" w:rsidDel="00964913">
        <w:rPr>
          <w:sz w:val="16"/>
          <w:szCs w:val="16"/>
        </w:rPr>
        <w:t>.</w:t>
      </w:r>
      <w:r w:rsidRPr="00A237CC">
        <w:rPr>
          <w:sz w:val="16"/>
          <w:szCs w:val="16"/>
        </w:rPr>
        <w:t>1%.</w:t>
      </w:r>
    </w:p>
    <w:p w14:paraId="68031C08"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In 2003</w:t>
      </w:r>
      <w:r w:rsidRPr="00A237CC">
        <w:rPr>
          <w:sz w:val="16"/>
          <w:szCs w:val="16"/>
        </w:rPr>
        <w:noBreakHyphen/>
        <w:t>04, Western Australia’s GSP per capita was $48,744, which was 12% higher than Australia’s GDP per capita of $43,586. In 2023</w:t>
      </w:r>
      <w:r w:rsidRPr="00A237CC">
        <w:rPr>
          <w:sz w:val="16"/>
          <w:szCs w:val="16"/>
        </w:rPr>
        <w:noBreakHyphen/>
        <w:t>24, Western Australia’s GSP per capita was $155,644, 57% higher Australia’s GDP per capita of $99,128.</w:t>
      </w:r>
    </w:p>
    <w:p w14:paraId="5A574B1A" w14:textId="77777777" w:rsidR="00233755" w:rsidRPr="00EB1814" w:rsidRDefault="00233755" w:rsidP="006058E8">
      <w:pPr>
        <w:pStyle w:val="ListParagraph"/>
        <w:numPr>
          <w:ilvl w:val="0"/>
          <w:numId w:val="9"/>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61E9095F"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factor income</w:t>
      </w:r>
    </w:p>
    <w:p w14:paraId="4419750D" w14:textId="4EB9A9A7" w:rsidR="00233755" w:rsidRPr="007B1AE5" w:rsidRDefault="005A547E" w:rsidP="00233755">
      <w:r>
        <w:rPr>
          <w:noProof/>
        </w:rPr>
        <w:drawing>
          <wp:inline distT="0" distB="0" distL="0" distR="0" wp14:anchorId="5DA88B74" wp14:editId="5ACF6D68">
            <wp:extent cx="3439624" cy="2116476"/>
            <wp:effectExtent l="0" t="0" r="8890" b="0"/>
            <wp:docPr id="156761779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46154" cy="2120494"/>
                    </a:xfrm>
                    <a:prstGeom prst="rect">
                      <a:avLst/>
                    </a:prstGeom>
                    <a:noFill/>
                    <a:ln>
                      <a:noFill/>
                    </a:ln>
                  </pic:spPr>
                </pic:pic>
              </a:graphicData>
            </a:graphic>
          </wp:inline>
        </w:drawing>
      </w:r>
    </w:p>
    <w:p w14:paraId="1FAC510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Compensation of employees. (b) Gross operating surplus and gross mixed income. (c) </w:t>
      </w:r>
      <w:bookmarkStart w:id="39" w:name="_Hlk158802591"/>
      <w:r w:rsidRPr="00AF759E">
        <w:rPr>
          <w:sz w:val="10"/>
          <w:szCs w:val="10"/>
        </w:rPr>
        <w:t>Ownership of dwellings; taxes less subsidies on production and imports; and statistical discrepancy</w:t>
      </w:r>
      <w:bookmarkEnd w:id="39"/>
      <w:r w:rsidRPr="00AF759E">
        <w:rPr>
          <w:sz w:val="10"/>
          <w:szCs w:val="10"/>
        </w:rPr>
        <w:t>.</w:t>
      </w:r>
    </w:p>
    <w:p w14:paraId="30AC9909" w14:textId="77777777" w:rsidR="00233755" w:rsidRPr="00AF759E" w:rsidRDefault="00233755" w:rsidP="003C6DDF">
      <w:pPr>
        <w:jc w:val="both"/>
        <w:rPr>
          <w:sz w:val="10"/>
          <w:szCs w:val="10"/>
        </w:rPr>
      </w:pPr>
      <w:r w:rsidRPr="00AF759E">
        <w:rPr>
          <w:sz w:val="10"/>
          <w:szCs w:val="10"/>
        </w:rPr>
        <w:t>Source: Based on ABS data.</w:t>
      </w:r>
    </w:p>
    <w:p w14:paraId="6877C9E8" w14:textId="77777777" w:rsidR="00233755" w:rsidRPr="00475EF4" w:rsidRDefault="00233755" w:rsidP="006058E8">
      <w:pPr>
        <w:pStyle w:val="ListParagraph"/>
        <w:numPr>
          <w:ilvl w:val="0"/>
          <w:numId w:val="9"/>
        </w:numPr>
        <w:ind w:right="227"/>
        <w:jc w:val="both"/>
        <w:rPr>
          <w:sz w:val="16"/>
          <w:szCs w:val="16"/>
        </w:rPr>
      </w:pPr>
      <w:r w:rsidRPr="007B1AE5">
        <w:br w:type="column"/>
      </w:r>
      <w:r w:rsidRPr="00475EF4">
        <w:rPr>
          <w:sz w:val="16"/>
          <w:szCs w:val="16"/>
        </w:rPr>
        <w:t xml:space="preserve">The </w:t>
      </w:r>
      <w:r>
        <w:rPr>
          <w:sz w:val="16"/>
          <w:szCs w:val="16"/>
        </w:rPr>
        <w:t>growth of the mining industry in Western Australia has had a significant effect on the distribution of GSP across factor incomes (the returns to labour and capital).</w:t>
      </w:r>
    </w:p>
    <w:p w14:paraId="5689A8BD" w14:textId="77777777" w:rsidR="00233755" w:rsidRDefault="00233755" w:rsidP="006058E8">
      <w:pPr>
        <w:pStyle w:val="ListParagraph"/>
        <w:numPr>
          <w:ilvl w:val="0"/>
          <w:numId w:val="10"/>
        </w:numPr>
        <w:spacing w:before="40" w:after="40"/>
        <w:ind w:right="227" w:hanging="357"/>
        <w:contextualSpacing w:val="0"/>
        <w:jc w:val="both"/>
        <w:rPr>
          <w:sz w:val="16"/>
          <w:szCs w:val="16"/>
        </w:rPr>
      </w:pPr>
      <w:r>
        <w:rPr>
          <w:sz w:val="16"/>
          <w:szCs w:val="16"/>
        </w:rPr>
        <w:t>Higher commodity prices in the mid</w:t>
      </w:r>
      <w:r>
        <w:rPr>
          <w:sz w:val="16"/>
          <w:szCs w:val="16"/>
        </w:rPr>
        <w:noBreakHyphen/>
        <w:t>2000s led to profits assuming a greater share of Western Australia’s GSP.</w:t>
      </w:r>
    </w:p>
    <w:p w14:paraId="7A1B443B" w14:textId="77777777" w:rsidR="00233755" w:rsidRDefault="00233755" w:rsidP="006058E8">
      <w:pPr>
        <w:pStyle w:val="ListParagraph"/>
        <w:numPr>
          <w:ilvl w:val="0"/>
          <w:numId w:val="10"/>
        </w:numPr>
        <w:spacing w:before="40" w:after="40"/>
        <w:ind w:right="227" w:hanging="357"/>
        <w:contextualSpacing w:val="0"/>
        <w:jc w:val="both"/>
        <w:rPr>
          <w:sz w:val="16"/>
          <w:szCs w:val="16"/>
        </w:rPr>
      </w:pPr>
      <w:r>
        <w:rPr>
          <w:sz w:val="16"/>
          <w:szCs w:val="16"/>
        </w:rPr>
        <w:t>The high labour demand from the construction of multiple major projects in the early to mid</w:t>
      </w:r>
      <w:r>
        <w:rPr>
          <w:sz w:val="16"/>
          <w:szCs w:val="16"/>
        </w:rPr>
        <w:noBreakHyphen/>
        <w:t>2010s contributed to the share of wages and salaries in Western Australia’s GSP increasing back to 46% in 2015</w:t>
      </w:r>
      <w:r>
        <w:rPr>
          <w:sz w:val="16"/>
          <w:szCs w:val="16"/>
        </w:rPr>
        <w:noBreakHyphen/>
        <w:t>16.</w:t>
      </w:r>
    </w:p>
    <w:p w14:paraId="03158904" w14:textId="77777777" w:rsidR="00233755" w:rsidRPr="00ED2D64" w:rsidRDefault="00233755" w:rsidP="006058E8">
      <w:pPr>
        <w:pStyle w:val="ListParagraph"/>
        <w:numPr>
          <w:ilvl w:val="0"/>
          <w:numId w:val="10"/>
        </w:numPr>
        <w:spacing w:before="40" w:after="40"/>
        <w:ind w:right="227" w:hanging="357"/>
        <w:contextualSpacing w:val="0"/>
        <w:jc w:val="both"/>
        <w:rPr>
          <w:sz w:val="16"/>
          <w:szCs w:val="16"/>
        </w:rPr>
      </w:pPr>
      <w:r>
        <w:rPr>
          <w:sz w:val="16"/>
          <w:szCs w:val="16"/>
        </w:rPr>
        <w:t>The combination of these projects moving into a far less labour</w:t>
      </w:r>
      <w:r>
        <w:rPr>
          <w:sz w:val="16"/>
          <w:szCs w:val="16"/>
        </w:rPr>
        <w:noBreakHyphen/>
        <w:t>intensive operational phase and high commodity prices led to profits again assuming a greater share of Western Australia’s GSP.</w:t>
      </w:r>
    </w:p>
    <w:p w14:paraId="6C362269" w14:textId="77777777" w:rsidR="00233755" w:rsidRPr="00A237CC" w:rsidRDefault="00233755" w:rsidP="006058E8">
      <w:pPr>
        <w:pStyle w:val="ListParagraph"/>
        <w:numPr>
          <w:ilvl w:val="0"/>
          <w:numId w:val="9"/>
        </w:numPr>
        <w:ind w:right="227"/>
        <w:jc w:val="both"/>
        <w:rPr>
          <w:sz w:val="16"/>
          <w:szCs w:val="16"/>
        </w:rPr>
      </w:pPr>
      <w:r w:rsidRPr="00A237CC">
        <w:rPr>
          <w:sz w:val="16"/>
          <w:szCs w:val="16"/>
        </w:rPr>
        <w:t>In 2023</w:t>
      </w:r>
      <w:r w:rsidRPr="00A237CC">
        <w:rPr>
          <w:sz w:val="16"/>
          <w:szCs w:val="16"/>
        </w:rPr>
        <w:noBreakHyphen/>
        <w:t>24:</w:t>
      </w:r>
    </w:p>
    <w:p w14:paraId="73D30CAE" w14:textId="77777777" w:rsidR="00233755" w:rsidRPr="00A237CC" w:rsidRDefault="00233755" w:rsidP="006058E8">
      <w:pPr>
        <w:pStyle w:val="ListParagraph"/>
        <w:numPr>
          <w:ilvl w:val="0"/>
          <w:numId w:val="10"/>
        </w:numPr>
        <w:spacing w:before="40" w:after="40"/>
        <w:ind w:right="227" w:hanging="357"/>
        <w:contextualSpacing w:val="0"/>
        <w:jc w:val="both"/>
        <w:rPr>
          <w:sz w:val="16"/>
          <w:szCs w:val="16"/>
        </w:rPr>
      </w:pPr>
      <w:r w:rsidRPr="00A237CC">
        <w:rPr>
          <w:sz w:val="16"/>
          <w:szCs w:val="16"/>
        </w:rPr>
        <w:t>Wages and salaries were $158.3 billion (35% of GSP)</w:t>
      </w:r>
    </w:p>
    <w:p w14:paraId="029A6DC5" w14:textId="77777777" w:rsidR="00233755" w:rsidRPr="00A237CC" w:rsidRDefault="00233755" w:rsidP="006058E8">
      <w:pPr>
        <w:pStyle w:val="ListParagraph"/>
        <w:numPr>
          <w:ilvl w:val="0"/>
          <w:numId w:val="10"/>
        </w:numPr>
        <w:spacing w:before="40" w:after="40"/>
        <w:ind w:right="227" w:hanging="357"/>
        <w:contextualSpacing w:val="0"/>
        <w:jc w:val="both"/>
        <w:rPr>
          <w:sz w:val="16"/>
          <w:szCs w:val="16"/>
        </w:rPr>
      </w:pPr>
      <w:r w:rsidRPr="00A237CC">
        <w:rPr>
          <w:sz w:val="16"/>
          <w:szCs w:val="16"/>
        </w:rPr>
        <w:t>Profits were $269.9 billion (59% of GSP)</w:t>
      </w:r>
    </w:p>
    <w:p w14:paraId="7971CA19" w14:textId="77777777" w:rsidR="00233755" w:rsidRPr="00A237CC" w:rsidRDefault="00233755" w:rsidP="006058E8">
      <w:pPr>
        <w:pStyle w:val="ListParagraph"/>
        <w:numPr>
          <w:ilvl w:val="0"/>
          <w:numId w:val="10"/>
        </w:numPr>
        <w:spacing w:before="40" w:after="40"/>
        <w:ind w:right="227" w:hanging="357"/>
        <w:contextualSpacing w:val="0"/>
        <w:jc w:val="both"/>
        <w:rPr>
          <w:sz w:val="16"/>
          <w:szCs w:val="16"/>
        </w:rPr>
      </w:pPr>
      <w:r w:rsidRPr="00A237CC">
        <w:rPr>
          <w:sz w:val="16"/>
          <w:szCs w:val="16"/>
        </w:rPr>
        <w:t>The ‘Other’ category (ownership of dwellings; taxes less subsidies on production and imports; and statistical discrepancy) was $27.5 billion (6% of GSP).</w:t>
      </w:r>
    </w:p>
    <w:p w14:paraId="1D630F62" w14:textId="77777777" w:rsidR="00233755" w:rsidRPr="00EB1814" w:rsidRDefault="00233755" w:rsidP="006058E8">
      <w:pPr>
        <w:pStyle w:val="ListParagraph"/>
        <w:numPr>
          <w:ilvl w:val="0"/>
          <w:numId w:val="9"/>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7C51D52D"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household disposable income per capita</w:t>
      </w:r>
    </w:p>
    <w:p w14:paraId="6A6C107D" w14:textId="5A194610" w:rsidR="00233755" w:rsidRPr="007B1AE5" w:rsidRDefault="005A547E" w:rsidP="00233755">
      <w:r>
        <w:rPr>
          <w:noProof/>
        </w:rPr>
        <w:drawing>
          <wp:inline distT="0" distB="0" distL="0" distR="0" wp14:anchorId="6D51AAA3" wp14:editId="15AA557D">
            <wp:extent cx="3421294" cy="2113098"/>
            <wp:effectExtent l="0" t="0" r="8255" b="1905"/>
            <wp:docPr id="75116182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32581" cy="2120069"/>
                    </a:xfrm>
                    <a:prstGeom prst="rect">
                      <a:avLst/>
                    </a:prstGeom>
                    <a:noFill/>
                    <a:ln>
                      <a:noFill/>
                    </a:ln>
                  </pic:spPr>
                </pic:pic>
              </a:graphicData>
            </a:graphic>
          </wp:inline>
        </w:drawing>
      </w:r>
    </w:p>
    <w:p w14:paraId="4EC1700A"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6DF4074C" w14:textId="77777777" w:rsidR="00233755" w:rsidRPr="00AF759E" w:rsidRDefault="00233755" w:rsidP="003C6DDF">
      <w:pPr>
        <w:jc w:val="both"/>
        <w:rPr>
          <w:sz w:val="10"/>
          <w:szCs w:val="10"/>
        </w:rPr>
      </w:pPr>
      <w:r w:rsidRPr="00AF759E">
        <w:rPr>
          <w:sz w:val="10"/>
          <w:szCs w:val="10"/>
        </w:rPr>
        <w:t>Source: Based on ABS data.</w:t>
      </w:r>
    </w:p>
    <w:p w14:paraId="45C8DC61" w14:textId="77777777" w:rsidR="00233755" w:rsidRDefault="00233755" w:rsidP="006058E8">
      <w:pPr>
        <w:pStyle w:val="ListParagraph"/>
        <w:numPr>
          <w:ilvl w:val="0"/>
          <w:numId w:val="9"/>
        </w:numPr>
        <w:ind w:right="227"/>
        <w:jc w:val="both"/>
        <w:rPr>
          <w:sz w:val="16"/>
          <w:szCs w:val="16"/>
        </w:rPr>
      </w:pPr>
      <w:r w:rsidRPr="007B1AE5">
        <w:br w:type="column"/>
      </w:r>
      <w:r>
        <w:rPr>
          <w:sz w:val="16"/>
          <w:szCs w:val="16"/>
        </w:rPr>
        <w:t>A high share of the capital that has generated large profits in recent years in Western Australia is owned outside the State. This means that a significant portion of the additional income from Western Australia’s recent GSP growth has flowed outside the State. As such, the difference in gross household disposable income per capita between Western Australia and Australia is a lot smaller than it is for gross state/domestic product per capita.</w:t>
      </w:r>
    </w:p>
    <w:p w14:paraId="45BB5320" w14:textId="77777777" w:rsidR="00233755" w:rsidRPr="00EC1FDB" w:rsidRDefault="00233755" w:rsidP="006058E8">
      <w:pPr>
        <w:pStyle w:val="ListParagraph"/>
        <w:numPr>
          <w:ilvl w:val="0"/>
          <w:numId w:val="9"/>
        </w:numPr>
        <w:spacing w:before="40" w:after="40"/>
        <w:ind w:left="357" w:right="227" w:hanging="357"/>
        <w:contextualSpacing w:val="0"/>
        <w:jc w:val="both"/>
        <w:rPr>
          <w:sz w:val="16"/>
          <w:szCs w:val="16"/>
        </w:rPr>
      </w:pPr>
      <w:r w:rsidRPr="00EC1FDB">
        <w:rPr>
          <w:sz w:val="16"/>
          <w:szCs w:val="16"/>
        </w:rPr>
        <w:t>Western Australia’s gross household disposable income per capita tracked largely in line with the national average from 199</w:t>
      </w:r>
      <w:r>
        <w:rPr>
          <w:sz w:val="16"/>
          <w:szCs w:val="16"/>
        </w:rPr>
        <w:t>3</w:t>
      </w:r>
      <w:r>
        <w:rPr>
          <w:sz w:val="16"/>
          <w:szCs w:val="16"/>
        </w:rPr>
        <w:noBreakHyphen/>
      </w:r>
      <w:r w:rsidRPr="00EC1FDB">
        <w:rPr>
          <w:sz w:val="16"/>
          <w:szCs w:val="16"/>
        </w:rPr>
        <w:t>9</w:t>
      </w:r>
      <w:r>
        <w:rPr>
          <w:sz w:val="16"/>
          <w:szCs w:val="16"/>
        </w:rPr>
        <w:t>4</w:t>
      </w:r>
      <w:r w:rsidRPr="00EC1FDB">
        <w:rPr>
          <w:sz w:val="16"/>
          <w:szCs w:val="16"/>
        </w:rPr>
        <w:t xml:space="preserve"> to 2001-02 but has been consistently higher than </w:t>
      </w:r>
      <w:r>
        <w:rPr>
          <w:sz w:val="16"/>
          <w:szCs w:val="16"/>
        </w:rPr>
        <w:t xml:space="preserve">the </w:t>
      </w:r>
      <w:r w:rsidRPr="00EC1FDB">
        <w:rPr>
          <w:sz w:val="16"/>
          <w:szCs w:val="16"/>
        </w:rPr>
        <w:t>national average since 2002-03.</w:t>
      </w:r>
    </w:p>
    <w:p w14:paraId="3E70BCF4"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The gap was highest in 2013</w:t>
      </w:r>
      <w:r w:rsidRPr="00A237CC">
        <w:rPr>
          <w:sz w:val="16"/>
          <w:szCs w:val="16"/>
        </w:rPr>
        <w:noBreakHyphen/>
        <w:t>14, during the construction phase of the mining expansion, when Western Australia’s gross household disposable income per capita was $55,124, 23% higher than the national figure of $44,793. The gap closed in the transition to the operational phase but has widened slightly in recent years.</w:t>
      </w:r>
    </w:p>
    <w:p w14:paraId="060DBDAD" w14:textId="77777777" w:rsidR="00233755" w:rsidRPr="00A237CC" w:rsidRDefault="00233755" w:rsidP="006058E8">
      <w:pPr>
        <w:pStyle w:val="ListParagraph"/>
        <w:numPr>
          <w:ilvl w:val="0"/>
          <w:numId w:val="9"/>
        </w:numPr>
        <w:ind w:right="227"/>
        <w:jc w:val="both"/>
        <w:rPr>
          <w:sz w:val="16"/>
          <w:szCs w:val="16"/>
        </w:rPr>
      </w:pPr>
      <w:r w:rsidRPr="00A237CC">
        <w:rPr>
          <w:sz w:val="16"/>
          <w:szCs w:val="16"/>
        </w:rPr>
        <w:t>In 2023</w:t>
      </w:r>
      <w:r w:rsidRPr="00A237CC">
        <w:rPr>
          <w:sz w:val="16"/>
          <w:szCs w:val="16"/>
        </w:rPr>
        <w:noBreakHyphen/>
        <w:t>24, Western Australia’s gross household disposable income per capita was $63,814, 9% higher than the national figure of $58,599.</w:t>
      </w:r>
    </w:p>
    <w:p w14:paraId="583251F0" w14:textId="77777777" w:rsidR="00233755" w:rsidRPr="00A02E80" w:rsidRDefault="00233755" w:rsidP="00233755">
      <w:pPr>
        <w:rPr>
          <w:sz w:val="16"/>
          <w:szCs w:val="16"/>
        </w:rPr>
        <w:sectPr w:rsidR="00233755" w:rsidRPr="00A02E80" w:rsidSect="00233755">
          <w:type w:val="continuous"/>
          <w:pgSz w:w="11907" w:h="16840" w:code="9"/>
          <w:pgMar w:top="1701" w:right="425" w:bottom="567" w:left="567" w:header="709" w:footer="709" w:gutter="0"/>
          <w:cols w:num="2" w:space="113"/>
          <w:docGrid w:linePitch="360"/>
        </w:sectPr>
      </w:pPr>
    </w:p>
    <w:p w14:paraId="1D7E57F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0" w:name="_International_trade_(annual)"/>
      <w:bookmarkEnd w:id="40"/>
      <w:r w:rsidRPr="008F7AA0">
        <w:rPr>
          <w:bCs/>
          <w:color w:val="004C3D"/>
          <w:sz w:val="24"/>
          <w:szCs w:val="24"/>
        </w:rPr>
        <w:lastRenderedPageBreak/>
        <w:t>International trade (annual)</w:t>
      </w:r>
    </w:p>
    <w:p w14:paraId="1300F779"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722898B"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and imports of goods</w:t>
      </w:r>
    </w:p>
    <w:p w14:paraId="73034FE4" w14:textId="29D7CF7B" w:rsidR="00233755" w:rsidRPr="007B1AE5" w:rsidRDefault="005A547E" w:rsidP="00233755">
      <w:r>
        <w:rPr>
          <w:noProof/>
        </w:rPr>
        <w:drawing>
          <wp:inline distT="0" distB="0" distL="0" distR="0" wp14:anchorId="1781FE59" wp14:editId="0ACA1D27">
            <wp:extent cx="3400746" cy="2092554"/>
            <wp:effectExtent l="0" t="0" r="0" b="3175"/>
            <wp:docPr id="64778895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09970" cy="2098230"/>
                    </a:xfrm>
                    <a:prstGeom prst="rect">
                      <a:avLst/>
                    </a:prstGeom>
                    <a:noFill/>
                    <a:ln>
                      <a:noFill/>
                    </a:ln>
                  </pic:spPr>
                </pic:pic>
              </a:graphicData>
            </a:graphic>
          </wp:inline>
        </w:drawing>
      </w:r>
    </w:p>
    <w:p w14:paraId="611CD915"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Imports of goods are displayed as negative values given they detract from gross state product.</w:t>
      </w:r>
    </w:p>
    <w:p w14:paraId="2AC0F331" w14:textId="77777777" w:rsidR="00233755" w:rsidRPr="00AF759E" w:rsidRDefault="00233755" w:rsidP="003C6DDF">
      <w:pPr>
        <w:jc w:val="both"/>
        <w:rPr>
          <w:sz w:val="10"/>
          <w:szCs w:val="10"/>
        </w:rPr>
      </w:pPr>
      <w:r w:rsidRPr="00AF759E">
        <w:rPr>
          <w:sz w:val="10"/>
          <w:szCs w:val="10"/>
        </w:rPr>
        <w:t>Source: Based on ABS data.</w:t>
      </w:r>
    </w:p>
    <w:p w14:paraId="473E5C3E" w14:textId="77777777" w:rsidR="00233755" w:rsidRPr="0013674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136745">
        <w:rPr>
          <w:sz w:val="16"/>
          <w:szCs w:val="16"/>
        </w:rPr>
        <w:t xml:space="preserve">Western Australia has a very large surplus in </w:t>
      </w:r>
      <w:r>
        <w:rPr>
          <w:sz w:val="16"/>
          <w:szCs w:val="16"/>
        </w:rPr>
        <w:t>goods</w:t>
      </w:r>
      <w:r w:rsidRPr="00136745">
        <w:rPr>
          <w:sz w:val="16"/>
          <w:szCs w:val="16"/>
        </w:rPr>
        <w:t xml:space="preserve"> trade. </w:t>
      </w:r>
      <w:r>
        <w:rPr>
          <w:sz w:val="16"/>
          <w:szCs w:val="16"/>
        </w:rPr>
        <w:t>H</w:t>
      </w:r>
      <w:r w:rsidRPr="00136745">
        <w:rPr>
          <w:sz w:val="16"/>
          <w:szCs w:val="16"/>
        </w:rPr>
        <w:t>igh</w:t>
      </w:r>
      <w:r w:rsidRPr="00136745">
        <w:rPr>
          <w:sz w:val="16"/>
          <w:szCs w:val="16"/>
        </w:rPr>
        <w:noBreakHyphen/>
        <w:t xml:space="preserve">volume production of minerals, energy and agricultural commodities generates </w:t>
      </w:r>
      <w:r>
        <w:rPr>
          <w:sz w:val="16"/>
          <w:szCs w:val="16"/>
        </w:rPr>
        <w:t>significant revenue and the small domestic market for these commodities means much of that revenue is through exports.</w:t>
      </w:r>
    </w:p>
    <w:p w14:paraId="3E658E44"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Between 1993</w:t>
      </w:r>
      <w:r w:rsidRPr="00A237CC">
        <w:rPr>
          <w:sz w:val="16"/>
          <w:szCs w:val="16"/>
        </w:rPr>
        <w:noBreakHyphen/>
        <w:t>94 and 2023</w:t>
      </w:r>
      <w:r w:rsidRPr="00A237CC">
        <w:rPr>
          <w:sz w:val="16"/>
          <w:szCs w:val="16"/>
        </w:rPr>
        <w:noBreakHyphen/>
        <w:t>24, the value of Western Australia’s goods exports increased at an average annual rate of 10%, driven by significant growth of mineral and petroleum exports.</w:t>
      </w:r>
    </w:p>
    <w:p w14:paraId="590F9514"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The value of Western Australia’s goods exports was $256.2 billion in 2023</w:t>
      </w:r>
      <w:r w:rsidRPr="00A237CC">
        <w:rPr>
          <w:sz w:val="16"/>
          <w:szCs w:val="16"/>
        </w:rPr>
        <w:noBreakHyphen/>
        <w:t>24 (48% of Australia’s total goods exports).</w:t>
      </w:r>
    </w:p>
    <w:p w14:paraId="45D6F9F4"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Western Australia’s major imports are refined petroleum oils, motor vehicles, non-monetary gold (for further refining at the Perth Mint) and chemicals.</w:t>
      </w:r>
    </w:p>
    <w:p w14:paraId="633FEFBD"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Between 1993</w:t>
      </w:r>
      <w:r w:rsidRPr="00A237CC">
        <w:rPr>
          <w:sz w:val="16"/>
          <w:szCs w:val="16"/>
        </w:rPr>
        <w:noBreakHyphen/>
        <w:t>94 and 2023</w:t>
      </w:r>
      <w:r w:rsidRPr="00A237CC">
        <w:rPr>
          <w:sz w:val="16"/>
          <w:szCs w:val="16"/>
        </w:rPr>
        <w:noBreakHyphen/>
        <w:t>24 the value of Western Australia’s goods imports increased at an average annual rate of 9%.</w:t>
      </w:r>
    </w:p>
    <w:p w14:paraId="26DD074B"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The value of Western Australia’s goods imports was $55.7 billion in 2023</w:t>
      </w:r>
      <w:r w:rsidRPr="00A237CC">
        <w:rPr>
          <w:sz w:val="16"/>
          <w:szCs w:val="16"/>
        </w:rPr>
        <w:noBreakHyphen/>
        <w:t>24 (13% of Australia’s goods imports).</w:t>
      </w:r>
    </w:p>
    <w:p w14:paraId="086D95BA" w14:textId="77777777" w:rsidR="00233755" w:rsidRPr="00FC65EB" w:rsidRDefault="00233755" w:rsidP="006058E8">
      <w:pPr>
        <w:pStyle w:val="ListParagraph"/>
        <w:numPr>
          <w:ilvl w:val="0"/>
          <w:numId w:val="9"/>
        </w:numPr>
        <w:ind w:right="227"/>
        <w:jc w:val="both"/>
        <w:rPr>
          <w:sz w:val="16"/>
          <w:szCs w:val="16"/>
        </w:rPr>
        <w:sectPr w:rsidR="00233755" w:rsidRPr="00FC65EB" w:rsidSect="00233755">
          <w:type w:val="continuous"/>
          <w:pgSz w:w="11907" w:h="16840" w:code="9"/>
          <w:pgMar w:top="1701" w:right="425" w:bottom="567" w:left="567" w:header="709" w:footer="709" w:gutter="0"/>
          <w:cols w:num="2" w:space="113"/>
          <w:docGrid w:linePitch="360"/>
        </w:sectPr>
      </w:pPr>
    </w:p>
    <w:p w14:paraId="6F15AD00"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and imports of services</w:t>
      </w:r>
    </w:p>
    <w:p w14:paraId="2D9ACE30" w14:textId="400C3F53" w:rsidR="00233755" w:rsidRPr="007B1AE5" w:rsidRDefault="005A547E" w:rsidP="00233755">
      <w:r>
        <w:rPr>
          <w:noProof/>
        </w:rPr>
        <w:drawing>
          <wp:inline distT="0" distB="0" distL="0" distR="0" wp14:anchorId="6910424B" wp14:editId="45475064">
            <wp:extent cx="3431568" cy="2111519"/>
            <wp:effectExtent l="0" t="0" r="0" b="3175"/>
            <wp:docPr id="124518915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39855" cy="2116618"/>
                    </a:xfrm>
                    <a:prstGeom prst="rect">
                      <a:avLst/>
                    </a:prstGeom>
                    <a:noFill/>
                    <a:ln>
                      <a:noFill/>
                    </a:ln>
                  </pic:spPr>
                </pic:pic>
              </a:graphicData>
            </a:graphic>
          </wp:inline>
        </w:drawing>
      </w:r>
    </w:p>
    <w:p w14:paraId="26E4E493"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Imports of services are displayed as negative values given they detract from gross state product.</w:t>
      </w:r>
    </w:p>
    <w:p w14:paraId="3621ACC7" w14:textId="77777777" w:rsidR="00233755" w:rsidRPr="00AF759E" w:rsidRDefault="00233755" w:rsidP="003C6DDF">
      <w:pPr>
        <w:jc w:val="both"/>
        <w:rPr>
          <w:sz w:val="10"/>
          <w:szCs w:val="10"/>
        </w:rPr>
      </w:pPr>
      <w:r w:rsidRPr="00AF759E">
        <w:rPr>
          <w:sz w:val="10"/>
          <w:szCs w:val="10"/>
        </w:rPr>
        <w:t>Source: Based on ABS data.</w:t>
      </w:r>
    </w:p>
    <w:p w14:paraId="44EE0BCF" w14:textId="77777777" w:rsidR="00233755" w:rsidRDefault="00233755" w:rsidP="006058E8">
      <w:pPr>
        <w:pStyle w:val="ListParagraph"/>
        <w:numPr>
          <w:ilvl w:val="0"/>
          <w:numId w:val="9"/>
        </w:numPr>
        <w:spacing w:beforeLines="40" w:before="96" w:afterLines="40" w:after="96"/>
        <w:ind w:right="227"/>
        <w:contextualSpacing w:val="0"/>
        <w:jc w:val="both"/>
        <w:rPr>
          <w:sz w:val="16"/>
          <w:szCs w:val="16"/>
        </w:rPr>
      </w:pPr>
      <w:r w:rsidRPr="007B1AE5">
        <w:br w:type="column"/>
      </w:r>
      <w:r w:rsidRPr="00396A36">
        <w:rPr>
          <w:sz w:val="16"/>
          <w:szCs w:val="16"/>
        </w:rPr>
        <w:t>In contrast to its trade in goods, Western Australia usually has a deficit in its trade in services.</w:t>
      </w:r>
      <w:r>
        <w:rPr>
          <w:sz w:val="16"/>
          <w:szCs w:val="16"/>
        </w:rPr>
        <w:t xml:space="preserve"> The deficit emerged in the mid</w:t>
      </w:r>
      <w:r>
        <w:rPr>
          <w:sz w:val="16"/>
          <w:szCs w:val="16"/>
        </w:rPr>
        <w:noBreakHyphen/>
        <w:t>2000s when growth in incomes led more Western Australians to travel overseas (an import of services).</w:t>
      </w:r>
    </w:p>
    <w:p w14:paraId="7B47E2E8" w14:textId="77777777" w:rsidR="00233755" w:rsidRPr="00396A36" w:rsidRDefault="00233755" w:rsidP="006058E8">
      <w:pPr>
        <w:pStyle w:val="ListParagraph"/>
        <w:numPr>
          <w:ilvl w:val="0"/>
          <w:numId w:val="9"/>
        </w:numPr>
        <w:spacing w:beforeLines="40" w:before="96" w:afterLines="40" w:after="96"/>
        <w:ind w:right="227"/>
        <w:contextualSpacing w:val="0"/>
        <w:jc w:val="both"/>
        <w:rPr>
          <w:sz w:val="16"/>
          <w:szCs w:val="16"/>
        </w:rPr>
      </w:pPr>
      <w:r>
        <w:rPr>
          <w:sz w:val="16"/>
          <w:szCs w:val="16"/>
        </w:rPr>
        <w:t xml:space="preserve">The </w:t>
      </w:r>
      <w:r w:rsidRPr="00B34EE0">
        <w:rPr>
          <w:sz w:val="16"/>
          <w:szCs w:val="16"/>
        </w:rPr>
        <w:t xml:space="preserve">restrictions on travel and trade associated with the </w:t>
      </w:r>
      <w:r>
        <w:rPr>
          <w:sz w:val="16"/>
          <w:szCs w:val="16"/>
        </w:rPr>
        <w:t>COVID</w:t>
      </w:r>
      <w:r>
        <w:rPr>
          <w:sz w:val="16"/>
          <w:szCs w:val="16"/>
        </w:rPr>
        <w:noBreakHyphen/>
        <w:t>19 pandemic led to a sharp fall in the value of both imported and exported services. This briefly returned the balance of services trade to close to parity in 2020</w:t>
      </w:r>
      <w:r>
        <w:rPr>
          <w:sz w:val="16"/>
          <w:szCs w:val="16"/>
        </w:rPr>
        <w:noBreakHyphen/>
        <w:t>21, however the re</w:t>
      </w:r>
      <w:r>
        <w:rPr>
          <w:sz w:val="16"/>
          <w:szCs w:val="16"/>
        </w:rPr>
        <w:noBreakHyphen/>
        <w:t>opening of borders has led to higher growth in services imports compared to services exports.</w:t>
      </w:r>
    </w:p>
    <w:p w14:paraId="0FD8CEE7" w14:textId="77777777" w:rsidR="00233755" w:rsidRPr="00A237CC" w:rsidRDefault="00233755" w:rsidP="006058E8">
      <w:pPr>
        <w:pStyle w:val="ListParagraph"/>
        <w:numPr>
          <w:ilvl w:val="0"/>
          <w:numId w:val="9"/>
        </w:numPr>
        <w:spacing w:before="40" w:after="40"/>
        <w:ind w:right="227"/>
        <w:contextualSpacing w:val="0"/>
        <w:jc w:val="both"/>
        <w:rPr>
          <w:sz w:val="16"/>
          <w:szCs w:val="16"/>
        </w:rPr>
      </w:pPr>
      <w:r w:rsidRPr="00A237CC">
        <w:rPr>
          <w:sz w:val="16"/>
          <w:szCs w:val="16"/>
        </w:rPr>
        <w:t>In 2023</w:t>
      </w:r>
      <w:r w:rsidRPr="00A237CC">
        <w:rPr>
          <w:sz w:val="16"/>
          <w:szCs w:val="16"/>
        </w:rPr>
        <w:noBreakHyphen/>
        <w:t>24:</w:t>
      </w:r>
    </w:p>
    <w:p w14:paraId="0B8627B2" w14:textId="77777777" w:rsidR="00233755" w:rsidRPr="00A237CC" w:rsidRDefault="00233755" w:rsidP="006058E8">
      <w:pPr>
        <w:pStyle w:val="ListParagraph"/>
        <w:numPr>
          <w:ilvl w:val="0"/>
          <w:numId w:val="10"/>
        </w:numPr>
        <w:spacing w:before="40" w:after="40"/>
        <w:ind w:right="227" w:hanging="357"/>
        <w:contextualSpacing w:val="0"/>
        <w:jc w:val="both"/>
        <w:rPr>
          <w:sz w:val="16"/>
          <w:szCs w:val="16"/>
        </w:rPr>
      </w:pPr>
      <w:r w:rsidRPr="00A237CC">
        <w:rPr>
          <w:sz w:val="16"/>
          <w:szCs w:val="16"/>
        </w:rPr>
        <w:t>The value of Western Australia’s services exports was $10.0 billion (8.0% of Australia’s services exports)</w:t>
      </w:r>
    </w:p>
    <w:p w14:paraId="34AD9ED9" w14:textId="77777777" w:rsidR="00233755" w:rsidRPr="00A237CC" w:rsidRDefault="00233755" w:rsidP="006058E8">
      <w:pPr>
        <w:pStyle w:val="ListParagraph"/>
        <w:numPr>
          <w:ilvl w:val="0"/>
          <w:numId w:val="10"/>
        </w:numPr>
        <w:spacing w:before="40" w:after="40"/>
        <w:ind w:right="227" w:hanging="357"/>
        <w:contextualSpacing w:val="0"/>
        <w:jc w:val="both"/>
        <w:rPr>
          <w:sz w:val="16"/>
          <w:szCs w:val="16"/>
        </w:rPr>
      </w:pPr>
      <w:r w:rsidRPr="00A237CC">
        <w:rPr>
          <w:sz w:val="16"/>
          <w:szCs w:val="16"/>
        </w:rPr>
        <w:t>The value of Western Australia’s services imports was $16.7 billion (10.4% of Australia’s services imports).</w:t>
      </w:r>
    </w:p>
    <w:p w14:paraId="03B3B3BE" w14:textId="77777777" w:rsidR="00233755" w:rsidRPr="00B34EE0" w:rsidRDefault="00233755" w:rsidP="006058E8">
      <w:pPr>
        <w:pStyle w:val="ListParagraph"/>
        <w:numPr>
          <w:ilvl w:val="0"/>
          <w:numId w:val="9"/>
        </w:numPr>
        <w:ind w:right="227"/>
        <w:rPr>
          <w:sz w:val="16"/>
          <w:szCs w:val="16"/>
        </w:rPr>
        <w:sectPr w:rsidR="00233755" w:rsidRPr="00B34EE0" w:rsidSect="00233755">
          <w:type w:val="continuous"/>
          <w:pgSz w:w="11907" w:h="16840" w:code="9"/>
          <w:pgMar w:top="1701" w:right="425" w:bottom="567" w:left="567" w:header="709" w:footer="709" w:gutter="0"/>
          <w:cols w:num="2" w:space="113"/>
          <w:docGrid w:linePitch="360"/>
        </w:sectPr>
      </w:pPr>
    </w:p>
    <w:p w14:paraId="20032963"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of goods by market</w:t>
      </w:r>
    </w:p>
    <w:p w14:paraId="345778A2" w14:textId="1C009826" w:rsidR="00233755" w:rsidRPr="007B1AE5" w:rsidRDefault="005A547E" w:rsidP="00233755">
      <w:r>
        <w:rPr>
          <w:noProof/>
        </w:rPr>
        <w:drawing>
          <wp:inline distT="0" distB="0" distL="0" distR="0" wp14:anchorId="1886CF3E" wp14:editId="11049074">
            <wp:extent cx="3426460" cy="2116289"/>
            <wp:effectExtent l="0" t="0" r="2540" b="0"/>
            <wp:docPr id="21011861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43200" cy="2126628"/>
                    </a:xfrm>
                    <a:prstGeom prst="rect">
                      <a:avLst/>
                    </a:prstGeom>
                    <a:noFill/>
                    <a:ln>
                      <a:noFill/>
                    </a:ln>
                  </pic:spPr>
                </pic:pic>
              </a:graphicData>
            </a:graphic>
          </wp:inline>
        </w:drawing>
      </w:r>
    </w:p>
    <w:p w14:paraId="1ABBA523"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Free on board</w:t>
      </w:r>
      <w:r>
        <w:rPr>
          <w:sz w:val="10"/>
          <w:szCs w:val="10"/>
        </w:rPr>
        <w:t>.</w:t>
      </w:r>
    </w:p>
    <w:p w14:paraId="2BBAF1BA" w14:textId="77777777" w:rsidR="00233755" w:rsidRPr="00AF759E" w:rsidRDefault="00233755" w:rsidP="00233755">
      <w:pPr>
        <w:jc w:val="both"/>
        <w:rPr>
          <w:sz w:val="10"/>
          <w:szCs w:val="10"/>
        </w:rPr>
      </w:pPr>
      <w:r w:rsidRPr="00AF759E">
        <w:rPr>
          <w:sz w:val="10"/>
          <w:szCs w:val="10"/>
        </w:rPr>
        <w:t>Source: Based on ABS data.</w:t>
      </w:r>
    </w:p>
    <w:p w14:paraId="3DD84762"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Pr>
          <w:sz w:val="16"/>
          <w:szCs w:val="16"/>
        </w:rPr>
        <w:t>The g</w:t>
      </w:r>
      <w:r w:rsidRPr="00CB03A3">
        <w:rPr>
          <w:sz w:val="16"/>
          <w:szCs w:val="16"/>
        </w:rPr>
        <w:t xml:space="preserve">rowth in Western Australia’s goods exports </w:t>
      </w:r>
      <w:r>
        <w:rPr>
          <w:sz w:val="16"/>
          <w:szCs w:val="16"/>
        </w:rPr>
        <w:t xml:space="preserve">over the past 30 years has been largely due to higher demand from China, </w:t>
      </w:r>
      <w:proofErr w:type="gramStart"/>
      <w:r>
        <w:rPr>
          <w:sz w:val="16"/>
          <w:szCs w:val="16"/>
        </w:rPr>
        <w:t>in particular for</w:t>
      </w:r>
      <w:proofErr w:type="gramEnd"/>
      <w:r>
        <w:rPr>
          <w:sz w:val="16"/>
          <w:szCs w:val="16"/>
        </w:rPr>
        <w:t xml:space="preserve"> iron ore.</w:t>
      </w:r>
    </w:p>
    <w:p w14:paraId="2D375A23" w14:textId="3F00FD7B"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 xml:space="preserve">In </w:t>
      </w:r>
      <w:r w:rsidR="009C5469" w:rsidRPr="00553FCE">
        <w:rPr>
          <w:color w:val="000000" w:themeColor="text1"/>
          <w:sz w:val="16"/>
          <w:szCs w:val="16"/>
        </w:rPr>
        <w:t>1994-95</w:t>
      </w:r>
      <w:r w:rsidRPr="00553FCE">
        <w:rPr>
          <w:color w:val="000000" w:themeColor="text1"/>
          <w:sz w:val="16"/>
          <w:szCs w:val="16"/>
        </w:rPr>
        <w:t xml:space="preserve">, China accounted for </w:t>
      </w:r>
      <w:r w:rsidR="009C5469" w:rsidRPr="00553FCE">
        <w:rPr>
          <w:color w:val="000000" w:themeColor="text1"/>
          <w:sz w:val="16"/>
          <w:szCs w:val="16"/>
        </w:rPr>
        <w:t>6</w:t>
      </w:r>
      <w:r w:rsidRPr="00553FCE">
        <w:rPr>
          <w:color w:val="000000" w:themeColor="text1"/>
          <w:sz w:val="16"/>
          <w:szCs w:val="16"/>
        </w:rPr>
        <w:t xml:space="preserve">% of Western Australia’s goods exports. In that year, Japan was the State’s largest export market, accounting for </w:t>
      </w:r>
      <w:r w:rsidR="009C5469" w:rsidRPr="00553FCE">
        <w:rPr>
          <w:color w:val="000000" w:themeColor="text1"/>
          <w:sz w:val="16"/>
          <w:szCs w:val="16"/>
        </w:rPr>
        <w:t>30</w:t>
      </w:r>
      <w:r w:rsidRPr="00553FCE">
        <w:rPr>
          <w:color w:val="000000" w:themeColor="text1"/>
          <w:sz w:val="16"/>
          <w:szCs w:val="16"/>
        </w:rPr>
        <w:t>% of Western Australia’s goods exports, with South</w:t>
      </w:r>
      <w:r w:rsidR="001F4689" w:rsidRPr="00553FCE">
        <w:rPr>
          <w:color w:val="000000" w:themeColor="text1"/>
          <w:sz w:val="16"/>
          <w:szCs w:val="16"/>
        </w:rPr>
        <w:t> </w:t>
      </w:r>
      <w:r w:rsidRPr="00553FCE">
        <w:rPr>
          <w:color w:val="000000" w:themeColor="text1"/>
          <w:sz w:val="16"/>
          <w:szCs w:val="16"/>
        </w:rPr>
        <w:t xml:space="preserve">Korea accounting for </w:t>
      </w:r>
      <w:r w:rsidR="009C5469" w:rsidRPr="00553FCE">
        <w:rPr>
          <w:color w:val="000000" w:themeColor="text1"/>
          <w:sz w:val="16"/>
          <w:szCs w:val="16"/>
        </w:rPr>
        <w:t>10</w:t>
      </w:r>
      <w:r w:rsidRPr="00553FCE">
        <w:rPr>
          <w:color w:val="000000" w:themeColor="text1"/>
          <w:sz w:val="16"/>
          <w:szCs w:val="16"/>
        </w:rPr>
        <w:t>%.</w:t>
      </w:r>
    </w:p>
    <w:p w14:paraId="3F89BAE5" w14:textId="77777777"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China became Western Australia’s largest market for goods exports in 2006-07, overtaking Japan which had been the largest market since 1962</w:t>
      </w:r>
      <w:r w:rsidRPr="00553FCE">
        <w:rPr>
          <w:color w:val="000000" w:themeColor="text1"/>
          <w:sz w:val="16"/>
          <w:szCs w:val="16"/>
        </w:rPr>
        <w:noBreakHyphen/>
        <w:t>63.</w:t>
      </w:r>
    </w:p>
    <w:p w14:paraId="21D3B64A" w14:textId="486A7D2C"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In 202</w:t>
      </w:r>
      <w:r w:rsidR="009C5469" w:rsidRPr="00553FCE">
        <w:rPr>
          <w:color w:val="000000" w:themeColor="text1"/>
          <w:sz w:val="16"/>
          <w:szCs w:val="16"/>
        </w:rPr>
        <w:t>4</w:t>
      </w:r>
      <w:r w:rsidRPr="00553FCE">
        <w:rPr>
          <w:color w:val="000000" w:themeColor="text1"/>
          <w:sz w:val="16"/>
          <w:szCs w:val="16"/>
        </w:rPr>
        <w:t>-2</w:t>
      </w:r>
      <w:r w:rsidR="009C5469" w:rsidRPr="00553FCE">
        <w:rPr>
          <w:color w:val="000000" w:themeColor="text1"/>
          <w:sz w:val="16"/>
          <w:szCs w:val="16"/>
        </w:rPr>
        <w:t>5</w:t>
      </w:r>
      <w:r w:rsidRPr="00553FCE">
        <w:rPr>
          <w:color w:val="000000" w:themeColor="text1"/>
          <w:sz w:val="16"/>
          <w:szCs w:val="16"/>
        </w:rPr>
        <w:t>, Western Australia’s largest market for goods exports was China ($</w:t>
      </w:r>
      <w:r w:rsidR="009C5469" w:rsidRPr="00553FCE">
        <w:rPr>
          <w:color w:val="000000" w:themeColor="text1"/>
          <w:sz w:val="16"/>
          <w:szCs w:val="16"/>
        </w:rPr>
        <w:t>116.8</w:t>
      </w:r>
      <w:r w:rsidRPr="00553FCE">
        <w:rPr>
          <w:color w:val="000000" w:themeColor="text1"/>
          <w:sz w:val="16"/>
          <w:szCs w:val="16"/>
        </w:rPr>
        <w:t> billion or 5</w:t>
      </w:r>
      <w:r w:rsidR="009C5469" w:rsidRPr="00553FCE">
        <w:rPr>
          <w:color w:val="000000" w:themeColor="text1"/>
          <w:sz w:val="16"/>
          <w:szCs w:val="16"/>
        </w:rPr>
        <w:t>0</w:t>
      </w:r>
      <w:r w:rsidRPr="00553FCE">
        <w:rPr>
          <w:color w:val="000000" w:themeColor="text1"/>
          <w:sz w:val="16"/>
          <w:szCs w:val="16"/>
        </w:rPr>
        <w:t>%), followed by Japan ($</w:t>
      </w:r>
      <w:r w:rsidR="009C5469" w:rsidRPr="00553FCE">
        <w:rPr>
          <w:color w:val="000000" w:themeColor="text1"/>
          <w:sz w:val="16"/>
          <w:szCs w:val="16"/>
        </w:rPr>
        <w:t>24.9</w:t>
      </w:r>
      <w:r w:rsidRPr="00553FCE">
        <w:rPr>
          <w:color w:val="000000" w:themeColor="text1"/>
          <w:sz w:val="16"/>
          <w:szCs w:val="16"/>
        </w:rPr>
        <w:t> billion or 11%) and South Korea ($</w:t>
      </w:r>
      <w:r w:rsidR="009C5469" w:rsidRPr="00553FCE">
        <w:rPr>
          <w:color w:val="000000" w:themeColor="text1"/>
          <w:sz w:val="16"/>
          <w:szCs w:val="16"/>
        </w:rPr>
        <w:t>15.7</w:t>
      </w:r>
      <w:r w:rsidRPr="00553FCE">
        <w:rPr>
          <w:color w:val="000000" w:themeColor="text1"/>
          <w:sz w:val="16"/>
          <w:szCs w:val="16"/>
        </w:rPr>
        <w:t> billion or 7%). All other countries accounted for $</w:t>
      </w:r>
      <w:r w:rsidR="009C5469" w:rsidRPr="00553FCE">
        <w:rPr>
          <w:color w:val="000000" w:themeColor="text1"/>
          <w:sz w:val="16"/>
          <w:szCs w:val="16"/>
        </w:rPr>
        <w:t>74.5</w:t>
      </w:r>
      <w:r w:rsidRPr="00553FCE">
        <w:rPr>
          <w:color w:val="000000" w:themeColor="text1"/>
          <w:sz w:val="16"/>
          <w:szCs w:val="16"/>
        </w:rPr>
        <w:t xml:space="preserve"> billion or </w:t>
      </w:r>
      <w:r w:rsidR="009C5469" w:rsidRPr="00553FCE">
        <w:rPr>
          <w:color w:val="000000" w:themeColor="text1"/>
          <w:sz w:val="16"/>
          <w:szCs w:val="16"/>
        </w:rPr>
        <w:t>32</w:t>
      </w:r>
      <w:r w:rsidRPr="00553FCE">
        <w:rPr>
          <w:color w:val="000000" w:themeColor="text1"/>
          <w:sz w:val="16"/>
          <w:szCs w:val="16"/>
        </w:rPr>
        <w:t>% of total merchandise exports.</w:t>
      </w:r>
    </w:p>
    <w:p w14:paraId="5204F937" w14:textId="10B9EDA9"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In 202</w:t>
      </w:r>
      <w:r w:rsidR="009C5469" w:rsidRPr="00553FCE">
        <w:rPr>
          <w:color w:val="000000" w:themeColor="text1"/>
          <w:sz w:val="16"/>
          <w:szCs w:val="16"/>
        </w:rPr>
        <w:t>4</w:t>
      </w:r>
      <w:r w:rsidRPr="00553FCE">
        <w:rPr>
          <w:color w:val="000000" w:themeColor="text1"/>
          <w:sz w:val="16"/>
          <w:szCs w:val="16"/>
        </w:rPr>
        <w:noBreakHyphen/>
        <w:t>2</w:t>
      </w:r>
      <w:r w:rsidR="009C5469" w:rsidRPr="00553FCE">
        <w:rPr>
          <w:color w:val="000000" w:themeColor="text1"/>
          <w:sz w:val="16"/>
          <w:szCs w:val="16"/>
        </w:rPr>
        <w:t>5</w:t>
      </w:r>
      <w:r w:rsidRPr="00553FCE">
        <w:rPr>
          <w:color w:val="000000" w:themeColor="text1"/>
          <w:sz w:val="16"/>
          <w:szCs w:val="16"/>
        </w:rPr>
        <w:t>, Western Australia’s largest market for goods imports was China ($</w:t>
      </w:r>
      <w:r w:rsidR="009C5469" w:rsidRPr="00553FCE">
        <w:rPr>
          <w:color w:val="000000" w:themeColor="text1"/>
          <w:sz w:val="16"/>
          <w:szCs w:val="16"/>
        </w:rPr>
        <w:t>11.2</w:t>
      </w:r>
      <w:r w:rsidRPr="00553FCE">
        <w:rPr>
          <w:color w:val="000000" w:themeColor="text1"/>
          <w:sz w:val="16"/>
          <w:szCs w:val="16"/>
        </w:rPr>
        <w:t> billion or 2</w:t>
      </w:r>
      <w:r w:rsidR="009C5469" w:rsidRPr="00553FCE">
        <w:rPr>
          <w:color w:val="000000" w:themeColor="text1"/>
          <w:sz w:val="16"/>
          <w:szCs w:val="16"/>
        </w:rPr>
        <w:t>1</w:t>
      </w:r>
      <w:r w:rsidRPr="00553FCE">
        <w:rPr>
          <w:color w:val="000000" w:themeColor="text1"/>
          <w:sz w:val="16"/>
          <w:szCs w:val="16"/>
        </w:rPr>
        <w:t>%), followed by the United States ($7.</w:t>
      </w:r>
      <w:r w:rsidR="009C5469" w:rsidRPr="00553FCE">
        <w:rPr>
          <w:color w:val="000000" w:themeColor="text1"/>
          <w:sz w:val="16"/>
          <w:szCs w:val="16"/>
        </w:rPr>
        <w:t>2</w:t>
      </w:r>
      <w:r w:rsidRPr="00553FCE">
        <w:rPr>
          <w:color w:val="000000" w:themeColor="text1"/>
          <w:sz w:val="16"/>
          <w:szCs w:val="16"/>
        </w:rPr>
        <w:t> billion or 14%) and Malaysia ($4.0 billion or 8%).</w:t>
      </w:r>
    </w:p>
    <w:p w14:paraId="23D9A5FF"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FC1FA81"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1" w:name="_Productivity"/>
      <w:bookmarkEnd w:id="41"/>
      <w:r w:rsidRPr="008F7AA0">
        <w:rPr>
          <w:bCs/>
          <w:color w:val="004C3D"/>
          <w:sz w:val="24"/>
          <w:szCs w:val="24"/>
        </w:rPr>
        <w:lastRenderedPageBreak/>
        <w:t>Productivity</w:t>
      </w:r>
    </w:p>
    <w:p w14:paraId="7FB42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CB04FE8"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real gross state product from the three Ps</w:t>
      </w:r>
    </w:p>
    <w:p w14:paraId="52F65012" w14:textId="40B6F90E" w:rsidR="00233755" w:rsidRPr="007B1AE5" w:rsidRDefault="005A547E" w:rsidP="00233755">
      <w:r>
        <w:rPr>
          <w:noProof/>
        </w:rPr>
        <w:drawing>
          <wp:inline distT="0" distB="0" distL="0" distR="0" wp14:anchorId="40008A0E" wp14:editId="7FD50DE7">
            <wp:extent cx="3390471" cy="2086231"/>
            <wp:effectExtent l="0" t="0" r="635" b="9525"/>
            <wp:docPr id="211319782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98770" cy="2091338"/>
                    </a:xfrm>
                    <a:prstGeom prst="rect">
                      <a:avLst/>
                    </a:prstGeom>
                    <a:noFill/>
                    <a:ln>
                      <a:noFill/>
                    </a:ln>
                  </pic:spPr>
                </pic:pic>
              </a:graphicData>
            </a:graphic>
          </wp:inline>
        </w:drawing>
      </w:r>
    </w:p>
    <w:p w14:paraId="4E6AA5BE" w14:textId="7777777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 Compound annual average change.</w:t>
      </w:r>
      <w:r w:rsidRPr="00B04977">
        <w:rPr>
          <w:sz w:val="10"/>
          <w:szCs w:val="10"/>
        </w:rPr>
        <w:t xml:space="preserve"> </w:t>
      </w:r>
      <w:r>
        <w:rPr>
          <w:sz w:val="10"/>
          <w:szCs w:val="10"/>
        </w:rPr>
        <w:t>p</w:t>
      </w:r>
      <w:r w:rsidRPr="00AF759E">
        <w:rPr>
          <w:sz w:val="10"/>
          <w:szCs w:val="10"/>
        </w:rPr>
        <w:t>p = percentage points.</w:t>
      </w:r>
    </w:p>
    <w:p w14:paraId="6C6556BE" w14:textId="77777777" w:rsidR="00233755" w:rsidRPr="00AF759E" w:rsidRDefault="00233755" w:rsidP="003C6DDF">
      <w:pPr>
        <w:jc w:val="both"/>
        <w:rPr>
          <w:sz w:val="10"/>
          <w:szCs w:val="10"/>
        </w:rPr>
      </w:pPr>
      <w:r w:rsidRPr="00AF759E">
        <w:rPr>
          <w:sz w:val="10"/>
          <w:szCs w:val="10"/>
        </w:rPr>
        <w:t>Source: Based on ABS data.</w:t>
      </w:r>
    </w:p>
    <w:p w14:paraId="06BDA65F" w14:textId="77777777" w:rsidR="00233755" w:rsidRPr="00F90FB3"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F90FB3">
        <w:rPr>
          <w:sz w:val="16"/>
          <w:szCs w:val="16"/>
        </w:rPr>
        <w:t xml:space="preserve">The 3P framework provides an indication of </w:t>
      </w:r>
      <w:r>
        <w:rPr>
          <w:sz w:val="16"/>
          <w:szCs w:val="16"/>
        </w:rPr>
        <w:t>the contribution to</w:t>
      </w:r>
      <w:r w:rsidRPr="00F90FB3">
        <w:rPr>
          <w:sz w:val="16"/>
          <w:szCs w:val="16"/>
        </w:rPr>
        <w:t xml:space="preserve"> economic growth </w:t>
      </w:r>
      <w:r>
        <w:rPr>
          <w:sz w:val="16"/>
          <w:szCs w:val="16"/>
        </w:rPr>
        <w:t>from</w:t>
      </w:r>
      <w:r w:rsidRPr="00F90FB3">
        <w:rPr>
          <w:sz w:val="16"/>
          <w:szCs w:val="16"/>
        </w:rPr>
        <w:t xml:space="preserve"> </w:t>
      </w:r>
      <w:r>
        <w:rPr>
          <w:sz w:val="16"/>
          <w:szCs w:val="16"/>
        </w:rPr>
        <w:t>changes</w:t>
      </w:r>
      <w:r w:rsidRPr="00F90FB3">
        <w:rPr>
          <w:sz w:val="16"/>
          <w:szCs w:val="16"/>
        </w:rPr>
        <w:t xml:space="preserve"> in population, participation</w:t>
      </w:r>
      <w:r>
        <w:rPr>
          <w:sz w:val="16"/>
          <w:szCs w:val="16"/>
        </w:rPr>
        <w:t xml:space="preserve"> (hours worked per person)</w:t>
      </w:r>
      <w:r w:rsidRPr="00F90FB3">
        <w:rPr>
          <w:sz w:val="16"/>
          <w:szCs w:val="16"/>
        </w:rPr>
        <w:t xml:space="preserve"> and productivity</w:t>
      </w:r>
      <w:r>
        <w:rPr>
          <w:sz w:val="16"/>
          <w:szCs w:val="16"/>
        </w:rPr>
        <w:t xml:space="preserve"> (GSP per hour worked)</w:t>
      </w:r>
      <w:r w:rsidRPr="00F90FB3">
        <w:rPr>
          <w:sz w:val="16"/>
          <w:szCs w:val="16"/>
        </w:rPr>
        <w:t>.</w:t>
      </w:r>
    </w:p>
    <w:p w14:paraId="34A43AFE"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Pr>
          <w:sz w:val="16"/>
          <w:szCs w:val="16"/>
        </w:rPr>
        <w:t>The 3Ps can work with or against each other. For example, economic growth can occur from investment which increases GSP per hour worked, creating higher wages which entice more people into the workforce and higher population growth through migration. In contrast, high population growth without investment growth can depress productivity through a lower capital</w:t>
      </w:r>
      <w:r>
        <w:rPr>
          <w:sz w:val="16"/>
          <w:szCs w:val="16"/>
        </w:rPr>
        <w:noBreakHyphen/>
        <w:t>to</w:t>
      </w:r>
      <w:r>
        <w:rPr>
          <w:sz w:val="16"/>
          <w:szCs w:val="16"/>
        </w:rPr>
        <w:noBreakHyphen/>
        <w:t>labour ratio.</w:t>
      </w:r>
    </w:p>
    <w:p w14:paraId="1B77E9C2" w14:textId="77777777" w:rsidR="00233755" w:rsidRPr="00234DF2" w:rsidRDefault="00233755" w:rsidP="006058E8">
      <w:pPr>
        <w:pStyle w:val="ListParagraph"/>
        <w:numPr>
          <w:ilvl w:val="0"/>
          <w:numId w:val="9"/>
        </w:numPr>
        <w:spacing w:before="40" w:after="40"/>
        <w:ind w:left="357" w:right="227" w:hanging="357"/>
        <w:contextualSpacing w:val="0"/>
        <w:jc w:val="both"/>
        <w:rPr>
          <w:sz w:val="16"/>
          <w:szCs w:val="16"/>
        </w:rPr>
      </w:pPr>
      <w:r w:rsidRPr="00F90FB3">
        <w:rPr>
          <w:sz w:val="16"/>
          <w:szCs w:val="16"/>
        </w:rPr>
        <w:t xml:space="preserve">Growth in Western Australia’s gross state product over the past three decades was highest when the contribution of productivity was high. </w:t>
      </w:r>
      <w:r w:rsidRPr="00234DF2">
        <w:rPr>
          <w:sz w:val="16"/>
          <w:szCs w:val="16"/>
        </w:rPr>
        <w:t>Between 1994-95 and 2013-14, while Western Australia’s population grew relatively quickly, this was matched by increased levels of private investment, which contributed to steady productivity growth.</w:t>
      </w:r>
    </w:p>
    <w:p w14:paraId="624F75E4" w14:textId="77777777" w:rsidR="00233755" w:rsidRPr="00105887" w:rsidRDefault="00233755" w:rsidP="006058E8">
      <w:pPr>
        <w:pStyle w:val="ListParagraph"/>
        <w:numPr>
          <w:ilvl w:val="0"/>
          <w:numId w:val="9"/>
        </w:numPr>
        <w:spacing w:before="40" w:after="40"/>
        <w:ind w:left="357" w:right="227" w:hanging="357"/>
        <w:contextualSpacing w:val="0"/>
        <w:jc w:val="both"/>
        <w:rPr>
          <w:sz w:val="16"/>
          <w:szCs w:val="16"/>
        </w:rPr>
      </w:pPr>
      <w:r w:rsidRPr="00105887">
        <w:rPr>
          <w:sz w:val="16"/>
          <w:szCs w:val="16"/>
        </w:rPr>
        <w:t>Productivity growth has slowed noticeably in Western Australia over the past decade, a trend that has also occurred at the national level.</w:t>
      </w:r>
    </w:p>
    <w:p w14:paraId="1D6A916F" w14:textId="77777777" w:rsidR="00233755" w:rsidRPr="00924A36" w:rsidRDefault="00233755" w:rsidP="006058E8">
      <w:pPr>
        <w:pStyle w:val="ListParagraph"/>
        <w:numPr>
          <w:ilvl w:val="0"/>
          <w:numId w:val="9"/>
        </w:numPr>
        <w:spacing w:before="40" w:after="40"/>
        <w:ind w:right="227"/>
        <w:jc w:val="both"/>
        <w:rPr>
          <w:sz w:val="16"/>
          <w:szCs w:val="16"/>
        </w:rPr>
        <w:sectPr w:rsidR="00233755" w:rsidRPr="00924A36" w:rsidSect="00233755">
          <w:type w:val="continuous"/>
          <w:pgSz w:w="11907" w:h="16840" w:code="9"/>
          <w:pgMar w:top="1701" w:right="425" w:bottom="567" w:left="567" w:header="709" w:footer="709" w:gutter="0"/>
          <w:cols w:num="2" w:space="113"/>
          <w:docGrid w:linePitch="360"/>
        </w:sectPr>
      </w:pPr>
    </w:p>
    <w:p w14:paraId="1C5A0E7E"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Multifactor productivity</w:t>
      </w:r>
    </w:p>
    <w:p w14:paraId="45EAAFF8" w14:textId="3AFCD8F3" w:rsidR="00233755" w:rsidRPr="007B1AE5" w:rsidRDefault="005A547E" w:rsidP="00233755">
      <w:r>
        <w:rPr>
          <w:noProof/>
        </w:rPr>
        <w:drawing>
          <wp:inline distT="0" distB="0" distL="0" distR="0" wp14:anchorId="70820F65" wp14:editId="20FD5DE0">
            <wp:extent cx="3413633" cy="2095928"/>
            <wp:effectExtent l="0" t="0" r="0" b="0"/>
            <wp:docPr id="3266697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37156" cy="2110371"/>
                    </a:xfrm>
                    <a:prstGeom prst="rect">
                      <a:avLst/>
                    </a:prstGeom>
                    <a:noFill/>
                    <a:ln>
                      <a:noFill/>
                    </a:ln>
                  </pic:spPr>
                </pic:pic>
              </a:graphicData>
            </a:graphic>
          </wp:inline>
        </w:drawing>
      </w:r>
    </w:p>
    <w:p w14:paraId="576D9FC6" w14:textId="7777777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w:t>
      </w:r>
      <w:r>
        <w:rPr>
          <w:sz w:val="10"/>
          <w:szCs w:val="10"/>
        </w:rPr>
        <w:t xml:space="preserve"> </w:t>
      </w:r>
      <w:r w:rsidRPr="00AF759E">
        <w:rPr>
          <w:sz w:val="10"/>
          <w:szCs w:val="10"/>
        </w:rPr>
        <w:t xml:space="preserve">Gross value added based multifactor productivity indexes. Market sector industries only. </w:t>
      </w:r>
      <w:r w:rsidRPr="00B13916">
        <w:rPr>
          <w:sz w:val="10"/>
          <w:szCs w:val="10"/>
        </w:rPr>
        <w:t xml:space="preserve">Index 2022-23 = </w:t>
      </w:r>
      <w:r w:rsidRPr="00AF759E">
        <w:rPr>
          <w:sz w:val="10"/>
          <w:szCs w:val="10"/>
        </w:rPr>
        <w:t>100.0.</w:t>
      </w:r>
    </w:p>
    <w:p w14:paraId="2397513D" w14:textId="77777777" w:rsidR="00233755" w:rsidRPr="00AF759E" w:rsidRDefault="00233755" w:rsidP="003C6DDF">
      <w:pPr>
        <w:jc w:val="both"/>
        <w:rPr>
          <w:sz w:val="10"/>
          <w:szCs w:val="10"/>
        </w:rPr>
      </w:pPr>
      <w:r w:rsidRPr="00AF759E">
        <w:rPr>
          <w:sz w:val="10"/>
          <w:szCs w:val="10"/>
        </w:rPr>
        <w:t>Source: Based on ABS data.</w:t>
      </w:r>
    </w:p>
    <w:p w14:paraId="7F14509F"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844ECF">
        <w:rPr>
          <w:sz w:val="16"/>
          <w:szCs w:val="16"/>
        </w:rPr>
        <w:t>Productivity can be considered</w:t>
      </w:r>
      <w:r>
        <w:rPr>
          <w:sz w:val="16"/>
          <w:szCs w:val="16"/>
        </w:rPr>
        <w:t xml:space="preserve"> in relation to different inputs.</w:t>
      </w:r>
    </w:p>
    <w:p w14:paraId="4965DE32" w14:textId="77777777" w:rsidR="00233755" w:rsidRDefault="00233755" w:rsidP="006058E8">
      <w:pPr>
        <w:pStyle w:val="ListParagraph"/>
        <w:numPr>
          <w:ilvl w:val="0"/>
          <w:numId w:val="10"/>
        </w:numPr>
        <w:spacing w:before="40" w:after="40"/>
        <w:ind w:right="227" w:hanging="357"/>
        <w:contextualSpacing w:val="0"/>
        <w:jc w:val="both"/>
        <w:rPr>
          <w:sz w:val="16"/>
          <w:szCs w:val="16"/>
        </w:rPr>
      </w:pPr>
      <w:r w:rsidRPr="00844ECF">
        <w:rPr>
          <w:sz w:val="16"/>
          <w:szCs w:val="16"/>
        </w:rPr>
        <w:t xml:space="preserve">Labour productivity is </w:t>
      </w:r>
      <w:r>
        <w:rPr>
          <w:sz w:val="16"/>
          <w:szCs w:val="16"/>
        </w:rPr>
        <w:t>the</w:t>
      </w:r>
      <w:r w:rsidRPr="00844ECF">
        <w:rPr>
          <w:sz w:val="16"/>
          <w:szCs w:val="16"/>
        </w:rPr>
        <w:t xml:space="preserve"> ratio of output to labour input, that is, the amount of output produced for an hour of work.</w:t>
      </w:r>
    </w:p>
    <w:p w14:paraId="6409F682" w14:textId="77777777" w:rsidR="00233755" w:rsidRDefault="00233755" w:rsidP="006058E8">
      <w:pPr>
        <w:pStyle w:val="ListParagraph"/>
        <w:numPr>
          <w:ilvl w:val="0"/>
          <w:numId w:val="10"/>
        </w:numPr>
        <w:spacing w:before="40" w:after="40"/>
        <w:ind w:right="227" w:hanging="357"/>
        <w:contextualSpacing w:val="0"/>
        <w:jc w:val="both"/>
        <w:rPr>
          <w:sz w:val="16"/>
          <w:szCs w:val="16"/>
        </w:rPr>
      </w:pPr>
      <w:r w:rsidRPr="00844ECF">
        <w:rPr>
          <w:sz w:val="16"/>
          <w:szCs w:val="16"/>
        </w:rPr>
        <w:t xml:space="preserve">Capital productivity is </w:t>
      </w:r>
      <w:r>
        <w:rPr>
          <w:sz w:val="16"/>
          <w:szCs w:val="16"/>
        </w:rPr>
        <w:t>the</w:t>
      </w:r>
      <w:r w:rsidRPr="00844ECF">
        <w:rPr>
          <w:sz w:val="16"/>
          <w:szCs w:val="16"/>
        </w:rPr>
        <w:t xml:space="preserve"> ratio of output to capital input</w:t>
      </w:r>
      <w:r>
        <w:rPr>
          <w:sz w:val="16"/>
          <w:szCs w:val="16"/>
        </w:rPr>
        <w:t>,</w:t>
      </w:r>
      <w:r w:rsidRPr="00844ECF">
        <w:rPr>
          <w:sz w:val="16"/>
          <w:szCs w:val="16"/>
        </w:rPr>
        <w:t xml:space="preserve"> that is, output per unit of capital.</w:t>
      </w:r>
    </w:p>
    <w:p w14:paraId="6D42CAF7" w14:textId="77777777" w:rsidR="00233755" w:rsidRPr="00844ECF" w:rsidRDefault="00233755" w:rsidP="006058E8">
      <w:pPr>
        <w:pStyle w:val="ListParagraph"/>
        <w:numPr>
          <w:ilvl w:val="0"/>
          <w:numId w:val="10"/>
        </w:numPr>
        <w:spacing w:before="40" w:after="40"/>
        <w:ind w:right="227" w:hanging="357"/>
        <w:contextualSpacing w:val="0"/>
        <w:jc w:val="both"/>
        <w:rPr>
          <w:sz w:val="16"/>
          <w:szCs w:val="16"/>
        </w:rPr>
      </w:pPr>
      <w:r w:rsidRPr="00844ECF">
        <w:rPr>
          <w:sz w:val="16"/>
          <w:szCs w:val="16"/>
        </w:rPr>
        <w:t xml:space="preserve">Multifactor productivity (MFP) is </w:t>
      </w:r>
      <w:r>
        <w:rPr>
          <w:sz w:val="16"/>
          <w:szCs w:val="16"/>
        </w:rPr>
        <w:t>the</w:t>
      </w:r>
      <w:r w:rsidRPr="00844ECF">
        <w:rPr>
          <w:sz w:val="16"/>
          <w:szCs w:val="16"/>
        </w:rPr>
        <w:t xml:space="preserve"> ratio of a measure of output to a combined input of labour and capital.</w:t>
      </w:r>
    </w:p>
    <w:p w14:paraId="36715B98"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Pr>
          <w:sz w:val="16"/>
          <w:szCs w:val="16"/>
        </w:rPr>
        <w:t>Analysing the contribution of labour and capital to productivity can be complex as:</w:t>
      </w:r>
    </w:p>
    <w:p w14:paraId="35D3A56B" w14:textId="77777777" w:rsidR="00233755" w:rsidRDefault="00233755" w:rsidP="006058E8">
      <w:pPr>
        <w:pStyle w:val="ListParagraph"/>
        <w:numPr>
          <w:ilvl w:val="0"/>
          <w:numId w:val="10"/>
        </w:numPr>
        <w:spacing w:before="40" w:after="40"/>
        <w:ind w:right="227" w:hanging="357"/>
        <w:contextualSpacing w:val="0"/>
        <w:jc w:val="both"/>
        <w:rPr>
          <w:sz w:val="16"/>
          <w:szCs w:val="16"/>
        </w:rPr>
      </w:pPr>
      <w:r>
        <w:rPr>
          <w:sz w:val="16"/>
          <w:szCs w:val="16"/>
        </w:rPr>
        <w:t>Changes in labour productivity can also reflect changes in capital, and changes in capital productivity in labour.</w:t>
      </w:r>
    </w:p>
    <w:p w14:paraId="137DD37D" w14:textId="77777777" w:rsidR="00233755" w:rsidRPr="00247A35" w:rsidRDefault="00233755" w:rsidP="006058E8">
      <w:pPr>
        <w:pStyle w:val="ListParagraph"/>
        <w:numPr>
          <w:ilvl w:val="0"/>
          <w:numId w:val="10"/>
        </w:numPr>
        <w:spacing w:before="40" w:after="40"/>
        <w:ind w:right="227" w:hanging="357"/>
        <w:contextualSpacing w:val="0"/>
        <w:jc w:val="both"/>
        <w:rPr>
          <w:sz w:val="16"/>
          <w:szCs w:val="16"/>
        </w:rPr>
      </w:pPr>
      <w:r>
        <w:rPr>
          <w:sz w:val="16"/>
          <w:szCs w:val="16"/>
        </w:rPr>
        <w:t>There can be a lag between a discrete capital investment taking place an</w:t>
      </w:r>
      <w:r w:rsidDel="00FB396D">
        <w:rPr>
          <w:sz w:val="16"/>
          <w:szCs w:val="16"/>
        </w:rPr>
        <w:t>d</w:t>
      </w:r>
      <w:r>
        <w:rPr>
          <w:sz w:val="16"/>
          <w:szCs w:val="16"/>
        </w:rPr>
        <w:t xml:space="preserve"> that capital starting to contribute to output. For example, many resource projects in Western Australia involve large capital investment which takes place over a few years before producing output over multiple decades.</w:t>
      </w:r>
    </w:p>
    <w:p w14:paraId="5D271F2D" w14:textId="77777777" w:rsidR="00233755" w:rsidRPr="003C3CC5" w:rsidRDefault="00233755" w:rsidP="006058E8">
      <w:pPr>
        <w:pStyle w:val="ListParagraph"/>
        <w:numPr>
          <w:ilvl w:val="0"/>
          <w:numId w:val="9"/>
        </w:numPr>
        <w:spacing w:before="40" w:after="40"/>
        <w:ind w:left="357" w:right="227" w:hanging="357"/>
        <w:contextualSpacing w:val="0"/>
        <w:jc w:val="both"/>
        <w:rPr>
          <w:sz w:val="16"/>
          <w:szCs w:val="16"/>
        </w:rPr>
      </w:pPr>
      <w:r w:rsidRPr="003C3CC5">
        <w:rPr>
          <w:sz w:val="16"/>
          <w:szCs w:val="16"/>
        </w:rPr>
        <w:t>Western Australia’s multifactor productivity fell 2.3% in 2023-24, after rising 0.5% in 2022-23.</w:t>
      </w:r>
    </w:p>
    <w:p w14:paraId="40E3E71A" w14:textId="77777777" w:rsidR="00233755" w:rsidRPr="00924A36" w:rsidRDefault="00233755" w:rsidP="006058E8">
      <w:pPr>
        <w:pStyle w:val="ListParagraph"/>
        <w:numPr>
          <w:ilvl w:val="0"/>
          <w:numId w:val="9"/>
        </w:numPr>
        <w:spacing w:before="40" w:after="40"/>
        <w:ind w:right="227"/>
        <w:rPr>
          <w:sz w:val="16"/>
          <w:szCs w:val="16"/>
        </w:rPr>
        <w:sectPr w:rsidR="00233755" w:rsidRPr="00924A36" w:rsidSect="00233755">
          <w:type w:val="continuous"/>
          <w:pgSz w:w="11907" w:h="16840" w:code="9"/>
          <w:pgMar w:top="1701" w:right="425" w:bottom="567" w:left="567" w:header="709" w:footer="709" w:gutter="0"/>
          <w:cols w:num="2" w:space="113"/>
          <w:docGrid w:linePitch="360"/>
        </w:sectPr>
      </w:pPr>
    </w:p>
    <w:p w14:paraId="02259D8D"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Net capital stock per capita (change)</w:t>
      </w:r>
    </w:p>
    <w:p w14:paraId="7819DA2C" w14:textId="45B8B3A6" w:rsidR="00233755" w:rsidRPr="007B1AE5" w:rsidRDefault="005A547E" w:rsidP="00233755">
      <w:r>
        <w:rPr>
          <w:noProof/>
        </w:rPr>
        <w:drawing>
          <wp:inline distT="0" distB="0" distL="0" distR="0" wp14:anchorId="53065BA2" wp14:editId="445AA7F4">
            <wp:extent cx="3390265" cy="2126615"/>
            <wp:effectExtent l="0" t="0" r="635" b="6985"/>
            <wp:docPr id="81669809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00286" cy="2132901"/>
                    </a:xfrm>
                    <a:prstGeom prst="rect">
                      <a:avLst/>
                    </a:prstGeom>
                    <a:noFill/>
                    <a:ln>
                      <a:noFill/>
                    </a:ln>
                  </pic:spPr>
                </pic:pic>
              </a:graphicData>
            </a:graphic>
          </wp:inline>
        </w:drawing>
      </w:r>
    </w:p>
    <w:p w14:paraId="12D3D3C8" w14:textId="77777777" w:rsidR="00233755" w:rsidRPr="00AF759E" w:rsidRDefault="00233755" w:rsidP="003C6DDF">
      <w:pPr>
        <w:jc w:val="both"/>
        <w:rPr>
          <w:sz w:val="10"/>
          <w:szCs w:val="10"/>
        </w:rPr>
      </w:pPr>
      <w:r w:rsidRPr="000C0C45">
        <w:rPr>
          <w:sz w:val="10"/>
        </w:rPr>
        <w:t>Note –</w:t>
      </w:r>
      <w:r>
        <w:rPr>
          <w:sz w:val="10"/>
        </w:rPr>
        <w:t xml:space="preserve"> Chain volume measures.</w:t>
      </w:r>
      <w:r w:rsidRPr="000C0C45">
        <w:rPr>
          <w:sz w:val="10"/>
        </w:rPr>
        <w:t xml:space="preserve"> </w:t>
      </w:r>
      <w:r w:rsidRPr="00AF759E">
        <w:rPr>
          <w:sz w:val="10"/>
          <w:szCs w:val="10"/>
        </w:rPr>
        <w:t>Original series</w:t>
      </w:r>
      <w:r>
        <w:rPr>
          <w:sz w:val="10"/>
          <w:szCs w:val="10"/>
        </w:rPr>
        <w:t>.</w:t>
      </w:r>
      <w:r w:rsidRPr="00AF759E">
        <w:rPr>
          <w:sz w:val="10"/>
          <w:szCs w:val="10"/>
        </w:rPr>
        <w:t xml:space="preserve"> Annual change.</w:t>
      </w:r>
    </w:p>
    <w:p w14:paraId="63706B8F" w14:textId="77777777" w:rsidR="00233755" w:rsidRPr="00AF759E" w:rsidRDefault="00233755" w:rsidP="003C6DDF">
      <w:pPr>
        <w:jc w:val="both"/>
        <w:rPr>
          <w:sz w:val="10"/>
          <w:szCs w:val="10"/>
        </w:rPr>
      </w:pPr>
      <w:r w:rsidRPr="00AF759E">
        <w:rPr>
          <w:sz w:val="10"/>
          <w:szCs w:val="10"/>
        </w:rPr>
        <w:t>Source: Based on ABS data.</w:t>
      </w:r>
    </w:p>
    <w:p w14:paraId="6ADB26DC" w14:textId="77777777" w:rsidR="00233755" w:rsidRPr="00031C68"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031C68">
        <w:rPr>
          <w:sz w:val="16"/>
          <w:szCs w:val="16"/>
        </w:rPr>
        <w:t>The net capital stock is a measure of wealth representing the net present value of an economy’s assets. The net capital stock is the value of an economy's gross capital stock accounting for depreciation.</w:t>
      </w:r>
    </w:p>
    <w:p w14:paraId="746EC4EC" w14:textId="77777777" w:rsidR="00233755" w:rsidRPr="00E611D9" w:rsidRDefault="00233755" w:rsidP="006058E8">
      <w:pPr>
        <w:pStyle w:val="ListParagraph"/>
        <w:numPr>
          <w:ilvl w:val="0"/>
          <w:numId w:val="9"/>
        </w:numPr>
        <w:spacing w:before="40" w:after="40"/>
        <w:ind w:left="357" w:right="227" w:hanging="357"/>
        <w:contextualSpacing w:val="0"/>
        <w:jc w:val="both"/>
        <w:rPr>
          <w:sz w:val="16"/>
          <w:szCs w:val="16"/>
        </w:rPr>
      </w:pPr>
      <w:r w:rsidRPr="00E611D9">
        <w:rPr>
          <w:sz w:val="16"/>
          <w:szCs w:val="16"/>
        </w:rPr>
        <w:t>Productivity growth has generally been higher in Western Australia and Australia when there has been a sustained increase in the net capital stock per capita</w:t>
      </w:r>
      <w:r>
        <w:rPr>
          <w:sz w:val="16"/>
          <w:szCs w:val="16"/>
        </w:rPr>
        <w:t xml:space="preserve"> as each worker on average has access to more productive capital.</w:t>
      </w:r>
    </w:p>
    <w:p w14:paraId="58858D71" w14:textId="77777777" w:rsidR="00233755" w:rsidRPr="00A47876" w:rsidRDefault="00233755" w:rsidP="006058E8">
      <w:pPr>
        <w:pStyle w:val="ListParagraph"/>
        <w:numPr>
          <w:ilvl w:val="0"/>
          <w:numId w:val="9"/>
        </w:numPr>
        <w:spacing w:before="40" w:after="40"/>
        <w:ind w:left="357" w:right="227" w:hanging="357"/>
        <w:contextualSpacing w:val="0"/>
        <w:jc w:val="both"/>
        <w:rPr>
          <w:sz w:val="16"/>
          <w:szCs w:val="16"/>
        </w:rPr>
      </w:pPr>
      <w:r w:rsidRPr="00A47876">
        <w:rPr>
          <w:sz w:val="16"/>
          <w:szCs w:val="16"/>
        </w:rPr>
        <w:t>As mining activity expanded in 2000s, Western Australia’s net capital stock per</w:t>
      </w:r>
      <w:r>
        <w:rPr>
          <w:sz w:val="16"/>
          <w:szCs w:val="16"/>
        </w:rPr>
        <w:t> </w:t>
      </w:r>
      <w:r w:rsidRPr="00A47876">
        <w:rPr>
          <w:sz w:val="16"/>
          <w:szCs w:val="16"/>
        </w:rPr>
        <w:t>capita increased rapidly relative to the national figures. Between 2005</w:t>
      </w:r>
      <w:r>
        <w:rPr>
          <w:sz w:val="16"/>
          <w:szCs w:val="16"/>
        </w:rPr>
        <w:noBreakHyphen/>
        <w:t>0</w:t>
      </w:r>
      <w:r w:rsidRPr="00A47876">
        <w:rPr>
          <w:sz w:val="16"/>
          <w:szCs w:val="16"/>
        </w:rPr>
        <w:t>6 and 201</w:t>
      </w:r>
      <w:r>
        <w:rPr>
          <w:sz w:val="16"/>
          <w:szCs w:val="16"/>
        </w:rPr>
        <w:t>5</w:t>
      </w:r>
      <w:r w:rsidRPr="00A47876">
        <w:rPr>
          <w:sz w:val="16"/>
          <w:szCs w:val="16"/>
        </w:rPr>
        <w:t>-1</w:t>
      </w:r>
      <w:r>
        <w:rPr>
          <w:sz w:val="16"/>
          <w:szCs w:val="16"/>
        </w:rPr>
        <w:t>6,</w:t>
      </w:r>
      <w:r w:rsidRPr="00A47876">
        <w:rPr>
          <w:sz w:val="16"/>
          <w:szCs w:val="16"/>
        </w:rPr>
        <w:t xml:space="preserve"> when private investment and capital deepening was at its peak, </w:t>
      </w:r>
      <w:r>
        <w:rPr>
          <w:sz w:val="16"/>
          <w:szCs w:val="16"/>
        </w:rPr>
        <w:t>Western Australia</w:t>
      </w:r>
      <w:r w:rsidRPr="00A47876">
        <w:rPr>
          <w:sz w:val="16"/>
          <w:szCs w:val="16"/>
        </w:rPr>
        <w:t xml:space="preserve">’s net capital stock per capita grew at an annual </w:t>
      </w:r>
      <w:r>
        <w:rPr>
          <w:sz w:val="16"/>
          <w:szCs w:val="16"/>
        </w:rPr>
        <w:t>av</w:t>
      </w:r>
      <w:r w:rsidRPr="00A47876">
        <w:rPr>
          <w:sz w:val="16"/>
          <w:szCs w:val="16"/>
        </w:rPr>
        <w:t>erage of 4.</w:t>
      </w:r>
      <w:r>
        <w:rPr>
          <w:sz w:val="16"/>
          <w:szCs w:val="16"/>
        </w:rPr>
        <w:t>4</w:t>
      </w:r>
      <w:r w:rsidRPr="00A47876">
        <w:rPr>
          <w:sz w:val="16"/>
          <w:szCs w:val="16"/>
        </w:rPr>
        <w:t>%</w:t>
      </w:r>
      <w:r>
        <w:rPr>
          <w:sz w:val="16"/>
          <w:szCs w:val="16"/>
        </w:rPr>
        <w:t>, compared to</w:t>
      </w:r>
      <w:r w:rsidRPr="00A47876">
        <w:rPr>
          <w:sz w:val="16"/>
          <w:szCs w:val="16"/>
        </w:rPr>
        <w:t xml:space="preserve"> </w:t>
      </w:r>
      <w:r>
        <w:rPr>
          <w:sz w:val="16"/>
          <w:szCs w:val="16"/>
        </w:rPr>
        <w:t>1.8</w:t>
      </w:r>
      <w:r w:rsidRPr="00A47876">
        <w:rPr>
          <w:sz w:val="16"/>
          <w:szCs w:val="16"/>
        </w:rPr>
        <w:t xml:space="preserve">% </w:t>
      </w:r>
      <w:r>
        <w:rPr>
          <w:sz w:val="16"/>
          <w:szCs w:val="16"/>
        </w:rPr>
        <w:t xml:space="preserve">for Australia over </w:t>
      </w:r>
      <w:r w:rsidRPr="00A47876">
        <w:rPr>
          <w:sz w:val="16"/>
          <w:szCs w:val="16"/>
        </w:rPr>
        <w:t>the same period.</w:t>
      </w:r>
    </w:p>
    <w:p w14:paraId="168FFDB2" w14:textId="77777777" w:rsidR="00233755" w:rsidRPr="00156EFA" w:rsidRDefault="00233755" w:rsidP="006058E8">
      <w:pPr>
        <w:pStyle w:val="ListParagraph"/>
        <w:numPr>
          <w:ilvl w:val="0"/>
          <w:numId w:val="9"/>
        </w:numPr>
        <w:spacing w:before="40" w:after="40"/>
        <w:ind w:left="357" w:right="227" w:hanging="357"/>
        <w:contextualSpacing w:val="0"/>
        <w:jc w:val="both"/>
        <w:rPr>
          <w:sz w:val="16"/>
          <w:szCs w:val="16"/>
        </w:rPr>
        <w:sectPr w:rsidR="00233755" w:rsidRPr="00156EFA" w:rsidSect="00233755">
          <w:type w:val="continuous"/>
          <w:pgSz w:w="11907" w:h="16840" w:code="9"/>
          <w:pgMar w:top="1701" w:right="425" w:bottom="567" w:left="567" w:header="709" w:footer="709" w:gutter="0"/>
          <w:cols w:num="2" w:space="113"/>
          <w:docGrid w:linePitch="360"/>
        </w:sectPr>
      </w:pPr>
      <w:r w:rsidRPr="00156EFA">
        <w:rPr>
          <w:sz w:val="16"/>
          <w:szCs w:val="16"/>
        </w:rPr>
        <w:t>Net capital stock per capita has been in decline in Western Australia since 2017</w:t>
      </w:r>
      <w:r w:rsidRPr="00156EFA">
        <w:rPr>
          <w:sz w:val="16"/>
          <w:szCs w:val="16"/>
        </w:rPr>
        <w:noBreakHyphen/>
        <w:t>18. The move to the operational phase of the mining expansion, the depreciation of existing capital and the recent increase in net overseas migration have contributed to capital shallowing.</w:t>
      </w:r>
      <w:bookmarkStart w:id="42" w:name="_Population_(annual)"/>
      <w:bookmarkEnd w:id="42"/>
    </w:p>
    <w:p w14:paraId="2D0460BE"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3" w:name="_Environment"/>
      <w:bookmarkEnd w:id="43"/>
      <w:r w:rsidRPr="008F7AA0">
        <w:rPr>
          <w:bCs/>
          <w:color w:val="004C3D"/>
          <w:sz w:val="24"/>
          <w:szCs w:val="24"/>
        </w:rPr>
        <w:lastRenderedPageBreak/>
        <w:t>Industry gross value added</w:t>
      </w:r>
    </w:p>
    <w:p w14:paraId="1C003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4EB1D9B3"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real gross state product by industry</w:t>
      </w:r>
    </w:p>
    <w:p w14:paraId="17F9792D" w14:textId="5C5EEB06" w:rsidR="00233755" w:rsidRPr="007B1AE5" w:rsidRDefault="005A547E" w:rsidP="00233755">
      <w:r>
        <w:rPr>
          <w:noProof/>
        </w:rPr>
        <w:drawing>
          <wp:inline distT="0" distB="0" distL="0" distR="0" wp14:anchorId="651CFEAB" wp14:editId="30927BA3">
            <wp:extent cx="3380197" cy="2079909"/>
            <wp:effectExtent l="0" t="0" r="0" b="0"/>
            <wp:docPr id="14794067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94029" cy="2088420"/>
                    </a:xfrm>
                    <a:prstGeom prst="rect">
                      <a:avLst/>
                    </a:prstGeom>
                    <a:noFill/>
                    <a:ln>
                      <a:noFill/>
                    </a:ln>
                  </pic:spPr>
                </pic:pic>
              </a:graphicData>
            </a:graphic>
          </wp:inline>
        </w:drawing>
      </w:r>
    </w:p>
    <w:p w14:paraId="58AA8252" w14:textId="6118BB7C" w:rsidR="00233755" w:rsidRPr="004F6ED9" w:rsidRDefault="00233755" w:rsidP="003C6DDF">
      <w:pPr>
        <w:jc w:val="both"/>
        <w:rPr>
          <w:sz w:val="10"/>
          <w:szCs w:val="10"/>
        </w:rPr>
      </w:pPr>
      <w:r w:rsidRPr="004F6ED9">
        <w:rPr>
          <w:sz w:val="10"/>
        </w:rPr>
        <w:t xml:space="preserve">Note – </w:t>
      </w:r>
      <w:r w:rsidRPr="004F6ED9">
        <w:rPr>
          <w:sz w:val="10"/>
          <w:szCs w:val="10"/>
        </w:rPr>
        <w:t>Chain volume measures. Original series. Compound annual average change. pp = percentage points. (a) Ownership of dwellings, balancing item</w:t>
      </w:r>
      <w:r w:rsidR="003C6582" w:rsidRPr="004F6ED9">
        <w:rPr>
          <w:sz w:val="10"/>
          <w:szCs w:val="10"/>
        </w:rPr>
        <w:t xml:space="preserve">, </w:t>
      </w:r>
      <w:r w:rsidRPr="004F6ED9">
        <w:rPr>
          <w:sz w:val="10"/>
          <w:szCs w:val="10"/>
        </w:rPr>
        <w:t>statistical discrepancy</w:t>
      </w:r>
      <w:r w:rsidR="003C6582" w:rsidRPr="004F6ED9">
        <w:rPr>
          <w:sz w:val="10"/>
          <w:szCs w:val="10"/>
        </w:rPr>
        <w:t xml:space="preserve"> and differences between the sum of component chain volume measures and the total chain volume measure for gross state product</w:t>
      </w:r>
      <w:r w:rsidRPr="004F6ED9">
        <w:rPr>
          <w:sz w:val="10"/>
          <w:szCs w:val="10"/>
        </w:rPr>
        <w:t>.</w:t>
      </w:r>
    </w:p>
    <w:p w14:paraId="20566EDD" w14:textId="77777777" w:rsidR="00233755" w:rsidRPr="004F6ED9" w:rsidRDefault="00233755" w:rsidP="003C6DDF">
      <w:pPr>
        <w:jc w:val="both"/>
        <w:rPr>
          <w:sz w:val="10"/>
          <w:szCs w:val="10"/>
        </w:rPr>
      </w:pPr>
      <w:r w:rsidRPr="004F6ED9">
        <w:rPr>
          <w:sz w:val="10"/>
          <w:szCs w:val="10"/>
        </w:rPr>
        <w:t>Source: Based on ABS data.</w:t>
      </w:r>
    </w:p>
    <w:p w14:paraId="2EE7DD6B"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B24FD7">
        <w:rPr>
          <w:sz w:val="16"/>
          <w:szCs w:val="16"/>
        </w:rPr>
        <w:t>The mining industry</w:t>
      </w:r>
      <w:r>
        <w:rPr>
          <w:sz w:val="16"/>
          <w:szCs w:val="16"/>
        </w:rPr>
        <w:t xml:space="preserve"> has made a consistent contribution to GSP growth over the past 30 years, but the different phases of the mining industry’s expansion has affected the contribution to growth from other industries.</w:t>
      </w:r>
    </w:p>
    <w:p w14:paraId="10261024"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Pr>
          <w:sz w:val="16"/>
          <w:szCs w:val="16"/>
        </w:rPr>
        <w:t>GSP growth was relatively well</w:t>
      </w:r>
      <w:r>
        <w:rPr>
          <w:sz w:val="16"/>
          <w:szCs w:val="16"/>
        </w:rPr>
        <w:noBreakHyphen/>
        <w:t>balanced in Western Australia until the mid</w:t>
      </w:r>
      <w:r>
        <w:rPr>
          <w:sz w:val="16"/>
          <w:szCs w:val="16"/>
        </w:rPr>
        <w:noBreakHyphen/>
        <w:t>2010s, with mining industry output increasing together with output from other industries. Investment in new projects led to growth in the construction industry, and the labour</w:t>
      </w:r>
      <w:r>
        <w:rPr>
          <w:sz w:val="16"/>
          <w:szCs w:val="16"/>
        </w:rPr>
        <w:noBreakHyphen/>
        <w:t>intensive nature of this phase of the mining industry’s expansion had spillover effects into other industries.</w:t>
      </w:r>
    </w:p>
    <w:p w14:paraId="1F45E662" w14:textId="77777777" w:rsidR="00233755" w:rsidRPr="00B24FD7" w:rsidRDefault="00233755" w:rsidP="006058E8">
      <w:pPr>
        <w:pStyle w:val="ListParagraph"/>
        <w:numPr>
          <w:ilvl w:val="0"/>
          <w:numId w:val="9"/>
        </w:numPr>
        <w:spacing w:before="40" w:after="40"/>
        <w:ind w:left="357" w:right="227" w:hanging="357"/>
        <w:contextualSpacing w:val="0"/>
        <w:jc w:val="both"/>
        <w:rPr>
          <w:sz w:val="16"/>
          <w:szCs w:val="16"/>
        </w:rPr>
      </w:pPr>
      <w:r>
        <w:rPr>
          <w:sz w:val="16"/>
          <w:szCs w:val="16"/>
        </w:rPr>
        <w:t xml:space="preserve">The end of construction on many major projects led to further increases in mining output as projects became operational. However, it also meant the </w:t>
      </w:r>
      <w:r w:rsidRPr="00871746">
        <w:rPr>
          <w:sz w:val="16"/>
          <w:szCs w:val="16"/>
        </w:rPr>
        <w:t xml:space="preserve">construction </w:t>
      </w:r>
      <w:r>
        <w:rPr>
          <w:sz w:val="16"/>
          <w:szCs w:val="16"/>
        </w:rPr>
        <w:t>industry was a</w:t>
      </w:r>
      <w:r w:rsidRPr="00871746">
        <w:rPr>
          <w:sz w:val="16"/>
          <w:szCs w:val="16"/>
        </w:rPr>
        <w:t xml:space="preserve"> drag on GSP growth from 2014</w:t>
      </w:r>
      <w:r>
        <w:rPr>
          <w:sz w:val="16"/>
          <w:szCs w:val="16"/>
        </w:rPr>
        <w:noBreakHyphen/>
      </w:r>
      <w:r w:rsidRPr="00871746">
        <w:rPr>
          <w:sz w:val="16"/>
          <w:szCs w:val="16"/>
        </w:rPr>
        <w:t>15 to 2019</w:t>
      </w:r>
      <w:r>
        <w:rPr>
          <w:sz w:val="16"/>
          <w:szCs w:val="16"/>
        </w:rPr>
        <w:noBreakHyphen/>
      </w:r>
      <w:r w:rsidRPr="00871746">
        <w:rPr>
          <w:sz w:val="16"/>
          <w:szCs w:val="16"/>
        </w:rPr>
        <w:t>20</w:t>
      </w:r>
      <w:r>
        <w:rPr>
          <w:sz w:val="16"/>
          <w:szCs w:val="16"/>
        </w:rPr>
        <w:t>. The less labour</w:t>
      </w:r>
      <w:r>
        <w:rPr>
          <w:sz w:val="16"/>
          <w:szCs w:val="16"/>
        </w:rPr>
        <w:noBreakHyphen/>
        <w:t>intensive nature of the operational phase also had implications for economic activity in other industries.</w:t>
      </w:r>
    </w:p>
    <w:p w14:paraId="57A40502" w14:textId="77777777" w:rsidR="00233755" w:rsidRPr="00A22E13" w:rsidRDefault="00233755" w:rsidP="006058E8">
      <w:pPr>
        <w:pStyle w:val="ListParagraph"/>
        <w:numPr>
          <w:ilvl w:val="0"/>
          <w:numId w:val="9"/>
        </w:numPr>
        <w:spacing w:before="40" w:after="40"/>
        <w:ind w:left="357" w:right="227" w:hanging="357"/>
        <w:contextualSpacing w:val="0"/>
        <w:jc w:val="both"/>
        <w:rPr>
          <w:sz w:val="16"/>
          <w:szCs w:val="16"/>
        </w:rPr>
      </w:pPr>
      <w:r>
        <w:rPr>
          <w:sz w:val="16"/>
          <w:szCs w:val="16"/>
        </w:rPr>
        <w:t xml:space="preserve">While </w:t>
      </w:r>
      <w:r w:rsidRPr="00A22E13">
        <w:rPr>
          <w:sz w:val="16"/>
          <w:szCs w:val="16"/>
        </w:rPr>
        <w:t xml:space="preserve">Western Australia’s GSP growth has </w:t>
      </w:r>
      <w:r>
        <w:rPr>
          <w:sz w:val="16"/>
          <w:szCs w:val="16"/>
        </w:rPr>
        <w:t xml:space="preserve">been lower in recent years, it has also </w:t>
      </w:r>
      <w:r w:rsidRPr="00A22E13">
        <w:rPr>
          <w:sz w:val="16"/>
          <w:szCs w:val="16"/>
        </w:rPr>
        <w:t>become more balanced</w:t>
      </w:r>
      <w:r>
        <w:rPr>
          <w:sz w:val="16"/>
          <w:szCs w:val="16"/>
        </w:rPr>
        <w:t>,</w:t>
      </w:r>
      <w:r w:rsidRPr="00A22E13">
        <w:rPr>
          <w:sz w:val="16"/>
          <w:szCs w:val="16"/>
        </w:rPr>
        <w:t xml:space="preserve"> as increases in mining output have become more modest and the economic recovery from the COVID</w:t>
      </w:r>
      <w:r>
        <w:rPr>
          <w:sz w:val="16"/>
          <w:szCs w:val="16"/>
        </w:rPr>
        <w:noBreakHyphen/>
      </w:r>
      <w:r w:rsidRPr="00A22E13">
        <w:rPr>
          <w:sz w:val="16"/>
          <w:szCs w:val="16"/>
        </w:rPr>
        <w:t>19 pandemic has benefited a range of industries.</w:t>
      </w:r>
    </w:p>
    <w:p w14:paraId="4A60FB89"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059EA07F"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value added</w:t>
      </w:r>
    </w:p>
    <w:p w14:paraId="317FE6EE" w14:textId="6571D601" w:rsidR="00233755" w:rsidRPr="007B1AE5" w:rsidRDefault="005A547E" w:rsidP="00233755">
      <w:r>
        <w:rPr>
          <w:noProof/>
        </w:rPr>
        <w:drawing>
          <wp:inline distT="0" distB="0" distL="0" distR="0" wp14:anchorId="7CCFE0B9" wp14:editId="09B1FB09">
            <wp:extent cx="3390471" cy="2086231"/>
            <wp:effectExtent l="0" t="0" r="635" b="9525"/>
            <wp:docPr id="107723397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01579" cy="2093066"/>
                    </a:xfrm>
                    <a:prstGeom prst="rect">
                      <a:avLst/>
                    </a:prstGeom>
                    <a:noFill/>
                    <a:ln>
                      <a:noFill/>
                    </a:ln>
                  </pic:spPr>
                </pic:pic>
              </a:graphicData>
            </a:graphic>
          </wp:inline>
        </w:drawing>
      </w:r>
    </w:p>
    <w:p w14:paraId="12CAF42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0F0659A3" w14:textId="77777777" w:rsidR="00233755" w:rsidRPr="00AF759E" w:rsidRDefault="00233755" w:rsidP="003A3A20">
      <w:pPr>
        <w:jc w:val="both"/>
        <w:rPr>
          <w:sz w:val="10"/>
          <w:szCs w:val="10"/>
        </w:rPr>
      </w:pPr>
      <w:r w:rsidRPr="00AF759E">
        <w:rPr>
          <w:sz w:val="10"/>
          <w:szCs w:val="10"/>
        </w:rPr>
        <w:t>Source: Based on ABS data.</w:t>
      </w:r>
    </w:p>
    <w:p w14:paraId="01A97C4A"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B64837">
        <w:rPr>
          <w:sz w:val="16"/>
          <w:szCs w:val="16"/>
        </w:rPr>
        <w:t>I</w:t>
      </w:r>
      <w:r>
        <w:rPr>
          <w:sz w:val="16"/>
          <w:szCs w:val="16"/>
        </w:rPr>
        <w:t>ndustry gross value added (GVA) is a measure of the additional value created by an industry in the production of goods and services. The nominal value of GVA is influenced by both the volume of production from an industry and the prices at which it sells goods and services.</w:t>
      </w:r>
    </w:p>
    <w:p w14:paraId="5E11CD97" w14:textId="77777777" w:rsidR="00233755" w:rsidRPr="00F45EEC" w:rsidRDefault="00233755" w:rsidP="006058E8">
      <w:pPr>
        <w:pStyle w:val="ListParagraph"/>
        <w:numPr>
          <w:ilvl w:val="0"/>
          <w:numId w:val="9"/>
        </w:numPr>
        <w:spacing w:before="40" w:after="40"/>
        <w:ind w:left="357" w:right="227" w:hanging="357"/>
        <w:contextualSpacing w:val="0"/>
        <w:jc w:val="both"/>
        <w:rPr>
          <w:sz w:val="16"/>
          <w:szCs w:val="16"/>
        </w:rPr>
      </w:pPr>
      <w:r>
        <w:rPr>
          <w:sz w:val="16"/>
          <w:szCs w:val="16"/>
        </w:rPr>
        <w:t xml:space="preserve">Over the past 30 years, both the volume of the mining industry’s production and the average prices it has received for that production have increased significantly. </w:t>
      </w:r>
      <w:r w:rsidRPr="00F45EEC">
        <w:rPr>
          <w:sz w:val="16"/>
          <w:szCs w:val="16"/>
        </w:rPr>
        <w:t>Mining industry GVA increased from $7.4 billion in 1993</w:t>
      </w:r>
      <w:r w:rsidRPr="00F45EEC">
        <w:rPr>
          <w:sz w:val="16"/>
          <w:szCs w:val="16"/>
        </w:rPr>
        <w:noBreakHyphen/>
        <w:t>94 to $198.6 billion in 2023</w:t>
      </w:r>
      <w:r w:rsidRPr="00F45EEC">
        <w:rPr>
          <w:sz w:val="16"/>
          <w:szCs w:val="16"/>
        </w:rPr>
        <w:noBreakHyphen/>
        <w:t>24. The mining industry’s share of GSP grew from 16% in 1993</w:t>
      </w:r>
      <w:r w:rsidRPr="00F45EEC">
        <w:rPr>
          <w:sz w:val="16"/>
          <w:szCs w:val="16"/>
        </w:rPr>
        <w:noBreakHyphen/>
        <w:t>94 to 44% in 2023</w:t>
      </w:r>
      <w:r w:rsidRPr="00F45EEC">
        <w:rPr>
          <w:sz w:val="16"/>
          <w:szCs w:val="16"/>
        </w:rPr>
        <w:noBreakHyphen/>
        <w:t>24.</w:t>
      </w:r>
    </w:p>
    <w:p w14:paraId="6C090839" w14:textId="77777777" w:rsidR="00233755" w:rsidRPr="00F45EEC" w:rsidRDefault="00233755" w:rsidP="006058E8">
      <w:pPr>
        <w:pStyle w:val="ListParagraph"/>
        <w:numPr>
          <w:ilvl w:val="0"/>
          <w:numId w:val="9"/>
        </w:numPr>
        <w:spacing w:before="40" w:after="40"/>
        <w:ind w:left="357" w:right="227" w:hanging="357"/>
        <w:contextualSpacing w:val="0"/>
        <w:jc w:val="both"/>
        <w:rPr>
          <w:sz w:val="16"/>
          <w:szCs w:val="16"/>
        </w:rPr>
      </w:pPr>
      <w:r w:rsidRPr="00F45EEC">
        <w:rPr>
          <w:sz w:val="16"/>
          <w:szCs w:val="16"/>
        </w:rPr>
        <w:t>The GVA of all services industries increased from $22.1 billion in 1993</w:t>
      </w:r>
      <w:r w:rsidRPr="00F45EEC">
        <w:rPr>
          <w:sz w:val="16"/>
          <w:szCs w:val="16"/>
        </w:rPr>
        <w:noBreakHyphen/>
        <w:t>94 to $156.0 billion in 2023</w:t>
      </w:r>
      <w:r w:rsidRPr="00F45EEC">
        <w:rPr>
          <w:sz w:val="16"/>
          <w:szCs w:val="16"/>
        </w:rPr>
        <w:noBreakHyphen/>
        <w:t>24.</w:t>
      </w:r>
    </w:p>
    <w:p w14:paraId="318D6D5E"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Pr>
          <w:sz w:val="16"/>
          <w:szCs w:val="16"/>
        </w:rPr>
        <w:t>Although the GVA of the agriculture, forestry and fishing, and manufacturing industries has increased, as more resources have been allocated to mining, the GSP share of these industries has fallen.</w:t>
      </w:r>
    </w:p>
    <w:p w14:paraId="19A96FF7" w14:textId="77777777" w:rsidR="00233755" w:rsidRPr="006F3E67" w:rsidRDefault="00233755" w:rsidP="006058E8">
      <w:pPr>
        <w:pStyle w:val="ListParagraph"/>
        <w:numPr>
          <w:ilvl w:val="0"/>
          <w:numId w:val="9"/>
        </w:numPr>
        <w:spacing w:before="40" w:after="40"/>
        <w:ind w:right="227"/>
        <w:rPr>
          <w:sz w:val="16"/>
          <w:szCs w:val="16"/>
        </w:rPr>
        <w:sectPr w:rsidR="00233755" w:rsidRPr="006F3E67" w:rsidSect="00233755">
          <w:type w:val="continuous"/>
          <w:pgSz w:w="11907" w:h="16840" w:code="9"/>
          <w:pgMar w:top="1701" w:right="425" w:bottom="567" w:left="567" w:header="709" w:footer="709" w:gutter="0"/>
          <w:cols w:num="2" w:space="113"/>
          <w:docGrid w:linePitch="360"/>
        </w:sectPr>
      </w:pPr>
    </w:p>
    <w:p w14:paraId="14390EC8"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value added: 2023</w:t>
      </w:r>
      <w:r w:rsidRPr="009446B5">
        <w:rPr>
          <w:i w:val="0"/>
          <w:iCs w:val="0"/>
          <w:color w:val="00997A"/>
          <w:sz w:val="20"/>
          <w:szCs w:val="20"/>
        </w:rPr>
        <w:noBreakHyphen/>
        <w:t>24</w:t>
      </w:r>
    </w:p>
    <w:p w14:paraId="6BF8BD09" w14:textId="6F6AB6A7" w:rsidR="00233755" w:rsidRPr="007B1AE5" w:rsidRDefault="005A547E" w:rsidP="00233755">
      <w:r>
        <w:rPr>
          <w:noProof/>
        </w:rPr>
        <w:drawing>
          <wp:inline distT="0" distB="0" distL="0" distR="0" wp14:anchorId="09EAAE7E" wp14:editId="2E01C1E8">
            <wp:extent cx="3452116" cy="2136775"/>
            <wp:effectExtent l="0" t="0" r="0" b="0"/>
            <wp:docPr id="212333603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59874" cy="2141577"/>
                    </a:xfrm>
                    <a:prstGeom prst="rect">
                      <a:avLst/>
                    </a:prstGeom>
                    <a:noFill/>
                    <a:ln>
                      <a:noFill/>
                    </a:ln>
                  </pic:spPr>
                </pic:pic>
              </a:graphicData>
            </a:graphic>
          </wp:inline>
        </w:drawing>
      </w:r>
    </w:p>
    <w:p w14:paraId="4078ECD1"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7A21F327" w14:textId="77777777" w:rsidR="00233755" w:rsidRPr="00AF759E" w:rsidRDefault="00233755" w:rsidP="003A3A20">
      <w:pPr>
        <w:jc w:val="both"/>
        <w:rPr>
          <w:sz w:val="10"/>
          <w:szCs w:val="10"/>
        </w:rPr>
      </w:pPr>
      <w:r w:rsidRPr="00AF759E">
        <w:rPr>
          <w:sz w:val="10"/>
          <w:szCs w:val="10"/>
        </w:rPr>
        <w:t>Source: Based on ABS data.</w:t>
      </w:r>
    </w:p>
    <w:p w14:paraId="037A0839" w14:textId="77777777" w:rsidR="00233755" w:rsidRPr="00AC727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AC7274">
        <w:rPr>
          <w:sz w:val="16"/>
          <w:szCs w:val="16"/>
        </w:rPr>
        <w:t>Goods-producing industries accounted for 55% ($252.2 billion) of Western Australia’s GSP in 2023-24, including:</w:t>
      </w:r>
    </w:p>
    <w:p w14:paraId="7B9A194B" w14:textId="77777777" w:rsidR="00233755" w:rsidRPr="00AC7274" w:rsidRDefault="00233755" w:rsidP="006058E8">
      <w:pPr>
        <w:pStyle w:val="ListParagraph"/>
        <w:numPr>
          <w:ilvl w:val="0"/>
          <w:numId w:val="10"/>
        </w:numPr>
        <w:spacing w:before="40" w:after="40"/>
        <w:ind w:right="227" w:hanging="357"/>
        <w:contextualSpacing w:val="0"/>
        <w:jc w:val="both"/>
        <w:rPr>
          <w:sz w:val="16"/>
          <w:szCs w:val="16"/>
        </w:rPr>
      </w:pPr>
      <w:r w:rsidRPr="00AC7274">
        <w:rPr>
          <w:sz w:val="16"/>
          <w:szCs w:val="16"/>
        </w:rPr>
        <w:t>mining (44% or $198.6 billion)</w:t>
      </w:r>
    </w:p>
    <w:p w14:paraId="61C940FD" w14:textId="77777777" w:rsidR="00233755" w:rsidRPr="00AC7274" w:rsidRDefault="00233755" w:rsidP="006058E8">
      <w:pPr>
        <w:pStyle w:val="ListParagraph"/>
        <w:numPr>
          <w:ilvl w:val="0"/>
          <w:numId w:val="10"/>
        </w:numPr>
        <w:spacing w:before="40" w:after="40"/>
        <w:ind w:right="227" w:hanging="357"/>
        <w:contextualSpacing w:val="0"/>
        <w:jc w:val="both"/>
        <w:rPr>
          <w:sz w:val="16"/>
          <w:szCs w:val="16"/>
        </w:rPr>
      </w:pPr>
      <w:r w:rsidRPr="00AC7274">
        <w:rPr>
          <w:sz w:val="16"/>
          <w:szCs w:val="16"/>
        </w:rPr>
        <w:t>construction (6% or $25.7 billion)</w:t>
      </w:r>
    </w:p>
    <w:p w14:paraId="00CF15BC" w14:textId="77777777" w:rsidR="00233755" w:rsidRPr="00AC7274" w:rsidRDefault="00233755" w:rsidP="006058E8">
      <w:pPr>
        <w:pStyle w:val="ListParagraph"/>
        <w:numPr>
          <w:ilvl w:val="0"/>
          <w:numId w:val="10"/>
        </w:numPr>
        <w:spacing w:before="40" w:after="40"/>
        <w:ind w:right="227" w:hanging="357"/>
        <w:contextualSpacing w:val="0"/>
        <w:jc w:val="both"/>
        <w:rPr>
          <w:sz w:val="16"/>
          <w:szCs w:val="16"/>
        </w:rPr>
      </w:pPr>
      <w:r w:rsidRPr="00AC7274">
        <w:rPr>
          <w:sz w:val="16"/>
          <w:szCs w:val="16"/>
        </w:rPr>
        <w:t>manufacturing (5% or $20.4 billion)</w:t>
      </w:r>
    </w:p>
    <w:p w14:paraId="23818F63" w14:textId="77777777" w:rsidR="00233755" w:rsidRPr="00AC7274" w:rsidRDefault="00233755" w:rsidP="006058E8">
      <w:pPr>
        <w:pStyle w:val="ListParagraph"/>
        <w:numPr>
          <w:ilvl w:val="0"/>
          <w:numId w:val="10"/>
        </w:numPr>
        <w:spacing w:before="40" w:after="40"/>
        <w:ind w:right="227" w:hanging="357"/>
        <w:contextualSpacing w:val="0"/>
        <w:jc w:val="both"/>
        <w:rPr>
          <w:sz w:val="16"/>
          <w:szCs w:val="16"/>
        </w:rPr>
      </w:pPr>
      <w:r w:rsidRPr="00AC7274">
        <w:rPr>
          <w:sz w:val="16"/>
          <w:szCs w:val="16"/>
        </w:rPr>
        <w:t>agriculture, forestry and fishing (2% or $7.6 billion).</w:t>
      </w:r>
    </w:p>
    <w:p w14:paraId="3C668462" w14:textId="77777777" w:rsidR="00233755" w:rsidRPr="00AC7274" w:rsidRDefault="00233755" w:rsidP="006058E8">
      <w:pPr>
        <w:pStyle w:val="ListParagraph"/>
        <w:numPr>
          <w:ilvl w:val="0"/>
          <w:numId w:val="9"/>
        </w:numPr>
        <w:spacing w:before="40" w:after="40"/>
        <w:ind w:right="227" w:hanging="357"/>
        <w:contextualSpacing w:val="0"/>
        <w:jc w:val="both"/>
        <w:rPr>
          <w:sz w:val="16"/>
          <w:szCs w:val="16"/>
        </w:rPr>
      </w:pPr>
      <w:r w:rsidRPr="00AC7274">
        <w:rPr>
          <w:sz w:val="16"/>
          <w:szCs w:val="16"/>
        </w:rPr>
        <w:t>Services industries accounted for 36% ($161.7 billion) of GSP in 2023-24, including:</w:t>
      </w:r>
    </w:p>
    <w:p w14:paraId="43F18A84" w14:textId="77777777" w:rsidR="00233755" w:rsidRPr="00AC7274" w:rsidRDefault="00233755" w:rsidP="006058E8">
      <w:pPr>
        <w:pStyle w:val="ListParagraph"/>
        <w:numPr>
          <w:ilvl w:val="0"/>
          <w:numId w:val="10"/>
        </w:numPr>
        <w:spacing w:before="40" w:after="40"/>
        <w:ind w:right="227" w:hanging="357"/>
        <w:contextualSpacing w:val="0"/>
        <w:jc w:val="both"/>
        <w:rPr>
          <w:sz w:val="16"/>
          <w:szCs w:val="16"/>
        </w:rPr>
      </w:pPr>
      <w:r w:rsidRPr="00AC7274">
        <w:rPr>
          <w:sz w:val="16"/>
          <w:szCs w:val="16"/>
        </w:rPr>
        <w:t>healthcare and social assistance (5% or $22.8 billion)</w:t>
      </w:r>
    </w:p>
    <w:p w14:paraId="245BC31F" w14:textId="77777777" w:rsidR="00233755" w:rsidRPr="00AC7274" w:rsidRDefault="00233755" w:rsidP="006058E8">
      <w:pPr>
        <w:pStyle w:val="ListParagraph"/>
        <w:numPr>
          <w:ilvl w:val="0"/>
          <w:numId w:val="10"/>
        </w:numPr>
        <w:spacing w:before="40" w:after="40"/>
        <w:ind w:right="227" w:hanging="357"/>
        <w:contextualSpacing w:val="0"/>
        <w:jc w:val="both"/>
        <w:rPr>
          <w:sz w:val="16"/>
          <w:szCs w:val="16"/>
        </w:rPr>
      </w:pPr>
      <w:r w:rsidRPr="00AC7274">
        <w:rPr>
          <w:sz w:val="16"/>
          <w:szCs w:val="16"/>
        </w:rPr>
        <w:t>professional, scientific and technical services (5% or $20.5 billion)</w:t>
      </w:r>
    </w:p>
    <w:p w14:paraId="6F593594" w14:textId="77777777" w:rsidR="00233755" w:rsidRPr="00AC7274" w:rsidRDefault="00233755" w:rsidP="006058E8">
      <w:pPr>
        <w:pStyle w:val="ListParagraph"/>
        <w:numPr>
          <w:ilvl w:val="0"/>
          <w:numId w:val="10"/>
        </w:numPr>
        <w:spacing w:before="40" w:after="40"/>
        <w:ind w:right="227" w:hanging="357"/>
        <w:contextualSpacing w:val="0"/>
        <w:jc w:val="both"/>
        <w:rPr>
          <w:sz w:val="16"/>
          <w:szCs w:val="16"/>
        </w:rPr>
      </w:pPr>
      <w:r w:rsidRPr="00AC7274">
        <w:rPr>
          <w:sz w:val="16"/>
          <w:szCs w:val="16"/>
        </w:rPr>
        <w:t>transport, postal and warehousing (3% or $14.4 billion)</w:t>
      </w:r>
    </w:p>
    <w:p w14:paraId="4C696D3F" w14:textId="77777777" w:rsidR="00233755" w:rsidRPr="00AC7274" w:rsidRDefault="00233755" w:rsidP="006058E8">
      <w:pPr>
        <w:pStyle w:val="ListParagraph"/>
        <w:numPr>
          <w:ilvl w:val="0"/>
          <w:numId w:val="10"/>
        </w:numPr>
        <w:spacing w:before="40" w:after="40"/>
        <w:ind w:right="227" w:hanging="357"/>
        <w:contextualSpacing w:val="0"/>
        <w:jc w:val="both"/>
        <w:rPr>
          <w:sz w:val="16"/>
          <w:szCs w:val="16"/>
        </w:rPr>
      </w:pPr>
      <w:r w:rsidRPr="00AC7274">
        <w:rPr>
          <w:sz w:val="16"/>
          <w:szCs w:val="16"/>
        </w:rPr>
        <w:t>finance and insurance (3% or $14.5 billion).</w:t>
      </w:r>
    </w:p>
    <w:p w14:paraId="0390D4BE" w14:textId="77777777" w:rsidR="00233755" w:rsidRPr="00AC7274" w:rsidRDefault="00233755" w:rsidP="006058E8">
      <w:pPr>
        <w:pStyle w:val="ListParagraph"/>
        <w:numPr>
          <w:ilvl w:val="0"/>
          <w:numId w:val="9"/>
        </w:numPr>
        <w:spacing w:before="40" w:after="40"/>
        <w:ind w:right="227" w:hanging="357"/>
        <w:contextualSpacing w:val="0"/>
        <w:jc w:val="both"/>
        <w:rPr>
          <w:sz w:val="16"/>
          <w:szCs w:val="16"/>
        </w:rPr>
      </w:pPr>
      <w:r w:rsidRPr="00AC7274">
        <w:rPr>
          <w:sz w:val="16"/>
          <w:szCs w:val="16"/>
        </w:rPr>
        <w:t>Dwelling ownership and other items accounted for the remaining 9% of GSP in 2023</w:t>
      </w:r>
      <w:r w:rsidRPr="00AC7274">
        <w:rPr>
          <w:sz w:val="16"/>
          <w:szCs w:val="16"/>
        </w:rPr>
        <w:noBreakHyphen/>
        <w:t>24.</w:t>
      </w:r>
    </w:p>
    <w:p w14:paraId="663E421B"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7AF1C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4" w:name="_Industry_investment"/>
      <w:bookmarkEnd w:id="44"/>
      <w:r w:rsidRPr="008F7AA0">
        <w:rPr>
          <w:bCs/>
          <w:color w:val="004C3D"/>
          <w:sz w:val="24"/>
          <w:szCs w:val="24"/>
        </w:rPr>
        <w:lastRenderedPageBreak/>
        <w:t>Industry investment</w:t>
      </w:r>
    </w:p>
    <w:p w14:paraId="709A55A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6BD5CDB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gross fixed capital formation by industry</w:t>
      </w:r>
    </w:p>
    <w:p w14:paraId="04431AFE" w14:textId="0BDFFB93" w:rsidR="00233755" w:rsidRPr="007B1AE5" w:rsidRDefault="005A547E" w:rsidP="00233755">
      <w:r>
        <w:rPr>
          <w:noProof/>
        </w:rPr>
        <w:drawing>
          <wp:inline distT="0" distB="0" distL="0" distR="0" wp14:anchorId="42CE3EBE" wp14:editId="544531AF">
            <wp:extent cx="3419475" cy="2104078"/>
            <wp:effectExtent l="0" t="0" r="0" b="0"/>
            <wp:docPr id="2249422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9094" cy="2109997"/>
                    </a:xfrm>
                    <a:prstGeom prst="rect">
                      <a:avLst/>
                    </a:prstGeom>
                    <a:noFill/>
                    <a:ln>
                      <a:noFill/>
                    </a:ln>
                  </pic:spPr>
                </pic:pic>
              </a:graphicData>
            </a:graphic>
          </wp:inline>
        </w:drawing>
      </w:r>
    </w:p>
    <w:p w14:paraId="1D6F2677" w14:textId="0DAA478B" w:rsidR="00233755" w:rsidRPr="004F6ED9" w:rsidRDefault="00233755" w:rsidP="003A3A20">
      <w:pPr>
        <w:jc w:val="both"/>
        <w:rPr>
          <w:sz w:val="10"/>
          <w:szCs w:val="10"/>
        </w:rPr>
      </w:pPr>
      <w:r w:rsidRPr="004F6ED9">
        <w:rPr>
          <w:sz w:val="10"/>
        </w:rPr>
        <w:t xml:space="preserve">Note – </w:t>
      </w:r>
      <w:r w:rsidRPr="004F6ED9">
        <w:rPr>
          <w:sz w:val="10"/>
          <w:szCs w:val="10"/>
        </w:rPr>
        <w:t>Chain volume measures. Original series. Compound annual average change. pp = percentage points. (a) Dwellings</w:t>
      </w:r>
      <w:r w:rsidR="00BB67C4" w:rsidRPr="004F6ED9">
        <w:rPr>
          <w:sz w:val="10"/>
          <w:szCs w:val="10"/>
        </w:rPr>
        <w:t xml:space="preserve">, </w:t>
      </w:r>
      <w:r w:rsidRPr="004F6ED9">
        <w:rPr>
          <w:sz w:val="10"/>
          <w:szCs w:val="10"/>
        </w:rPr>
        <w:t>ownership transfer costs</w:t>
      </w:r>
      <w:r w:rsidR="00BB67C4" w:rsidRPr="004F6ED9">
        <w:rPr>
          <w:sz w:val="10"/>
          <w:szCs w:val="10"/>
        </w:rPr>
        <w:t xml:space="preserve"> and differences between the sum of component chain volume measures and the total chain volume measure for gross fixed capital formation</w:t>
      </w:r>
      <w:r w:rsidRPr="004F6ED9">
        <w:rPr>
          <w:sz w:val="10"/>
          <w:szCs w:val="10"/>
        </w:rPr>
        <w:t>.</w:t>
      </w:r>
    </w:p>
    <w:p w14:paraId="4C2372CE" w14:textId="77777777" w:rsidR="00233755" w:rsidRPr="004F6ED9" w:rsidRDefault="00233755" w:rsidP="003A3A20">
      <w:pPr>
        <w:jc w:val="both"/>
        <w:rPr>
          <w:sz w:val="10"/>
          <w:szCs w:val="10"/>
        </w:rPr>
      </w:pPr>
      <w:r w:rsidRPr="004F6ED9">
        <w:rPr>
          <w:sz w:val="10"/>
          <w:szCs w:val="10"/>
        </w:rPr>
        <w:t>Source: Based on ABS data.</w:t>
      </w:r>
    </w:p>
    <w:p w14:paraId="06F81EEF" w14:textId="77777777" w:rsidR="00233755" w:rsidRPr="00701C57"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701C57">
        <w:rPr>
          <w:sz w:val="16"/>
          <w:szCs w:val="16"/>
        </w:rPr>
        <w:t>The capital</w:t>
      </w:r>
      <w:r>
        <w:rPr>
          <w:sz w:val="16"/>
          <w:szCs w:val="16"/>
        </w:rPr>
        <w:noBreakHyphen/>
      </w:r>
      <w:r w:rsidRPr="00701C57">
        <w:rPr>
          <w:sz w:val="16"/>
          <w:szCs w:val="16"/>
        </w:rPr>
        <w:t>intensive nature of the mining industry means that cycles of mining investment have had a significant impact on changes in gross fixed capital formation (investment) in Western Australia</w:t>
      </w:r>
      <w:r>
        <w:rPr>
          <w:sz w:val="16"/>
          <w:szCs w:val="16"/>
        </w:rPr>
        <w:t>.</w:t>
      </w:r>
    </w:p>
    <w:p w14:paraId="77C75EFC" w14:textId="77777777" w:rsidR="00233755" w:rsidRPr="00F45EEC" w:rsidRDefault="00233755" w:rsidP="006058E8">
      <w:pPr>
        <w:pStyle w:val="ListParagraph"/>
        <w:numPr>
          <w:ilvl w:val="0"/>
          <w:numId w:val="9"/>
        </w:numPr>
        <w:spacing w:before="40" w:after="40"/>
        <w:ind w:left="357" w:right="227" w:hanging="357"/>
        <w:contextualSpacing w:val="0"/>
        <w:jc w:val="both"/>
        <w:rPr>
          <w:sz w:val="16"/>
          <w:szCs w:val="16"/>
        </w:rPr>
      </w:pPr>
      <w:r w:rsidRPr="00F45EEC">
        <w:rPr>
          <w:sz w:val="16"/>
          <w:szCs w:val="16"/>
        </w:rPr>
        <w:t>Between 1994-95 and 2003-04, investment was distributed relatively evenly with mining investment growing from $8.6 billion to $13.7 billion while non</w:t>
      </w:r>
      <w:r w:rsidRPr="00F45EEC">
        <w:rPr>
          <w:sz w:val="16"/>
          <w:szCs w:val="16"/>
        </w:rPr>
        <w:noBreakHyphen/>
        <w:t>mining investment grew from $7.7 billion to $15.9 billion. Other investment, in the form of dwellings and other ownership transfer costs, made up a proportionally larger share of total investment at this time.</w:t>
      </w:r>
    </w:p>
    <w:p w14:paraId="3693D12C" w14:textId="77777777" w:rsidR="00233755" w:rsidRPr="0012550E" w:rsidRDefault="00233755" w:rsidP="006058E8">
      <w:pPr>
        <w:pStyle w:val="ListParagraph"/>
        <w:numPr>
          <w:ilvl w:val="0"/>
          <w:numId w:val="9"/>
        </w:numPr>
        <w:spacing w:before="40" w:after="40"/>
        <w:ind w:left="357" w:right="227" w:hanging="357"/>
        <w:contextualSpacing w:val="0"/>
        <w:jc w:val="both"/>
        <w:rPr>
          <w:sz w:val="16"/>
          <w:szCs w:val="16"/>
        </w:rPr>
      </w:pPr>
      <w:r>
        <w:rPr>
          <w:sz w:val="16"/>
          <w:szCs w:val="16"/>
        </w:rPr>
        <w:t>Over the decade to</w:t>
      </w:r>
      <w:r w:rsidRPr="0012550E">
        <w:rPr>
          <w:sz w:val="16"/>
          <w:szCs w:val="16"/>
        </w:rPr>
        <w:t xml:space="preserve"> 201</w:t>
      </w:r>
      <w:r>
        <w:rPr>
          <w:sz w:val="16"/>
          <w:szCs w:val="16"/>
        </w:rPr>
        <w:t>3</w:t>
      </w:r>
      <w:r>
        <w:rPr>
          <w:sz w:val="16"/>
          <w:szCs w:val="16"/>
        </w:rPr>
        <w:noBreakHyphen/>
      </w:r>
      <w:r w:rsidRPr="0012550E">
        <w:rPr>
          <w:sz w:val="16"/>
          <w:szCs w:val="16"/>
        </w:rPr>
        <w:t>1</w:t>
      </w:r>
      <w:r>
        <w:rPr>
          <w:sz w:val="16"/>
          <w:szCs w:val="16"/>
        </w:rPr>
        <w:t>4,</w:t>
      </w:r>
      <w:r w:rsidRPr="0012550E">
        <w:rPr>
          <w:sz w:val="16"/>
          <w:szCs w:val="16"/>
        </w:rPr>
        <w:t xml:space="preserve"> mining investment grew rapidly</w:t>
      </w:r>
      <w:r>
        <w:rPr>
          <w:sz w:val="16"/>
          <w:szCs w:val="16"/>
        </w:rPr>
        <w:t>. There was a complementary increase in investment in non</w:t>
      </w:r>
      <w:r>
        <w:rPr>
          <w:sz w:val="16"/>
          <w:szCs w:val="16"/>
        </w:rPr>
        <w:noBreakHyphen/>
        <w:t>mining industries</w:t>
      </w:r>
      <w:r w:rsidRPr="0012550E">
        <w:rPr>
          <w:sz w:val="16"/>
          <w:szCs w:val="16"/>
        </w:rPr>
        <w:t>.</w:t>
      </w:r>
    </w:p>
    <w:p w14:paraId="5FCC66EA"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Pr>
          <w:sz w:val="16"/>
          <w:szCs w:val="16"/>
        </w:rPr>
        <w:t>The slowdown in m</w:t>
      </w:r>
      <w:r w:rsidRPr="0012550E">
        <w:rPr>
          <w:sz w:val="16"/>
          <w:szCs w:val="16"/>
        </w:rPr>
        <w:t xml:space="preserve">ining investment </w:t>
      </w:r>
      <w:r>
        <w:rPr>
          <w:sz w:val="16"/>
          <w:szCs w:val="16"/>
        </w:rPr>
        <w:t>over the next decade coincided with a slowdown in non</w:t>
      </w:r>
      <w:r>
        <w:rPr>
          <w:sz w:val="16"/>
          <w:szCs w:val="16"/>
        </w:rPr>
        <w:noBreakHyphen/>
        <w:t>mining investment, although the less capital</w:t>
      </w:r>
      <w:r>
        <w:rPr>
          <w:sz w:val="16"/>
          <w:szCs w:val="16"/>
        </w:rPr>
        <w:noBreakHyphen/>
        <w:t>intensive nature of non</w:t>
      </w:r>
      <w:r>
        <w:rPr>
          <w:sz w:val="16"/>
          <w:szCs w:val="16"/>
        </w:rPr>
        <w:noBreakHyphen/>
        <w:t>mining industries meant this slowdown was less pronounced</w:t>
      </w:r>
      <w:r w:rsidRPr="0012550E">
        <w:rPr>
          <w:sz w:val="16"/>
          <w:szCs w:val="16"/>
        </w:rPr>
        <w:t>.</w:t>
      </w:r>
    </w:p>
    <w:p w14:paraId="3F95085B" w14:textId="77777777" w:rsidR="00233755" w:rsidRPr="0012550E" w:rsidRDefault="00233755" w:rsidP="006058E8">
      <w:pPr>
        <w:pStyle w:val="ListParagraph"/>
        <w:numPr>
          <w:ilvl w:val="0"/>
          <w:numId w:val="9"/>
        </w:numPr>
        <w:spacing w:before="40" w:after="40"/>
        <w:ind w:right="227"/>
        <w:rPr>
          <w:sz w:val="16"/>
          <w:szCs w:val="16"/>
        </w:rPr>
        <w:sectPr w:rsidR="00233755" w:rsidRPr="0012550E" w:rsidSect="00233755">
          <w:type w:val="continuous"/>
          <w:pgSz w:w="11907" w:h="16840" w:code="9"/>
          <w:pgMar w:top="1701" w:right="425" w:bottom="567" w:left="567" w:header="709" w:footer="709" w:gutter="0"/>
          <w:cols w:num="2" w:space="113"/>
          <w:docGrid w:linePitch="360"/>
        </w:sectPr>
      </w:pPr>
    </w:p>
    <w:p w14:paraId="536E73BC"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fixed capital formation by industry</w:t>
      </w:r>
    </w:p>
    <w:p w14:paraId="4F5AC39F" w14:textId="24830B30" w:rsidR="00233755" w:rsidRPr="007B1AE5" w:rsidRDefault="005A547E" w:rsidP="00233755">
      <w:r>
        <w:rPr>
          <w:noProof/>
        </w:rPr>
        <w:drawing>
          <wp:inline distT="0" distB="0" distL="0" distR="0" wp14:anchorId="350A1626" wp14:editId="36A62B3F">
            <wp:extent cx="3472665" cy="2136807"/>
            <wp:effectExtent l="0" t="0" r="0" b="0"/>
            <wp:docPr id="22419095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78765" cy="2140560"/>
                    </a:xfrm>
                    <a:prstGeom prst="rect">
                      <a:avLst/>
                    </a:prstGeom>
                    <a:noFill/>
                    <a:ln>
                      <a:noFill/>
                    </a:ln>
                  </pic:spPr>
                </pic:pic>
              </a:graphicData>
            </a:graphic>
          </wp:inline>
        </w:drawing>
      </w:r>
    </w:p>
    <w:p w14:paraId="680F79C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34C0EC3E" w14:textId="77777777" w:rsidR="00233755" w:rsidRPr="00AF759E" w:rsidRDefault="00233755" w:rsidP="003A3A20">
      <w:pPr>
        <w:jc w:val="both"/>
        <w:rPr>
          <w:sz w:val="10"/>
          <w:szCs w:val="10"/>
        </w:rPr>
      </w:pPr>
      <w:r w:rsidRPr="00AF759E">
        <w:rPr>
          <w:sz w:val="10"/>
          <w:szCs w:val="10"/>
        </w:rPr>
        <w:t>Source: Based on ABS data.</w:t>
      </w:r>
    </w:p>
    <w:p w14:paraId="6833CB88" w14:textId="77777777" w:rsidR="00233755" w:rsidRPr="00762EBE"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762EBE">
        <w:rPr>
          <w:sz w:val="16"/>
          <w:szCs w:val="16"/>
        </w:rPr>
        <w:t>Prior to the large expansion in the mining industry in the 2000s, investment was more evenly distributed across industries in Western Australia. In 1999</w:t>
      </w:r>
      <w:r w:rsidRPr="00762EBE">
        <w:rPr>
          <w:sz w:val="16"/>
          <w:szCs w:val="16"/>
        </w:rPr>
        <w:noBreakHyphen/>
        <w:t>00, the mining industry accounted for 21% of total investment in Western Australia.</w:t>
      </w:r>
    </w:p>
    <w:p w14:paraId="26140569" w14:textId="77777777" w:rsidR="00233755" w:rsidRPr="007F4B4F" w:rsidRDefault="00233755" w:rsidP="006058E8">
      <w:pPr>
        <w:pStyle w:val="ListParagraph"/>
        <w:numPr>
          <w:ilvl w:val="0"/>
          <w:numId w:val="9"/>
        </w:numPr>
        <w:spacing w:before="40" w:after="40"/>
        <w:ind w:left="357" w:right="227" w:hanging="357"/>
        <w:contextualSpacing w:val="0"/>
        <w:jc w:val="both"/>
        <w:rPr>
          <w:sz w:val="16"/>
          <w:szCs w:val="16"/>
        </w:rPr>
      </w:pPr>
      <w:r w:rsidRPr="007F4B4F">
        <w:rPr>
          <w:sz w:val="16"/>
          <w:szCs w:val="16"/>
        </w:rPr>
        <w:t>Mining overtook non-mining industries in total value of investment in 2006-07. This was followed by a large spike in mining industry investment, peaking at $62 billion (64% of total investment) in 2012</w:t>
      </w:r>
      <w:r>
        <w:rPr>
          <w:sz w:val="16"/>
          <w:szCs w:val="16"/>
        </w:rPr>
        <w:noBreakHyphen/>
      </w:r>
      <w:r w:rsidRPr="007F4B4F">
        <w:rPr>
          <w:sz w:val="16"/>
          <w:szCs w:val="16"/>
        </w:rPr>
        <w:t>13 before falling significantly over the following five years.</w:t>
      </w:r>
      <w:r>
        <w:rPr>
          <w:sz w:val="16"/>
          <w:szCs w:val="16"/>
        </w:rPr>
        <w:t xml:space="preserve"> By 2018</w:t>
      </w:r>
      <w:r>
        <w:rPr>
          <w:sz w:val="16"/>
          <w:szCs w:val="16"/>
        </w:rPr>
        <w:noBreakHyphen/>
        <w:t>19, m</w:t>
      </w:r>
      <w:r w:rsidRPr="007F4B4F">
        <w:rPr>
          <w:sz w:val="16"/>
          <w:szCs w:val="16"/>
        </w:rPr>
        <w:t xml:space="preserve">ining investment </w:t>
      </w:r>
      <w:r>
        <w:rPr>
          <w:sz w:val="16"/>
          <w:szCs w:val="16"/>
        </w:rPr>
        <w:t xml:space="preserve">had </w:t>
      </w:r>
      <w:r w:rsidRPr="007F4B4F">
        <w:rPr>
          <w:sz w:val="16"/>
          <w:szCs w:val="16"/>
        </w:rPr>
        <w:t>returned to near parity with non</w:t>
      </w:r>
      <w:r w:rsidRPr="007F4B4F">
        <w:rPr>
          <w:sz w:val="16"/>
          <w:szCs w:val="16"/>
        </w:rPr>
        <w:noBreakHyphen/>
        <w:t>mining investment.</w:t>
      </w:r>
    </w:p>
    <w:p w14:paraId="69206149" w14:textId="77777777" w:rsidR="00233755" w:rsidRPr="008A4342" w:rsidRDefault="00233755" w:rsidP="006058E8">
      <w:pPr>
        <w:pStyle w:val="ListParagraph"/>
        <w:numPr>
          <w:ilvl w:val="0"/>
          <w:numId w:val="9"/>
        </w:numPr>
        <w:spacing w:before="40" w:after="40"/>
        <w:ind w:left="357" w:right="227" w:hanging="357"/>
        <w:contextualSpacing w:val="0"/>
        <w:jc w:val="both"/>
        <w:rPr>
          <w:sz w:val="16"/>
          <w:szCs w:val="16"/>
        </w:rPr>
      </w:pPr>
      <w:r w:rsidRPr="008A4342">
        <w:rPr>
          <w:sz w:val="16"/>
          <w:szCs w:val="16"/>
        </w:rPr>
        <w:t>From 2018</w:t>
      </w:r>
      <w:r w:rsidRPr="008A4342">
        <w:rPr>
          <w:sz w:val="16"/>
          <w:szCs w:val="16"/>
        </w:rPr>
        <w:noBreakHyphen/>
        <w:t xml:space="preserve">19, there has been steady growth in </w:t>
      </w:r>
      <w:r>
        <w:rPr>
          <w:sz w:val="16"/>
          <w:szCs w:val="16"/>
        </w:rPr>
        <w:t xml:space="preserve">the value of </w:t>
      </w:r>
      <w:r w:rsidRPr="008A4342">
        <w:rPr>
          <w:sz w:val="16"/>
          <w:szCs w:val="16"/>
        </w:rPr>
        <w:t>investment in</w:t>
      </w:r>
      <w:r>
        <w:rPr>
          <w:sz w:val="16"/>
          <w:szCs w:val="16"/>
        </w:rPr>
        <w:t xml:space="preserve"> </w:t>
      </w:r>
      <w:r w:rsidRPr="008A4342">
        <w:rPr>
          <w:sz w:val="16"/>
          <w:szCs w:val="16"/>
        </w:rPr>
        <w:t>both mining and non</w:t>
      </w:r>
      <w:r w:rsidRPr="008A4342">
        <w:rPr>
          <w:sz w:val="16"/>
          <w:szCs w:val="16"/>
        </w:rPr>
        <w:noBreakHyphen/>
        <w:t xml:space="preserve">mining industries, </w:t>
      </w:r>
      <w:r>
        <w:rPr>
          <w:sz w:val="16"/>
          <w:szCs w:val="16"/>
        </w:rPr>
        <w:t xml:space="preserve">potentially </w:t>
      </w:r>
      <w:r w:rsidRPr="008A4342">
        <w:rPr>
          <w:sz w:val="16"/>
          <w:szCs w:val="16"/>
        </w:rPr>
        <w:t>providing a more balanced platform for growth for the Western Australian economy.</w:t>
      </w:r>
    </w:p>
    <w:p w14:paraId="1A412D0D" w14:textId="77777777" w:rsidR="00233755" w:rsidRPr="00892773" w:rsidRDefault="00233755" w:rsidP="006058E8">
      <w:pPr>
        <w:pStyle w:val="ListParagraph"/>
        <w:numPr>
          <w:ilvl w:val="0"/>
          <w:numId w:val="9"/>
        </w:numPr>
        <w:spacing w:before="40" w:after="40"/>
        <w:ind w:right="227"/>
        <w:rPr>
          <w:sz w:val="16"/>
          <w:szCs w:val="16"/>
        </w:rPr>
        <w:sectPr w:rsidR="00233755" w:rsidRPr="00892773" w:rsidSect="00233755">
          <w:type w:val="continuous"/>
          <w:pgSz w:w="11907" w:h="16840" w:code="9"/>
          <w:pgMar w:top="1701" w:right="425" w:bottom="567" w:left="567" w:header="709" w:footer="709" w:gutter="0"/>
          <w:cols w:num="2" w:space="113"/>
          <w:docGrid w:linePitch="360"/>
        </w:sectPr>
      </w:pPr>
    </w:p>
    <w:p w14:paraId="516A050B"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fixed capital formation: 2023-24</w:t>
      </w:r>
    </w:p>
    <w:p w14:paraId="6B504F1C" w14:textId="69B36AC3" w:rsidR="00233755" w:rsidRPr="007B1AE5" w:rsidRDefault="005A547E" w:rsidP="00233755">
      <w:r>
        <w:rPr>
          <w:noProof/>
        </w:rPr>
        <w:drawing>
          <wp:inline distT="0" distB="0" distL="0" distR="0" wp14:anchorId="0B66AC41" wp14:editId="3FC7C7C6">
            <wp:extent cx="3452116" cy="2146879"/>
            <wp:effectExtent l="0" t="0" r="0" b="6350"/>
            <wp:docPr id="17755139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62469" cy="2153318"/>
                    </a:xfrm>
                    <a:prstGeom prst="rect">
                      <a:avLst/>
                    </a:prstGeom>
                    <a:noFill/>
                    <a:ln>
                      <a:noFill/>
                    </a:ln>
                  </pic:spPr>
                </pic:pic>
              </a:graphicData>
            </a:graphic>
          </wp:inline>
        </w:drawing>
      </w:r>
    </w:p>
    <w:p w14:paraId="02F7D665"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78E87F7C" w14:textId="77777777" w:rsidR="00233755" w:rsidRPr="00AF759E" w:rsidRDefault="00233755" w:rsidP="003A3A20">
      <w:pPr>
        <w:jc w:val="both"/>
        <w:rPr>
          <w:sz w:val="10"/>
          <w:szCs w:val="10"/>
        </w:rPr>
      </w:pPr>
      <w:r w:rsidRPr="00AF759E">
        <w:rPr>
          <w:sz w:val="10"/>
          <w:szCs w:val="10"/>
        </w:rPr>
        <w:t>Source: Based on ABS data.</w:t>
      </w:r>
    </w:p>
    <w:p w14:paraId="0A6FAAFE" w14:textId="77777777" w:rsidR="00233755" w:rsidRPr="00F45EEC"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F45EEC">
        <w:rPr>
          <w:sz w:val="16"/>
          <w:szCs w:val="16"/>
        </w:rPr>
        <w:t>The mining industry accounted for 44% ($41.3 billion) of Western Australia’s investment in 2023-24, followed by:</w:t>
      </w:r>
    </w:p>
    <w:p w14:paraId="78FF8EE3" w14:textId="77777777" w:rsidR="00233755" w:rsidRPr="00F45EEC" w:rsidRDefault="00233755" w:rsidP="006058E8">
      <w:pPr>
        <w:pStyle w:val="ListParagraph"/>
        <w:numPr>
          <w:ilvl w:val="0"/>
          <w:numId w:val="10"/>
        </w:numPr>
        <w:spacing w:before="40" w:after="40"/>
        <w:ind w:right="227" w:hanging="357"/>
        <w:contextualSpacing w:val="0"/>
        <w:jc w:val="both"/>
        <w:rPr>
          <w:sz w:val="16"/>
          <w:szCs w:val="16"/>
        </w:rPr>
      </w:pPr>
      <w:r w:rsidRPr="00F45EEC">
        <w:rPr>
          <w:sz w:val="16"/>
          <w:szCs w:val="16"/>
        </w:rPr>
        <w:t>transport, postal and warehousing (8% or $7.8 billion)</w:t>
      </w:r>
    </w:p>
    <w:p w14:paraId="7F1998A4" w14:textId="77777777" w:rsidR="00233755" w:rsidRPr="00F45EEC" w:rsidRDefault="00233755" w:rsidP="006058E8">
      <w:pPr>
        <w:pStyle w:val="ListParagraph"/>
        <w:numPr>
          <w:ilvl w:val="0"/>
          <w:numId w:val="10"/>
        </w:numPr>
        <w:spacing w:before="40" w:after="40"/>
        <w:ind w:right="227" w:hanging="357"/>
        <w:contextualSpacing w:val="0"/>
        <w:jc w:val="both"/>
        <w:rPr>
          <w:sz w:val="16"/>
          <w:szCs w:val="16"/>
        </w:rPr>
      </w:pPr>
      <w:r w:rsidRPr="00F45EEC">
        <w:rPr>
          <w:sz w:val="16"/>
          <w:szCs w:val="16"/>
        </w:rPr>
        <w:t>electricity, gas, water and waste services (4% or $3.9 billion)</w:t>
      </w:r>
    </w:p>
    <w:p w14:paraId="1401C74A" w14:textId="77777777" w:rsidR="00233755" w:rsidRPr="00F45EEC" w:rsidRDefault="00233755" w:rsidP="006058E8">
      <w:pPr>
        <w:pStyle w:val="ListParagraph"/>
        <w:numPr>
          <w:ilvl w:val="0"/>
          <w:numId w:val="10"/>
        </w:numPr>
        <w:spacing w:before="40" w:after="40"/>
        <w:ind w:right="227" w:hanging="357"/>
        <w:contextualSpacing w:val="0"/>
        <w:jc w:val="both"/>
        <w:rPr>
          <w:sz w:val="16"/>
          <w:szCs w:val="16"/>
        </w:rPr>
      </w:pPr>
      <w:r w:rsidRPr="00F45EEC">
        <w:rPr>
          <w:sz w:val="16"/>
          <w:szCs w:val="16"/>
        </w:rPr>
        <w:t>public administration and safety (3% or $3.1 billion).</w:t>
      </w:r>
    </w:p>
    <w:p w14:paraId="2347112A" w14:textId="77777777" w:rsidR="00233755" w:rsidRPr="00F45EEC" w:rsidRDefault="00233755" w:rsidP="006058E8">
      <w:pPr>
        <w:pStyle w:val="ListParagraph"/>
        <w:numPr>
          <w:ilvl w:val="0"/>
          <w:numId w:val="9"/>
        </w:numPr>
        <w:spacing w:before="40" w:after="40"/>
        <w:ind w:right="227" w:hanging="357"/>
        <w:contextualSpacing w:val="0"/>
        <w:jc w:val="both"/>
        <w:rPr>
          <w:sz w:val="16"/>
          <w:szCs w:val="16"/>
        </w:rPr>
      </w:pPr>
      <w:r w:rsidRPr="00F45EEC">
        <w:rPr>
          <w:sz w:val="16"/>
          <w:szCs w:val="16"/>
        </w:rPr>
        <w:t>The largest increase in Western Australia’s investment in 2023</w:t>
      </w:r>
      <w:r w:rsidRPr="00F45EEC">
        <w:rPr>
          <w:sz w:val="16"/>
          <w:szCs w:val="16"/>
        </w:rPr>
        <w:noBreakHyphen/>
        <w:t>24 was in mining (up $6.0 billion or 17%), followed by transport, postal and warehousing (up $930 million or 13%).</w:t>
      </w:r>
    </w:p>
    <w:p w14:paraId="786A4355" w14:textId="77777777" w:rsidR="00233755" w:rsidRPr="00F45EEC" w:rsidRDefault="00233755" w:rsidP="006058E8">
      <w:pPr>
        <w:pStyle w:val="ListParagraph"/>
        <w:numPr>
          <w:ilvl w:val="0"/>
          <w:numId w:val="9"/>
        </w:numPr>
        <w:spacing w:before="40" w:after="40"/>
        <w:ind w:right="227" w:hanging="357"/>
        <w:contextualSpacing w:val="0"/>
        <w:jc w:val="both"/>
        <w:rPr>
          <w:sz w:val="16"/>
          <w:szCs w:val="16"/>
        </w:rPr>
      </w:pPr>
      <w:r w:rsidRPr="00F45EEC">
        <w:rPr>
          <w:sz w:val="16"/>
          <w:szCs w:val="16"/>
        </w:rPr>
        <w:t>The only industry in Western Australia with a decrease in investment in 2023</w:t>
      </w:r>
      <w:r w:rsidRPr="00F45EEC">
        <w:rPr>
          <w:sz w:val="16"/>
          <w:szCs w:val="16"/>
        </w:rPr>
        <w:noBreakHyphen/>
        <w:t>24 was information, media and telecommunications (down $60 million or 7%).</w:t>
      </w:r>
    </w:p>
    <w:p w14:paraId="1FA6143C"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4162FB1E"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5" w:name="_Industry_employment"/>
      <w:bookmarkEnd w:id="45"/>
      <w:r w:rsidRPr="008F7AA0">
        <w:rPr>
          <w:bCs/>
          <w:color w:val="004C3D"/>
          <w:sz w:val="24"/>
          <w:szCs w:val="24"/>
        </w:rPr>
        <w:lastRenderedPageBreak/>
        <w:t>Industry employment</w:t>
      </w:r>
    </w:p>
    <w:p w14:paraId="0D4886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24A124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985" w:right="425" w:bottom="567" w:left="567" w:header="709" w:footer="709" w:gutter="0"/>
          <w:cols w:space="720"/>
          <w:docGrid w:linePitch="360"/>
        </w:sectPr>
      </w:pPr>
      <w:r w:rsidRPr="009446B5">
        <w:rPr>
          <w:i w:val="0"/>
          <w:iCs w:val="0"/>
          <w:color w:val="00997A"/>
          <w:sz w:val="20"/>
          <w:szCs w:val="20"/>
        </w:rPr>
        <w:t>Contribution to change in employment by industry</w:t>
      </w:r>
    </w:p>
    <w:p w14:paraId="5EAD25C8" w14:textId="28982C78" w:rsidR="00233755" w:rsidRPr="007B1AE5" w:rsidRDefault="005A1F2E" w:rsidP="00233755">
      <w:r>
        <w:rPr>
          <w:noProof/>
        </w:rPr>
        <w:drawing>
          <wp:inline distT="0" distB="0" distL="0" distR="0" wp14:anchorId="328FC1D6" wp14:editId="7313C486">
            <wp:extent cx="3425204" cy="2177864"/>
            <wp:effectExtent l="0" t="0" r="3810" b="0"/>
            <wp:docPr id="81967148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38204" cy="2186130"/>
                    </a:xfrm>
                    <a:prstGeom prst="rect">
                      <a:avLst/>
                    </a:prstGeom>
                    <a:noFill/>
                    <a:ln>
                      <a:noFill/>
                    </a:ln>
                  </pic:spPr>
                </pic:pic>
              </a:graphicData>
            </a:graphic>
          </wp:inline>
        </w:drawing>
      </w:r>
    </w:p>
    <w:p w14:paraId="338F55A1"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 Pp = percentage points</w:t>
      </w:r>
      <w:r>
        <w:rPr>
          <w:sz w:val="10"/>
          <w:szCs w:val="10"/>
        </w:rPr>
        <w:t>. Compound annual average change.</w:t>
      </w:r>
    </w:p>
    <w:p w14:paraId="1CD4D184" w14:textId="77777777" w:rsidR="00233755" w:rsidRPr="00AF759E" w:rsidRDefault="00233755" w:rsidP="003A3A20">
      <w:pPr>
        <w:jc w:val="both"/>
        <w:rPr>
          <w:sz w:val="10"/>
          <w:szCs w:val="10"/>
        </w:rPr>
      </w:pPr>
      <w:r w:rsidRPr="00AF759E">
        <w:rPr>
          <w:sz w:val="10"/>
          <w:szCs w:val="10"/>
        </w:rPr>
        <w:t>Source: Based on ABS data.</w:t>
      </w:r>
    </w:p>
    <w:p w14:paraId="2B766821" w14:textId="77777777" w:rsidR="00233755" w:rsidRPr="006A0DE6"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ED2B48">
        <w:rPr>
          <w:sz w:val="16"/>
          <w:szCs w:val="16"/>
        </w:rPr>
        <w:t>While the Western Australian economy went through a period during which growth in investment and economic output was dominated by the mining industry, as a less labour</w:t>
      </w:r>
      <w:r w:rsidRPr="00ED2B48">
        <w:rPr>
          <w:sz w:val="16"/>
          <w:szCs w:val="16"/>
        </w:rPr>
        <w:noBreakHyphen/>
        <w:t>intensive industry, mining has not made as large a contribution to employment growth in Western Australia. However, changes in employment in the mining and construction industries tend to have flow</w:t>
      </w:r>
      <w:r w:rsidRPr="00ED2B48">
        <w:rPr>
          <w:sz w:val="16"/>
          <w:szCs w:val="16"/>
        </w:rPr>
        <w:noBreakHyphen/>
        <w:t>on effects to employment in other industries in Western Australia.</w:t>
      </w:r>
    </w:p>
    <w:p w14:paraId="78859626" w14:textId="5B49AA58" w:rsidR="00233755" w:rsidRPr="00F45EEC" w:rsidRDefault="00233755" w:rsidP="006058E8">
      <w:pPr>
        <w:pStyle w:val="ListParagraph"/>
        <w:numPr>
          <w:ilvl w:val="0"/>
          <w:numId w:val="9"/>
        </w:numPr>
        <w:spacing w:before="40" w:after="40"/>
        <w:ind w:right="227"/>
        <w:contextualSpacing w:val="0"/>
        <w:jc w:val="both"/>
        <w:rPr>
          <w:sz w:val="16"/>
          <w:szCs w:val="16"/>
        </w:rPr>
      </w:pPr>
      <w:r w:rsidRPr="00F45EEC">
        <w:rPr>
          <w:sz w:val="16"/>
          <w:szCs w:val="16"/>
        </w:rPr>
        <w:t>The contribution of the mining and construction industries to employment growth was most pronounced in the decade to 201</w:t>
      </w:r>
      <w:r w:rsidR="00E64FFE">
        <w:rPr>
          <w:sz w:val="16"/>
          <w:szCs w:val="16"/>
        </w:rPr>
        <w:t>4</w:t>
      </w:r>
      <w:r w:rsidRPr="00F45EEC">
        <w:rPr>
          <w:sz w:val="16"/>
          <w:szCs w:val="16"/>
        </w:rPr>
        <w:noBreakHyphen/>
        <w:t>1</w:t>
      </w:r>
      <w:r w:rsidR="00E64FFE">
        <w:rPr>
          <w:sz w:val="16"/>
          <w:szCs w:val="16"/>
        </w:rPr>
        <w:t>5</w:t>
      </w:r>
      <w:r w:rsidRPr="00F45EEC">
        <w:rPr>
          <w:sz w:val="16"/>
          <w:szCs w:val="16"/>
        </w:rPr>
        <w:t xml:space="preserve"> during the height of the mining expansion. In this period, total employment in Western Australia grew </w:t>
      </w:r>
      <w:r w:rsidR="00E64FFE">
        <w:rPr>
          <w:sz w:val="16"/>
          <w:szCs w:val="16"/>
        </w:rPr>
        <w:t>at an average annual rate of</w:t>
      </w:r>
      <w:r w:rsidRPr="00F45EEC">
        <w:rPr>
          <w:sz w:val="16"/>
          <w:szCs w:val="16"/>
        </w:rPr>
        <w:t xml:space="preserve"> </w:t>
      </w:r>
      <w:r w:rsidR="00E64FFE">
        <w:rPr>
          <w:sz w:val="16"/>
          <w:szCs w:val="16"/>
        </w:rPr>
        <w:t>2.8</w:t>
      </w:r>
      <w:r w:rsidRPr="00F45EEC">
        <w:rPr>
          <w:sz w:val="16"/>
          <w:szCs w:val="16"/>
        </w:rPr>
        <w:t xml:space="preserve">% with the mining and construction industries combining to contribute </w:t>
      </w:r>
      <w:r w:rsidR="00E64FFE">
        <w:rPr>
          <w:sz w:val="16"/>
          <w:szCs w:val="16"/>
        </w:rPr>
        <w:t>0.8</w:t>
      </w:r>
      <w:r w:rsidRPr="00F45EEC">
        <w:rPr>
          <w:sz w:val="16"/>
          <w:szCs w:val="16"/>
        </w:rPr>
        <w:t> percentage points of this increase.</w:t>
      </w:r>
    </w:p>
    <w:p w14:paraId="37DE19AE" w14:textId="77777777" w:rsidR="00233755" w:rsidRPr="00C01CE8" w:rsidRDefault="00233755" w:rsidP="006058E8">
      <w:pPr>
        <w:pStyle w:val="ListParagraph"/>
        <w:numPr>
          <w:ilvl w:val="0"/>
          <w:numId w:val="9"/>
        </w:numPr>
        <w:spacing w:before="40" w:after="40"/>
        <w:ind w:right="227"/>
        <w:contextualSpacing w:val="0"/>
        <w:jc w:val="both"/>
        <w:rPr>
          <w:sz w:val="16"/>
          <w:szCs w:val="16"/>
        </w:rPr>
        <w:sectPr w:rsidR="00233755" w:rsidRPr="00C01CE8" w:rsidSect="00233755">
          <w:type w:val="continuous"/>
          <w:pgSz w:w="11907" w:h="16840" w:code="9"/>
          <w:pgMar w:top="1701" w:right="425" w:bottom="567" w:left="567" w:header="709" w:footer="709" w:gutter="0"/>
          <w:cols w:num="2" w:space="113"/>
          <w:docGrid w:linePitch="360"/>
        </w:sectPr>
      </w:pPr>
    </w:p>
    <w:p w14:paraId="5E8BF503"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employment</w:t>
      </w:r>
    </w:p>
    <w:p w14:paraId="3A4354E6" w14:textId="03E9160C" w:rsidR="00233755" w:rsidRPr="007B1AE5" w:rsidRDefault="001B6866" w:rsidP="00233755">
      <w:r>
        <w:rPr>
          <w:noProof/>
        </w:rPr>
        <w:drawing>
          <wp:inline distT="0" distB="0" distL="0" distR="0" wp14:anchorId="05C66CA7" wp14:editId="0CAA3189">
            <wp:extent cx="1710000" cy="2103866"/>
            <wp:effectExtent l="0" t="0" r="5080" b="0"/>
            <wp:docPr id="212450207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39BBD271" wp14:editId="0D301A2E">
            <wp:extent cx="1710000" cy="2103866"/>
            <wp:effectExtent l="0" t="0" r="5080" b="0"/>
            <wp:docPr id="66034005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441CC91B"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w:t>
      </w:r>
      <w:r>
        <w:rPr>
          <w:sz w:val="10"/>
          <w:szCs w:val="10"/>
        </w:rPr>
        <w:t>. Annual average e</w:t>
      </w:r>
      <w:r w:rsidRPr="00AF759E">
        <w:rPr>
          <w:sz w:val="10"/>
          <w:szCs w:val="10"/>
        </w:rPr>
        <w:t>mployed persons</w:t>
      </w:r>
      <w:r>
        <w:rPr>
          <w:sz w:val="10"/>
          <w:szCs w:val="10"/>
        </w:rPr>
        <w:t>.</w:t>
      </w:r>
      <w:r w:rsidRPr="00AF759E">
        <w:rPr>
          <w:sz w:val="10"/>
          <w:szCs w:val="10"/>
        </w:rPr>
        <w:t xml:space="preserve"> (a) Agriculture, forestry </w:t>
      </w:r>
      <w:r>
        <w:rPr>
          <w:sz w:val="10"/>
          <w:szCs w:val="10"/>
        </w:rPr>
        <w:t>and</w:t>
      </w:r>
      <w:r w:rsidRPr="00AF759E">
        <w:rPr>
          <w:sz w:val="10"/>
          <w:szCs w:val="10"/>
        </w:rPr>
        <w:t xml:space="preserve"> fishing; manufacturing; construction; and electricity, gas, water and waste services.</w:t>
      </w:r>
    </w:p>
    <w:p w14:paraId="1F5BEA93" w14:textId="77777777" w:rsidR="00233755" w:rsidRPr="00AF759E" w:rsidRDefault="00233755" w:rsidP="003A3A20">
      <w:pPr>
        <w:jc w:val="both"/>
        <w:rPr>
          <w:sz w:val="10"/>
          <w:szCs w:val="10"/>
        </w:rPr>
      </w:pPr>
      <w:r w:rsidRPr="00AF759E">
        <w:rPr>
          <w:sz w:val="10"/>
          <w:szCs w:val="10"/>
        </w:rPr>
        <w:t>Source: Based on ABS data.</w:t>
      </w:r>
    </w:p>
    <w:p w14:paraId="2442D41C" w14:textId="77777777" w:rsidR="00233755" w:rsidRPr="00ED2B48"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ED2B48">
        <w:rPr>
          <w:sz w:val="16"/>
          <w:szCs w:val="16"/>
        </w:rPr>
        <w:t>Over the past 30 years, the main changes in the composition of Western Australia’s employment have been the growth in employment in mining, construction and services industries and the declining share of employment in manufacturing and agriculture.</w:t>
      </w:r>
    </w:p>
    <w:p w14:paraId="32CFED52" w14:textId="6A75BA4A" w:rsidR="00233755" w:rsidRPr="00AC6B02" w:rsidRDefault="003C758D" w:rsidP="006058E8">
      <w:pPr>
        <w:pStyle w:val="ListParagraph"/>
        <w:numPr>
          <w:ilvl w:val="0"/>
          <w:numId w:val="9"/>
        </w:numPr>
        <w:spacing w:before="40" w:after="40"/>
        <w:ind w:left="357" w:right="227" w:hanging="357"/>
        <w:contextualSpacing w:val="0"/>
        <w:jc w:val="both"/>
        <w:rPr>
          <w:color w:val="000000" w:themeColor="text1"/>
          <w:sz w:val="16"/>
          <w:szCs w:val="16"/>
        </w:rPr>
      </w:pPr>
      <w:r w:rsidRPr="00AC6B02">
        <w:rPr>
          <w:color w:val="000000" w:themeColor="text1"/>
          <w:sz w:val="16"/>
          <w:szCs w:val="16"/>
        </w:rPr>
        <w:t xml:space="preserve">Between </w:t>
      </w:r>
      <w:r w:rsidR="009B44F6" w:rsidRPr="00AC6B02">
        <w:rPr>
          <w:color w:val="000000" w:themeColor="text1"/>
          <w:sz w:val="16"/>
          <w:szCs w:val="16"/>
        </w:rPr>
        <w:t>1994-95</w:t>
      </w:r>
      <w:r w:rsidRPr="00AC6B02">
        <w:rPr>
          <w:color w:val="000000" w:themeColor="text1"/>
          <w:sz w:val="16"/>
          <w:szCs w:val="16"/>
        </w:rPr>
        <w:t xml:space="preserve"> and 2024-25</w:t>
      </w:r>
      <w:r w:rsidR="009B44F6" w:rsidRPr="00AC6B02">
        <w:rPr>
          <w:color w:val="000000" w:themeColor="text1"/>
          <w:sz w:val="16"/>
          <w:szCs w:val="16"/>
        </w:rPr>
        <w:t>,</w:t>
      </w:r>
      <w:r w:rsidR="00233755" w:rsidRPr="00AC6B02">
        <w:rPr>
          <w:color w:val="000000" w:themeColor="text1"/>
          <w:sz w:val="16"/>
          <w:szCs w:val="16"/>
        </w:rPr>
        <w:t xml:space="preserve"> </w:t>
      </w:r>
      <w:r w:rsidRPr="00AC6B02">
        <w:rPr>
          <w:color w:val="000000" w:themeColor="text1"/>
          <w:sz w:val="16"/>
          <w:szCs w:val="16"/>
        </w:rPr>
        <w:t xml:space="preserve">mining’s share of total employment in Western Australia rose from </w:t>
      </w:r>
      <w:r w:rsidR="00210C6B" w:rsidRPr="00AC6B02">
        <w:rPr>
          <w:color w:val="000000" w:themeColor="text1"/>
          <w:sz w:val="16"/>
          <w:szCs w:val="16"/>
        </w:rPr>
        <w:t>3.7</w:t>
      </w:r>
      <w:r w:rsidRPr="00AC6B02">
        <w:rPr>
          <w:color w:val="000000" w:themeColor="text1"/>
          <w:sz w:val="16"/>
          <w:szCs w:val="16"/>
        </w:rPr>
        <w:t xml:space="preserve">% to </w:t>
      </w:r>
      <w:r w:rsidR="00210C6B" w:rsidRPr="00AC6B02">
        <w:rPr>
          <w:color w:val="000000" w:themeColor="text1"/>
          <w:sz w:val="16"/>
          <w:szCs w:val="16"/>
        </w:rPr>
        <w:t>9.7</w:t>
      </w:r>
      <w:r w:rsidRPr="00AC6B02">
        <w:rPr>
          <w:color w:val="000000" w:themeColor="text1"/>
          <w:sz w:val="16"/>
          <w:szCs w:val="16"/>
        </w:rPr>
        <w:t xml:space="preserve">%, while the shares for construction and services industries </w:t>
      </w:r>
      <w:r w:rsidR="00210C6B" w:rsidRPr="00AC6B02">
        <w:rPr>
          <w:color w:val="000000" w:themeColor="text1"/>
          <w:sz w:val="16"/>
          <w:szCs w:val="16"/>
        </w:rPr>
        <w:t>grew marginally</w:t>
      </w:r>
      <w:r w:rsidR="00233755" w:rsidRPr="00AC6B02">
        <w:rPr>
          <w:color w:val="000000" w:themeColor="text1"/>
          <w:sz w:val="16"/>
          <w:szCs w:val="16"/>
        </w:rPr>
        <w:t>.</w:t>
      </w:r>
    </w:p>
    <w:p w14:paraId="6DD030A3" w14:textId="00FC3801" w:rsidR="00233755" w:rsidRPr="00AC6B0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AC6B02">
        <w:rPr>
          <w:color w:val="000000" w:themeColor="text1"/>
          <w:sz w:val="16"/>
          <w:szCs w:val="16"/>
        </w:rPr>
        <w:t>Manufacturing was overtaken in its contribution to total employment by construction in 200</w:t>
      </w:r>
      <w:r w:rsidR="00042239" w:rsidRPr="00AC6B02">
        <w:rPr>
          <w:color w:val="000000" w:themeColor="text1"/>
          <w:sz w:val="16"/>
          <w:szCs w:val="16"/>
        </w:rPr>
        <w:t>5</w:t>
      </w:r>
      <w:r w:rsidRPr="00AC6B02">
        <w:rPr>
          <w:color w:val="000000" w:themeColor="text1"/>
          <w:sz w:val="16"/>
          <w:szCs w:val="16"/>
        </w:rPr>
        <w:noBreakHyphen/>
        <w:t>0</w:t>
      </w:r>
      <w:r w:rsidR="00042239" w:rsidRPr="00AC6B02">
        <w:rPr>
          <w:color w:val="000000" w:themeColor="text1"/>
          <w:sz w:val="16"/>
          <w:szCs w:val="16"/>
        </w:rPr>
        <w:t>6</w:t>
      </w:r>
      <w:r w:rsidRPr="00AC6B02">
        <w:rPr>
          <w:color w:val="000000" w:themeColor="text1"/>
          <w:sz w:val="16"/>
          <w:szCs w:val="16"/>
        </w:rPr>
        <w:t>, and mining in 20</w:t>
      </w:r>
      <w:r w:rsidR="00042239" w:rsidRPr="00AC6B02">
        <w:rPr>
          <w:color w:val="000000" w:themeColor="text1"/>
          <w:sz w:val="16"/>
          <w:szCs w:val="16"/>
        </w:rPr>
        <w:t>10</w:t>
      </w:r>
      <w:r w:rsidRPr="00AC6B02">
        <w:rPr>
          <w:color w:val="000000" w:themeColor="text1"/>
          <w:sz w:val="16"/>
          <w:szCs w:val="16"/>
        </w:rPr>
        <w:t>-1</w:t>
      </w:r>
      <w:r w:rsidR="00042239" w:rsidRPr="00AC6B02">
        <w:rPr>
          <w:color w:val="000000" w:themeColor="text1"/>
          <w:sz w:val="16"/>
          <w:szCs w:val="16"/>
        </w:rPr>
        <w:t>1</w:t>
      </w:r>
      <w:r w:rsidRPr="00AC6B02">
        <w:rPr>
          <w:color w:val="000000" w:themeColor="text1"/>
          <w:sz w:val="16"/>
          <w:szCs w:val="16"/>
        </w:rPr>
        <w:t xml:space="preserve">. The manufacturing industry’s share of total employment in Western Australia in </w:t>
      </w:r>
      <w:r w:rsidR="00042239" w:rsidRPr="00AC6B02">
        <w:rPr>
          <w:color w:val="000000" w:themeColor="text1"/>
          <w:sz w:val="16"/>
          <w:szCs w:val="16"/>
        </w:rPr>
        <w:t>2024-25</w:t>
      </w:r>
      <w:r w:rsidRPr="00AC6B02">
        <w:rPr>
          <w:color w:val="000000" w:themeColor="text1"/>
          <w:sz w:val="16"/>
          <w:szCs w:val="16"/>
        </w:rPr>
        <w:t xml:space="preserve"> (5</w:t>
      </w:r>
      <w:r w:rsidR="00210C6B" w:rsidRPr="00AC6B02">
        <w:rPr>
          <w:color w:val="000000" w:themeColor="text1"/>
          <w:sz w:val="16"/>
          <w:szCs w:val="16"/>
        </w:rPr>
        <w:t>.0</w:t>
      </w:r>
      <w:r w:rsidRPr="00AC6B02">
        <w:rPr>
          <w:color w:val="000000" w:themeColor="text1"/>
          <w:sz w:val="16"/>
          <w:szCs w:val="16"/>
        </w:rPr>
        <w:t xml:space="preserve">%) was </w:t>
      </w:r>
      <w:r w:rsidR="00210C6B" w:rsidRPr="00AC6B02">
        <w:rPr>
          <w:color w:val="000000" w:themeColor="text1"/>
          <w:sz w:val="16"/>
          <w:szCs w:val="16"/>
        </w:rPr>
        <w:t xml:space="preserve">just over </w:t>
      </w:r>
      <w:r w:rsidRPr="00AC6B02">
        <w:rPr>
          <w:color w:val="000000" w:themeColor="text1"/>
          <w:sz w:val="16"/>
          <w:szCs w:val="16"/>
        </w:rPr>
        <w:t>half of its share in 199</w:t>
      </w:r>
      <w:r w:rsidR="00042239" w:rsidRPr="00AC6B02">
        <w:rPr>
          <w:color w:val="000000" w:themeColor="text1"/>
          <w:sz w:val="16"/>
          <w:szCs w:val="16"/>
        </w:rPr>
        <w:t>4</w:t>
      </w:r>
      <w:r w:rsidRPr="00AC6B02">
        <w:rPr>
          <w:color w:val="000000" w:themeColor="text1"/>
          <w:sz w:val="16"/>
          <w:szCs w:val="16"/>
        </w:rPr>
        <w:noBreakHyphen/>
        <w:t>9</w:t>
      </w:r>
      <w:r w:rsidR="00042239" w:rsidRPr="00AC6B02">
        <w:rPr>
          <w:color w:val="000000" w:themeColor="text1"/>
          <w:sz w:val="16"/>
          <w:szCs w:val="16"/>
        </w:rPr>
        <w:t>5</w:t>
      </w:r>
      <w:r w:rsidR="00210C6B" w:rsidRPr="00AC6B02">
        <w:rPr>
          <w:color w:val="000000" w:themeColor="text1"/>
          <w:sz w:val="16"/>
          <w:szCs w:val="16"/>
        </w:rPr>
        <w:t xml:space="preserve"> (9.9%)</w:t>
      </w:r>
      <w:r w:rsidRPr="00AC6B02">
        <w:rPr>
          <w:color w:val="000000" w:themeColor="text1"/>
          <w:sz w:val="16"/>
          <w:szCs w:val="16"/>
        </w:rPr>
        <w:t>.</w:t>
      </w:r>
    </w:p>
    <w:p w14:paraId="66E6D2DA" w14:textId="4C84A651" w:rsidR="00233755" w:rsidRPr="00AC6B0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AC6B02">
        <w:rPr>
          <w:color w:val="000000" w:themeColor="text1"/>
          <w:sz w:val="16"/>
          <w:szCs w:val="16"/>
        </w:rPr>
        <w:t xml:space="preserve">The agricultural industry in Western Australia has become more capital intensive and more productive, so despite increases in output, it has required fewer workers. The agriculture, forestry and fishing industry’s share of total employment in Western Australia fell from </w:t>
      </w:r>
      <w:r w:rsidR="00210C6B" w:rsidRPr="00AC6B02">
        <w:rPr>
          <w:color w:val="000000" w:themeColor="text1"/>
          <w:sz w:val="16"/>
          <w:szCs w:val="16"/>
        </w:rPr>
        <w:t>5.5</w:t>
      </w:r>
      <w:r w:rsidRPr="00AC6B02">
        <w:rPr>
          <w:color w:val="000000" w:themeColor="text1"/>
          <w:sz w:val="16"/>
          <w:szCs w:val="16"/>
        </w:rPr>
        <w:t>% in 199</w:t>
      </w:r>
      <w:r w:rsidR="00042239" w:rsidRPr="00AC6B02">
        <w:rPr>
          <w:color w:val="000000" w:themeColor="text1"/>
          <w:sz w:val="16"/>
          <w:szCs w:val="16"/>
        </w:rPr>
        <w:t>4</w:t>
      </w:r>
      <w:r w:rsidRPr="00AC6B02">
        <w:rPr>
          <w:color w:val="000000" w:themeColor="text1"/>
          <w:sz w:val="16"/>
          <w:szCs w:val="16"/>
        </w:rPr>
        <w:noBreakHyphen/>
        <w:t>9</w:t>
      </w:r>
      <w:r w:rsidR="00042239" w:rsidRPr="00AC6B02">
        <w:rPr>
          <w:color w:val="000000" w:themeColor="text1"/>
          <w:sz w:val="16"/>
          <w:szCs w:val="16"/>
        </w:rPr>
        <w:t>5</w:t>
      </w:r>
      <w:r w:rsidRPr="00AC6B02">
        <w:rPr>
          <w:color w:val="000000" w:themeColor="text1"/>
          <w:sz w:val="16"/>
          <w:szCs w:val="16"/>
        </w:rPr>
        <w:t xml:space="preserve"> to 2</w:t>
      </w:r>
      <w:r w:rsidR="00210C6B" w:rsidRPr="00AC6B02">
        <w:rPr>
          <w:color w:val="000000" w:themeColor="text1"/>
          <w:sz w:val="16"/>
          <w:szCs w:val="16"/>
        </w:rPr>
        <w:t>.1</w:t>
      </w:r>
      <w:r w:rsidRPr="00AC6B02">
        <w:rPr>
          <w:color w:val="000000" w:themeColor="text1"/>
          <w:sz w:val="16"/>
          <w:szCs w:val="16"/>
        </w:rPr>
        <w:t>% in 202</w:t>
      </w:r>
      <w:r w:rsidR="00042239" w:rsidRPr="00AC6B02">
        <w:rPr>
          <w:color w:val="000000" w:themeColor="text1"/>
          <w:sz w:val="16"/>
          <w:szCs w:val="16"/>
        </w:rPr>
        <w:t>4</w:t>
      </w:r>
      <w:r w:rsidRPr="00AC6B02">
        <w:rPr>
          <w:color w:val="000000" w:themeColor="text1"/>
          <w:sz w:val="16"/>
          <w:szCs w:val="16"/>
        </w:rPr>
        <w:t>-2</w:t>
      </w:r>
      <w:r w:rsidR="00042239" w:rsidRPr="00AC6B02">
        <w:rPr>
          <w:color w:val="000000" w:themeColor="text1"/>
          <w:sz w:val="16"/>
          <w:szCs w:val="16"/>
        </w:rPr>
        <w:t>5</w:t>
      </w:r>
      <w:r w:rsidRPr="00AC6B02">
        <w:rPr>
          <w:color w:val="000000" w:themeColor="text1"/>
          <w:sz w:val="16"/>
          <w:szCs w:val="16"/>
        </w:rPr>
        <w:t>.</w:t>
      </w:r>
    </w:p>
    <w:p w14:paraId="4033D5EE" w14:textId="77777777" w:rsidR="00233755" w:rsidRPr="00E800C6" w:rsidRDefault="00233755" w:rsidP="006058E8">
      <w:pPr>
        <w:pStyle w:val="ListParagraph"/>
        <w:numPr>
          <w:ilvl w:val="0"/>
          <w:numId w:val="9"/>
        </w:numPr>
        <w:spacing w:before="40" w:after="40"/>
        <w:ind w:right="227"/>
        <w:rPr>
          <w:sz w:val="16"/>
          <w:szCs w:val="16"/>
        </w:rPr>
        <w:sectPr w:rsidR="00233755" w:rsidRPr="00E800C6" w:rsidSect="00233755">
          <w:type w:val="continuous"/>
          <w:pgSz w:w="11907" w:h="16840" w:code="9"/>
          <w:pgMar w:top="1701" w:right="425" w:bottom="567" w:left="567" w:header="709" w:footer="709" w:gutter="0"/>
          <w:cols w:num="2" w:space="113"/>
          <w:docGrid w:linePitch="360"/>
        </w:sectPr>
      </w:pPr>
    </w:p>
    <w:p w14:paraId="1FA2D20C" w14:textId="091CFD30"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Industry employment: </w:t>
      </w:r>
      <w:r w:rsidR="00653DE8">
        <w:rPr>
          <w:i w:val="0"/>
          <w:iCs w:val="0"/>
          <w:color w:val="00997A"/>
          <w:sz w:val="20"/>
          <w:szCs w:val="20"/>
        </w:rPr>
        <w:t>2024-25</w:t>
      </w:r>
    </w:p>
    <w:p w14:paraId="4460CDE2" w14:textId="6AB73839" w:rsidR="00233755" w:rsidRPr="007B1AE5" w:rsidRDefault="005A1F2E" w:rsidP="00233755">
      <w:r>
        <w:rPr>
          <w:noProof/>
        </w:rPr>
        <w:drawing>
          <wp:inline distT="0" distB="0" distL="0" distR="0" wp14:anchorId="5A9D943B" wp14:editId="56FE754C">
            <wp:extent cx="3411020" cy="2136510"/>
            <wp:effectExtent l="0" t="0" r="0" b="0"/>
            <wp:docPr id="7656243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24850" cy="2145173"/>
                    </a:xfrm>
                    <a:prstGeom prst="rect">
                      <a:avLst/>
                    </a:prstGeom>
                    <a:noFill/>
                    <a:ln>
                      <a:noFill/>
                    </a:ln>
                  </pic:spPr>
                </pic:pic>
              </a:graphicData>
            </a:graphic>
          </wp:inline>
        </w:drawing>
      </w:r>
    </w:p>
    <w:p w14:paraId="50C7216E" w14:textId="77777777" w:rsidR="00233755" w:rsidRPr="00AF759E"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025A59FF" w14:textId="77777777" w:rsidR="00233755" w:rsidRPr="00AF759E" w:rsidRDefault="00233755" w:rsidP="003A3A20">
      <w:pPr>
        <w:jc w:val="both"/>
        <w:rPr>
          <w:sz w:val="10"/>
          <w:szCs w:val="10"/>
        </w:rPr>
      </w:pPr>
      <w:r w:rsidRPr="00AF759E">
        <w:rPr>
          <w:sz w:val="10"/>
          <w:szCs w:val="10"/>
        </w:rPr>
        <w:t>Source: Based on ABS data.</w:t>
      </w:r>
    </w:p>
    <w:p w14:paraId="5F3B47BA" w14:textId="07E127C9" w:rsidR="00233755" w:rsidRPr="00AC6B0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AC6B02">
        <w:rPr>
          <w:color w:val="000000" w:themeColor="text1"/>
          <w:sz w:val="16"/>
          <w:szCs w:val="16"/>
        </w:rPr>
        <w:t>Services industries accounted for 7</w:t>
      </w:r>
      <w:r w:rsidR="00653DE8" w:rsidRPr="00AC6B02">
        <w:rPr>
          <w:color w:val="000000" w:themeColor="text1"/>
          <w:sz w:val="16"/>
          <w:szCs w:val="16"/>
        </w:rPr>
        <w:t>2</w:t>
      </w:r>
      <w:r w:rsidRPr="00AC6B02">
        <w:rPr>
          <w:color w:val="000000" w:themeColor="text1"/>
          <w:sz w:val="16"/>
          <w:szCs w:val="16"/>
        </w:rPr>
        <w:t>% of Western Australia’s employment in 202</w:t>
      </w:r>
      <w:r w:rsidR="00653DE8" w:rsidRPr="00AC6B02">
        <w:rPr>
          <w:color w:val="000000" w:themeColor="text1"/>
          <w:sz w:val="16"/>
          <w:szCs w:val="16"/>
        </w:rPr>
        <w:t>4-25</w:t>
      </w:r>
      <w:r w:rsidRPr="00AC6B02">
        <w:rPr>
          <w:color w:val="000000" w:themeColor="text1"/>
          <w:sz w:val="16"/>
          <w:szCs w:val="16"/>
        </w:rPr>
        <w:t>, including:</w:t>
      </w:r>
    </w:p>
    <w:p w14:paraId="003B9E57" w14:textId="088567FF" w:rsidR="00233755" w:rsidRPr="00AC6B0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AC6B02">
        <w:rPr>
          <w:color w:val="000000" w:themeColor="text1"/>
          <w:sz w:val="16"/>
          <w:szCs w:val="16"/>
        </w:rPr>
        <w:t>healthcare and social assistance (1</w:t>
      </w:r>
      <w:r w:rsidR="007B4F57" w:rsidRPr="00AC6B02">
        <w:rPr>
          <w:color w:val="000000" w:themeColor="text1"/>
          <w:sz w:val="16"/>
          <w:szCs w:val="16"/>
        </w:rPr>
        <w:t>4</w:t>
      </w:r>
      <w:r w:rsidR="00210C6B" w:rsidRPr="00AC6B02">
        <w:rPr>
          <w:color w:val="000000" w:themeColor="text1"/>
          <w:sz w:val="16"/>
          <w:szCs w:val="16"/>
        </w:rPr>
        <w:t>.3</w:t>
      </w:r>
      <w:r w:rsidRPr="00AC6B02">
        <w:rPr>
          <w:color w:val="000000" w:themeColor="text1"/>
          <w:sz w:val="16"/>
          <w:szCs w:val="16"/>
        </w:rPr>
        <w:t>%)</w:t>
      </w:r>
    </w:p>
    <w:p w14:paraId="0A362C14" w14:textId="3E3664D6" w:rsidR="00233755" w:rsidRPr="00AC6B0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AC6B02">
        <w:rPr>
          <w:color w:val="000000" w:themeColor="text1"/>
          <w:sz w:val="16"/>
          <w:szCs w:val="16"/>
        </w:rPr>
        <w:t>retail trade (</w:t>
      </w:r>
      <w:r w:rsidR="00210C6B" w:rsidRPr="00AC6B02">
        <w:rPr>
          <w:color w:val="000000" w:themeColor="text1"/>
          <w:sz w:val="16"/>
          <w:szCs w:val="16"/>
        </w:rPr>
        <w:t>8.8</w:t>
      </w:r>
      <w:r w:rsidRPr="00AC6B02">
        <w:rPr>
          <w:color w:val="000000" w:themeColor="text1"/>
          <w:sz w:val="16"/>
          <w:szCs w:val="16"/>
        </w:rPr>
        <w:t>%)</w:t>
      </w:r>
    </w:p>
    <w:p w14:paraId="5B459EC8" w14:textId="3F09397E" w:rsidR="00233755" w:rsidRPr="00AC6B0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AC6B02">
        <w:rPr>
          <w:color w:val="000000" w:themeColor="text1"/>
          <w:sz w:val="16"/>
          <w:szCs w:val="16"/>
        </w:rPr>
        <w:t>education and training (8</w:t>
      </w:r>
      <w:r w:rsidR="00210C6B" w:rsidRPr="00AC6B02">
        <w:rPr>
          <w:color w:val="000000" w:themeColor="text1"/>
          <w:sz w:val="16"/>
          <w:szCs w:val="16"/>
        </w:rPr>
        <w:t>.2</w:t>
      </w:r>
      <w:r w:rsidRPr="00AC6B02">
        <w:rPr>
          <w:color w:val="000000" w:themeColor="text1"/>
          <w:sz w:val="16"/>
          <w:szCs w:val="16"/>
        </w:rPr>
        <w:t>%).</w:t>
      </w:r>
    </w:p>
    <w:p w14:paraId="18E94A9F" w14:textId="5BAFB4EC" w:rsidR="00233755" w:rsidRPr="00AC6B0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AC6B02">
        <w:rPr>
          <w:color w:val="000000" w:themeColor="text1"/>
          <w:sz w:val="16"/>
          <w:szCs w:val="16"/>
        </w:rPr>
        <w:t xml:space="preserve">Goods producing industries accounted for </w:t>
      </w:r>
      <w:r w:rsidR="007B4F57" w:rsidRPr="00AC6B02">
        <w:rPr>
          <w:color w:val="000000" w:themeColor="text1"/>
          <w:sz w:val="16"/>
          <w:szCs w:val="16"/>
        </w:rPr>
        <w:t>28</w:t>
      </w:r>
      <w:r w:rsidRPr="00AC6B02">
        <w:rPr>
          <w:color w:val="000000" w:themeColor="text1"/>
          <w:sz w:val="16"/>
          <w:szCs w:val="16"/>
        </w:rPr>
        <w:t xml:space="preserve">% of Western Australia’s employment in </w:t>
      </w:r>
      <w:r w:rsidR="007B4F57" w:rsidRPr="00AC6B02">
        <w:rPr>
          <w:color w:val="000000" w:themeColor="text1"/>
          <w:sz w:val="16"/>
          <w:szCs w:val="16"/>
        </w:rPr>
        <w:t>2024-25</w:t>
      </w:r>
      <w:r w:rsidRPr="00AC6B02">
        <w:rPr>
          <w:color w:val="000000" w:themeColor="text1"/>
          <w:sz w:val="16"/>
          <w:szCs w:val="16"/>
        </w:rPr>
        <w:t>, including:</w:t>
      </w:r>
    </w:p>
    <w:p w14:paraId="48E07680" w14:textId="1495F3B7" w:rsidR="00233755" w:rsidRPr="00AC6B0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AC6B02">
        <w:rPr>
          <w:color w:val="000000" w:themeColor="text1"/>
          <w:sz w:val="16"/>
          <w:szCs w:val="16"/>
        </w:rPr>
        <w:t>mining (</w:t>
      </w:r>
      <w:r w:rsidR="00210C6B" w:rsidRPr="00AC6B02">
        <w:rPr>
          <w:color w:val="000000" w:themeColor="text1"/>
          <w:sz w:val="16"/>
          <w:szCs w:val="16"/>
        </w:rPr>
        <w:t>9.7</w:t>
      </w:r>
      <w:r w:rsidRPr="00AC6B02">
        <w:rPr>
          <w:color w:val="000000" w:themeColor="text1"/>
          <w:sz w:val="16"/>
          <w:szCs w:val="16"/>
        </w:rPr>
        <w:t>%)</w:t>
      </w:r>
    </w:p>
    <w:p w14:paraId="662EE3F0" w14:textId="1BC8F0EA" w:rsidR="00233755" w:rsidRPr="00AC6B0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AC6B02">
        <w:rPr>
          <w:color w:val="000000" w:themeColor="text1"/>
          <w:sz w:val="16"/>
          <w:szCs w:val="16"/>
        </w:rPr>
        <w:t>construction (9</w:t>
      </w:r>
      <w:r w:rsidR="00210C6B" w:rsidRPr="00AC6B02">
        <w:rPr>
          <w:color w:val="000000" w:themeColor="text1"/>
          <w:sz w:val="16"/>
          <w:szCs w:val="16"/>
        </w:rPr>
        <w:t>.3</w:t>
      </w:r>
      <w:r w:rsidRPr="00AC6B02">
        <w:rPr>
          <w:color w:val="000000" w:themeColor="text1"/>
          <w:sz w:val="16"/>
          <w:szCs w:val="16"/>
        </w:rPr>
        <w:t>%)</w:t>
      </w:r>
    </w:p>
    <w:p w14:paraId="2FEB6D6B" w14:textId="50182198" w:rsidR="00233755" w:rsidRPr="00AC6B0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AC6B02">
        <w:rPr>
          <w:color w:val="000000" w:themeColor="text1"/>
          <w:sz w:val="16"/>
          <w:szCs w:val="16"/>
        </w:rPr>
        <w:t>manufacturing (5</w:t>
      </w:r>
      <w:r w:rsidR="00210C6B" w:rsidRPr="00AC6B02">
        <w:rPr>
          <w:color w:val="000000" w:themeColor="text1"/>
          <w:sz w:val="16"/>
          <w:szCs w:val="16"/>
        </w:rPr>
        <w:t>.0</w:t>
      </w:r>
      <w:r w:rsidRPr="00AC6B02">
        <w:rPr>
          <w:color w:val="000000" w:themeColor="text1"/>
          <w:sz w:val="16"/>
          <w:szCs w:val="16"/>
        </w:rPr>
        <w:t>%).</w:t>
      </w:r>
    </w:p>
    <w:p w14:paraId="75D165AE"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36ACCF"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6" w:name="_Gender_indicators_1"/>
      <w:bookmarkEnd w:id="46"/>
      <w:r w:rsidRPr="008F7AA0">
        <w:rPr>
          <w:bCs/>
          <w:color w:val="004C3D"/>
          <w:sz w:val="24"/>
          <w:szCs w:val="24"/>
        </w:rPr>
        <w:lastRenderedPageBreak/>
        <w:t>Gender indicators</w:t>
      </w:r>
    </w:p>
    <w:p w14:paraId="359070EB"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148BA9F" w14:textId="66EEB6C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Average weekly hours worked per </w:t>
      </w:r>
      <w:r w:rsidR="00442A1D" w:rsidRPr="009446B5">
        <w:rPr>
          <w:i w:val="0"/>
          <w:iCs w:val="0"/>
          <w:color w:val="00997A"/>
          <w:sz w:val="20"/>
          <w:szCs w:val="20"/>
        </w:rPr>
        <w:t>per</w:t>
      </w:r>
      <w:r w:rsidR="00442A1D">
        <w:rPr>
          <w:i w:val="0"/>
          <w:iCs w:val="0"/>
          <w:color w:val="00997A"/>
          <w:sz w:val="20"/>
          <w:szCs w:val="20"/>
        </w:rPr>
        <w:t xml:space="preserve">son </w:t>
      </w:r>
      <w:r w:rsidRPr="009446B5">
        <w:rPr>
          <w:i w:val="0"/>
          <w:iCs w:val="0"/>
          <w:color w:val="00997A"/>
          <w:sz w:val="20"/>
          <w:szCs w:val="20"/>
        </w:rPr>
        <w:t>(15 years and over)</w:t>
      </w:r>
    </w:p>
    <w:p w14:paraId="5E2C11AB" w14:textId="733EFE1B" w:rsidR="00233755" w:rsidRPr="007B1AE5" w:rsidRDefault="005A1F2E" w:rsidP="00233755">
      <w:r>
        <w:rPr>
          <w:noProof/>
        </w:rPr>
        <w:drawing>
          <wp:inline distT="0" distB="0" distL="0" distR="0" wp14:anchorId="1BCE5DF5" wp14:editId="75DAF56A">
            <wp:extent cx="3400746" cy="2092554"/>
            <wp:effectExtent l="0" t="0" r="0" b="3175"/>
            <wp:docPr id="20934384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10345" cy="2098461"/>
                    </a:xfrm>
                    <a:prstGeom prst="rect">
                      <a:avLst/>
                    </a:prstGeom>
                    <a:noFill/>
                    <a:ln>
                      <a:noFill/>
                    </a:ln>
                  </pic:spPr>
                </pic:pic>
              </a:graphicData>
            </a:graphic>
          </wp:inline>
        </w:drawing>
      </w:r>
    </w:p>
    <w:p w14:paraId="5BAEB7E5" w14:textId="77777777" w:rsidR="00233755" w:rsidRDefault="00233755" w:rsidP="003A3A20">
      <w:pPr>
        <w:jc w:val="both"/>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8D1AB46" w14:textId="77777777" w:rsidR="00233755" w:rsidRPr="00AF759E" w:rsidRDefault="00233755" w:rsidP="003A3A20">
      <w:pPr>
        <w:jc w:val="both"/>
        <w:rPr>
          <w:sz w:val="10"/>
          <w:szCs w:val="10"/>
        </w:rPr>
      </w:pPr>
      <w:r w:rsidRPr="00AF759E">
        <w:rPr>
          <w:sz w:val="10"/>
          <w:szCs w:val="10"/>
        </w:rPr>
        <w:t>Source: Based on ABS data.</w:t>
      </w:r>
    </w:p>
    <w:p w14:paraId="7EA48986" w14:textId="77777777" w:rsidR="00233755" w:rsidRPr="001D075F"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442A1D">
        <w:rPr>
          <w:sz w:val="16"/>
          <w:szCs w:val="16"/>
        </w:rPr>
        <w:t>Average hours worked by males in Western Australia is higher than it is for females, but the gap has narrowed over the past 30 years owing to an increase in the labour force participation rate for females and a decline in average hours worked by males</w:t>
      </w:r>
      <w:r w:rsidRPr="001D075F">
        <w:rPr>
          <w:sz w:val="16"/>
          <w:szCs w:val="16"/>
        </w:rPr>
        <w:t>.</w:t>
      </w:r>
    </w:p>
    <w:p w14:paraId="093CC581" w14:textId="38DC4B7A" w:rsidR="00233755" w:rsidRPr="00B321CA"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B321CA">
        <w:rPr>
          <w:color w:val="000000" w:themeColor="text1"/>
          <w:sz w:val="16"/>
          <w:szCs w:val="16"/>
        </w:rPr>
        <w:t>In 199</w:t>
      </w:r>
      <w:r w:rsidR="00442A1D" w:rsidRPr="00B321CA">
        <w:rPr>
          <w:color w:val="000000" w:themeColor="text1"/>
          <w:sz w:val="16"/>
          <w:szCs w:val="16"/>
        </w:rPr>
        <w:t>4</w:t>
      </w:r>
      <w:r w:rsidRPr="00B321CA">
        <w:rPr>
          <w:color w:val="000000" w:themeColor="text1"/>
          <w:sz w:val="16"/>
          <w:szCs w:val="16"/>
        </w:rPr>
        <w:noBreakHyphen/>
        <w:t>9</w:t>
      </w:r>
      <w:r w:rsidR="00442A1D" w:rsidRPr="00B321CA">
        <w:rPr>
          <w:color w:val="000000" w:themeColor="text1"/>
          <w:sz w:val="16"/>
          <w:szCs w:val="16"/>
        </w:rPr>
        <w:t>5</w:t>
      </w:r>
      <w:r w:rsidRPr="00B321CA">
        <w:rPr>
          <w:color w:val="000000" w:themeColor="text1"/>
          <w:sz w:val="16"/>
          <w:szCs w:val="16"/>
        </w:rPr>
        <w:t xml:space="preserve">, the average weekly hours worked for each male in Western Australia was </w:t>
      </w:r>
      <w:r w:rsidR="00442A1D" w:rsidRPr="00B321CA">
        <w:rPr>
          <w:color w:val="000000" w:themeColor="text1"/>
          <w:sz w:val="16"/>
          <w:szCs w:val="16"/>
        </w:rPr>
        <w:t>29.2</w:t>
      </w:r>
      <w:r w:rsidRPr="00B321CA">
        <w:rPr>
          <w:color w:val="000000" w:themeColor="text1"/>
          <w:sz w:val="16"/>
          <w:szCs w:val="16"/>
        </w:rPr>
        <w:t xml:space="preserve">, compared to </w:t>
      </w:r>
      <w:r w:rsidR="00442A1D" w:rsidRPr="00B321CA">
        <w:rPr>
          <w:color w:val="000000" w:themeColor="text1"/>
          <w:sz w:val="16"/>
          <w:szCs w:val="16"/>
        </w:rPr>
        <w:t>14.6</w:t>
      </w:r>
      <w:r w:rsidRPr="00B321CA">
        <w:rPr>
          <w:color w:val="000000" w:themeColor="text1"/>
          <w:sz w:val="16"/>
          <w:szCs w:val="16"/>
        </w:rPr>
        <w:t xml:space="preserve"> for each female.</w:t>
      </w:r>
    </w:p>
    <w:p w14:paraId="7B71A806" w14:textId="3E1D6F20" w:rsidR="00233755" w:rsidRPr="00B321CA"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B321CA">
        <w:rPr>
          <w:color w:val="000000" w:themeColor="text1"/>
          <w:sz w:val="16"/>
          <w:szCs w:val="16"/>
        </w:rPr>
        <w:t>In 202</w:t>
      </w:r>
      <w:r w:rsidR="00442A1D" w:rsidRPr="00B321CA">
        <w:rPr>
          <w:color w:val="000000" w:themeColor="text1"/>
          <w:sz w:val="16"/>
          <w:szCs w:val="16"/>
        </w:rPr>
        <w:t>4</w:t>
      </w:r>
      <w:r w:rsidRPr="00B321CA">
        <w:rPr>
          <w:color w:val="000000" w:themeColor="text1"/>
          <w:sz w:val="16"/>
          <w:szCs w:val="16"/>
        </w:rPr>
        <w:noBreakHyphen/>
        <w:t>2</w:t>
      </w:r>
      <w:r w:rsidR="00442A1D" w:rsidRPr="00B321CA">
        <w:rPr>
          <w:color w:val="000000" w:themeColor="text1"/>
          <w:sz w:val="16"/>
          <w:szCs w:val="16"/>
        </w:rPr>
        <w:t>5</w:t>
      </w:r>
      <w:r w:rsidRPr="00B321CA">
        <w:rPr>
          <w:color w:val="000000" w:themeColor="text1"/>
          <w:sz w:val="16"/>
          <w:szCs w:val="16"/>
        </w:rPr>
        <w:t xml:space="preserve">, the average weekly hours worked for each male in Western Australia was </w:t>
      </w:r>
      <w:r w:rsidR="00442A1D" w:rsidRPr="00B321CA">
        <w:rPr>
          <w:color w:val="000000" w:themeColor="text1"/>
          <w:sz w:val="16"/>
          <w:szCs w:val="16"/>
        </w:rPr>
        <w:t>27.2</w:t>
      </w:r>
      <w:r w:rsidRPr="00B321CA">
        <w:rPr>
          <w:color w:val="000000" w:themeColor="text1"/>
          <w:sz w:val="16"/>
          <w:szCs w:val="16"/>
        </w:rPr>
        <w:t xml:space="preserve">, compared to </w:t>
      </w:r>
      <w:r w:rsidR="00442A1D" w:rsidRPr="00B321CA">
        <w:rPr>
          <w:color w:val="000000" w:themeColor="text1"/>
          <w:sz w:val="16"/>
          <w:szCs w:val="16"/>
        </w:rPr>
        <w:t>18.1</w:t>
      </w:r>
      <w:r w:rsidRPr="00B321CA">
        <w:rPr>
          <w:color w:val="000000" w:themeColor="text1"/>
          <w:sz w:val="16"/>
          <w:szCs w:val="16"/>
        </w:rPr>
        <w:t xml:space="preserve"> for each female.</w:t>
      </w:r>
    </w:p>
    <w:p w14:paraId="5247D6EE" w14:textId="6EC0F8B5" w:rsidR="00233755" w:rsidRPr="00B321CA" w:rsidRDefault="00233755" w:rsidP="006058E8">
      <w:pPr>
        <w:pStyle w:val="ListParagraph"/>
        <w:numPr>
          <w:ilvl w:val="1"/>
          <w:numId w:val="9"/>
        </w:numPr>
        <w:spacing w:before="40" w:after="40"/>
        <w:ind w:right="227"/>
        <w:contextualSpacing w:val="0"/>
        <w:jc w:val="both"/>
        <w:rPr>
          <w:color w:val="000000" w:themeColor="text1"/>
          <w:sz w:val="16"/>
          <w:szCs w:val="16"/>
        </w:rPr>
      </w:pPr>
      <w:r w:rsidRPr="00B321CA">
        <w:rPr>
          <w:color w:val="000000" w:themeColor="text1"/>
          <w:sz w:val="16"/>
          <w:szCs w:val="16"/>
        </w:rPr>
        <w:t>The ratio of average hours worked for each female to average hours worked for each male increased from 0.</w:t>
      </w:r>
      <w:r w:rsidR="00442A1D" w:rsidRPr="00B321CA">
        <w:rPr>
          <w:color w:val="000000" w:themeColor="text1"/>
          <w:sz w:val="16"/>
          <w:szCs w:val="16"/>
        </w:rPr>
        <w:t>50</w:t>
      </w:r>
      <w:r w:rsidRPr="00B321CA">
        <w:rPr>
          <w:color w:val="000000" w:themeColor="text1"/>
          <w:sz w:val="16"/>
          <w:szCs w:val="16"/>
        </w:rPr>
        <w:t xml:space="preserve"> in 199</w:t>
      </w:r>
      <w:r w:rsidR="00442A1D" w:rsidRPr="00B321CA">
        <w:rPr>
          <w:color w:val="000000" w:themeColor="text1"/>
          <w:sz w:val="16"/>
          <w:szCs w:val="16"/>
        </w:rPr>
        <w:t>4</w:t>
      </w:r>
      <w:r w:rsidRPr="00B321CA">
        <w:rPr>
          <w:color w:val="000000" w:themeColor="text1"/>
          <w:sz w:val="16"/>
          <w:szCs w:val="16"/>
        </w:rPr>
        <w:noBreakHyphen/>
        <w:t>9</w:t>
      </w:r>
      <w:r w:rsidR="00442A1D" w:rsidRPr="00B321CA">
        <w:rPr>
          <w:color w:val="000000" w:themeColor="text1"/>
          <w:sz w:val="16"/>
          <w:szCs w:val="16"/>
        </w:rPr>
        <w:t>5</w:t>
      </w:r>
      <w:r w:rsidRPr="00B321CA">
        <w:rPr>
          <w:color w:val="000000" w:themeColor="text1"/>
          <w:sz w:val="16"/>
          <w:szCs w:val="16"/>
        </w:rPr>
        <w:t xml:space="preserve"> to 0.67 in 202</w:t>
      </w:r>
      <w:r w:rsidR="00442A1D" w:rsidRPr="00B321CA">
        <w:rPr>
          <w:color w:val="000000" w:themeColor="text1"/>
          <w:sz w:val="16"/>
          <w:szCs w:val="16"/>
        </w:rPr>
        <w:t>4</w:t>
      </w:r>
      <w:r w:rsidRPr="00B321CA">
        <w:rPr>
          <w:color w:val="000000" w:themeColor="text1"/>
          <w:sz w:val="16"/>
          <w:szCs w:val="16"/>
        </w:rPr>
        <w:noBreakHyphen/>
        <w:t>2</w:t>
      </w:r>
      <w:r w:rsidR="00442A1D" w:rsidRPr="00B321CA">
        <w:rPr>
          <w:color w:val="000000" w:themeColor="text1"/>
          <w:sz w:val="16"/>
          <w:szCs w:val="16"/>
        </w:rPr>
        <w:t>5</w:t>
      </w:r>
      <w:r w:rsidRPr="00B321CA">
        <w:rPr>
          <w:color w:val="000000" w:themeColor="text1"/>
          <w:sz w:val="16"/>
          <w:szCs w:val="16"/>
        </w:rPr>
        <w:t>.</w:t>
      </w:r>
    </w:p>
    <w:p w14:paraId="290D3FE7" w14:textId="77777777" w:rsidR="00233755" w:rsidRPr="00704452" w:rsidRDefault="00233755" w:rsidP="00233755">
      <w:pPr>
        <w:spacing w:before="40" w:after="40"/>
        <w:ind w:right="227"/>
        <w:rPr>
          <w:sz w:val="16"/>
          <w:szCs w:val="16"/>
        </w:rPr>
        <w:sectPr w:rsidR="00233755" w:rsidRPr="00704452" w:rsidSect="00233755">
          <w:type w:val="continuous"/>
          <w:pgSz w:w="11907" w:h="16840" w:code="9"/>
          <w:pgMar w:top="1701" w:right="425" w:bottom="567" w:left="567" w:header="709" w:footer="709" w:gutter="0"/>
          <w:cols w:num="2" w:space="113"/>
          <w:docGrid w:linePitch="360"/>
        </w:sectPr>
      </w:pPr>
    </w:p>
    <w:p w14:paraId="7C5959C8" w14:textId="63BF709E"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Share of industry </w:t>
      </w:r>
      <w:r w:rsidRPr="00B321CA">
        <w:rPr>
          <w:i w:val="0"/>
          <w:iCs w:val="0"/>
          <w:color w:val="00997A"/>
          <w:sz w:val="20"/>
          <w:szCs w:val="20"/>
        </w:rPr>
        <w:t>employment</w:t>
      </w:r>
      <w:r w:rsidRPr="009446B5">
        <w:rPr>
          <w:i w:val="0"/>
          <w:iCs w:val="0"/>
          <w:color w:val="00997A"/>
          <w:sz w:val="20"/>
          <w:szCs w:val="20"/>
        </w:rPr>
        <w:t xml:space="preserve"> by gender: </w:t>
      </w:r>
      <w:r w:rsidR="006024A2" w:rsidRPr="00B321CA">
        <w:rPr>
          <w:i w:val="0"/>
          <w:iCs w:val="0"/>
          <w:color w:val="00997A"/>
          <w:sz w:val="20"/>
          <w:szCs w:val="20"/>
        </w:rPr>
        <w:t>2024-25</w:t>
      </w:r>
    </w:p>
    <w:p w14:paraId="0AD637D5" w14:textId="14EBF47A" w:rsidR="00233755" w:rsidRPr="007B1AE5" w:rsidRDefault="005A1F2E" w:rsidP="00233755">
      <w:r>
        <w:rPr>
          <w:noProof/>
        </w:rPr>
        <w:drawing>
          <wp:inline distT="0" distB="0" distL="0" distR="0" wp14:anchorId="36240409" wp14:editId="4E83A833">
            <wp:extent cx="3441842" cy="2113248"/>
            <wp:effectExtent l="0" t="0" r="6350" b="1905"/>
            <wp:docPr id="6727427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49365" cy="2117867"/>
                    </a:xfrm>
                    <a:prstGeom prst="rect">
                      <a:avLst/>
                    </a:prstGeom>
                    <a:noFill/>
                    <a:ln>
                      <a:noFill/>
                    </a:ln>
                  </pic:spPr>
                </pic:pic>
              </a:graphicData>
            </a:graphic>
          </wp:inline>
        </w:drawing>
      </w:r>
    </w:p>
    <w:p w14:paraId="5728A8B0" w14:textId="77777777" w:rsidR="00233755"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4DDC5EA0" w14:textId="77777777" w:rsidR="00233755" w:rsidRDefault="00233755" w:rsidP="003A3A20">
      <w:pPr>
        <w:jc w:val="both"/>
        <w:rPr>
          <w:sz w:val="10"/>
          <w:szCs w:val="10"/>
        </w:rPr>
      </w:pPr>
      <w:r w:rsidRPr="00AF759E">
        <w:rPr>
          <w:sz w:val="10"/>
          <w:szCs w:val="10"/>
        </w:rPr>
        <w:t>Source: Based on ABS data.</w:t>
      </w:r>
    </w:p>
    <w:p w14:paraId="1A26EF2D" w14:textId="1B5D8B9C" w:rsidR="00233755" w:rsidRPr="00B321CA"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B321CA">
        <w:rPr>
          <w:color w:val="000000" w:themeColor="text1"/>
          <w:sz w:val="16"/>
          <w:szCs w:val="16"/>
        </w:rPr>
        <w:t>In 202</w:t>
      </w:r>
      <w:r w:rsidR="006024A2" w:rsidRPr="00B321CA">
        <w:rPr>
          <w:color w:val="000000" w:themeColor="text1"/>
          <w:sz w:val="16"/>
          <w:szCs w:val="16"/>
        </w:rPr>
        <w:t>4-25</w:t>
      </w:r>
      <w:r w:rsidRPr="00B321CA">
        <w:rPr>
          <w:color w:val="000000" w:themeColor="text1"/>
          <w:sz w:val="16"/>
          <w:szCs w:val="16"/>
        </w:rPr>
        <w:t>, males accounted for 53% of average employment in Western Australia, while females accounted for 47%. However, there are significant differences in the male and female share of employment across individual industries.</w:t>
      </w:r>
    </w:p>
    <w:p w14:paraId="62B25D06" w14:textId="0D3E7E31" w:rsidR="00233755" w:rsidRPr="00B321CA"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B321CA">
        <w:rPr>
          <w:color w:val="000000" w:themeColor="text1"/>
          <w:sz w:val="16"/>
          <w:szCs w:val="16"/>
        </w:rPr>
        <w:t xml:space="preserve">The industries with the highest share of males in employment in Western Australia in </w:t>
      </w:r>
      <w:r w:rsidR="006024A2" w:rsidRPr="00B321CA">
        <w:rPr>
          <w:color w:val="000000" w:themeColor="text1"/>
          <w:sz w:val="16"/>
          <w:szCs w:val="16"/>
        </w:rPr>
        <w:t>2024-25</w:t>
      </w:r>
      <w:r w:rsidRPr="00B321CA">
        <w:rPr>
          <w:color w:val="000000" w:themeColor="text1"/>
          <w:sz w:val="16"/>
          <w:szCs w:val="16"/>
        </w:rPr>
        <w:t xml:space="preserve"> were construction (8</w:t>
      </w:r>
      <w:r w:rsidR="006024A2" w:rsidRPr="00B321CA">
        <w:rPr>
          <w:color w:val="000000" w:themeColor="text1"/>
          <w:sz w:val="16"/>
          <w:szCs w:val="16"/>
        </w:rPr>
        <w:t>4</w:t>
      </w:r>
      <w:r w:rsidRPr="00B321CA">
        <w:rPr>
          <w:color w:val="000000" w:themeColor="text1"/>
          <w:sz w:val="16"/>
          <w:szCs w:val="16"/>
        </w:rPr>
        <w:t>%), transport, postal and warehousing (7</w:t>
      </w:r>
      <w:r w:rsidR="006024A2" w:rsidRPr="00B321CA">
        <w:rPr>
          <w:color w:val="000000" w:themeColor="text1"/>
          <w:sz w:val="16"/>
          <w:szCs w:val="16"/>
        </w:rPr>
        <w:t>9</w:t>
      </w:r>
      <w:r w:rsidRPr="00B321CA">
        <w:rPr>
          <w:color w:val="000000" w:themeColor="text1"/>
          <w:sz w:val="16"/>
          <w:szCs w:val="16"/>
        </w:rPr>
        <w:t xml:space="preserve">%) and </w:t>
      </w:r>
      <w:r w:rsidR="006024A2" w:rsidRPr="00B321CA">
        <w:rPr>
          <w:color w:val="000000" w:themeColor="text1"/>
          <w:sz w:val="16"/>
          <w:szCs w:val="16"/>
        </w:rPr>
        <w:t>manufacturing</w:t>
      </w:r>
      <w:r w:rsidRPr="00B321CA">
        <w:rPr>
          <w:color w:val="000000" w:themeColor="text1"/>
          <w:sz w:val="16"/>
          <w:szCs w:val="16"/>
        </w:rPr>
        <w:t xml:space="preserve"> (7</w:t>
      </w:r>
      <w:r w:rsidR="006024A2" w:rsidRPr="00B321CA">
        <w:rPr>
          <w:color w:val="000000" w:themeColor="text1"/>
          <w:sz w:val="16"/>
          <w:szCs w:val="16"/>
        </w:rPr>
        <w:t>8</w:t>
      </w:r>
      <w:r w:rsidRPr="00B321CA">
        <w:rPr>
          <w:color w:val="000000" w:themeColor="text1"/>
          <w:sz w:val="16"/>
          <w:szCs w:val="16"/>
        </w:rPr>
        <w:t>%).</w:t>
      </w:r>
    </w:p>
    <w:p w14:paraId="6FA79A8D" w14:textId="6D4F6EC8" w:rsidR="00233755" w:rsidRPr="00B321CA"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B321CA">
        <w:rPr>
          <w:color w:val="000000" w:themeColor="text1"/>
          <w:sz w:val="16"/>
          <w:szCs w:val="16"/>
        </w:rPr>
        <w:t xml:space="preserve">The industries with the highest shares of females in employment in Western Australia in </w:t>
      </w:r>
      <w:r w:rsidR="006024A2" w:rsidRPr="00B321CA">
        <w:rPr>
          <w:color w:val="000000" w:themeColor="text1"/>
          <w:sz w:val="16"/>
          <w:szCs w:val="16"/>
        </w:rPr>
        <w:t>2024-25</w:t>
      </w:r>
      <w:r w:rsidRPr="00B321CA">
        <w:rPr>
          <w:color w:val="000000" w:themeColor="text1"/>
          <w:sz w:val="16"/>
          <w:szCs w:val="16"/>
        </w:rPr>
        <w:t xml:space="preserve"> were health care and social assistance (78%), education and training (7</w:t>
      </w:r>
      <w:r w:rsidR="006024A2" w:rsidRPr="00B321CA">
        <w:rPr>
          <w:color w:val="000000" w:themeColor="text1"/>
          <w:sz w:val="16"/>
          <w:szCs w:val="16"/>
        </w:rPr>
        <w:t>3</w:t>
      </w:r>
      <w:r w:rsidRPr="00B321CA">
        <w:rPr>
          <w:color w:val="000000" w:themeColor="text1"/>
          <w:sz w:val="16"/>
          <w:szCs w:val="16"/>
        </w:rPr>
        <w:t xml:space="preserve">%) and </w:t>
      </w:r>
      <w:r w:rsidR="006024A2" w:rsidRPr="00B321CA">
        <w:rPr>
          <w:color w:val="000000" w:themeColor="text1"/>
          <w:sz w:val="16"/>
          <w:szCs w:val="16"/>
        </w:rPr>
        <w:t>finance and insurance services</w:t>
      </w:r>
      <w:r w:rsidRPr="00B321CA">
        <w:rPr>
          <w:color w:val="000000" w:themeColor="text1"/>
          <w:sz w:val="16"/>
          <w:szCs w:val="16"/>
        </w:rPr>
        <w:t xml:space="preserve"> (6</w:t>
      </w:r>
      <w:r w:rsidR="006024A2" w:rsidRPr="00B321CA">
        <w:rPr>
          <w:color w:val="000000" w:themeColor="text1"/>
          <w:sz w:val="16"/>
          <w:szCs w:val="16"/>
        </w:rPr>
        <w:t>1</w:t>
      </w:r>
      <w:r w:rsidRPr="00B321CA">
        <w:rPr>
          <w:color w:val="000000" w:themeColor="text1"/>
          <w:sz w:val="16"/>
          <w:szCs w:val="16"/>
        </w:rPr>
        <w:t>%).</w:t>
      </w:r>
    </w:p>
    <w:p w14:paraId="509F9D37" w14:textId="77777777" w:rsidR="00233755" w:rsidRPr="00171D37" w:rsidRDefault="00233755" w:rsidP="006058E8">
      <w:pPr>
        <w:pStyle w:val="ListParagraph"/>
        <w:numPr>
          <w:ilvl w:val="0"/>
          <w:numId w:val="9"/>
        </w:numPr>
        <w:spacing w:before="40" w:after="40"/>
        <w:ind w:right="227" w:hanging="357"/>
        <w:contextualSpacing w:val="0"/>
        <w:jc w:val="both"/>
        <w:rPr>
          <w:sz w:val="16"/>
          <w:szCs w:val="16"/>
        </w:rPr>
        <w:sectPr w:rsidR="00233755" w:rsidRPr="00171D37" w:rsidSect="00233755">
          <w:type w:val="continuous"/>
          <w:pgSz w:w="11907" w:h="16840" w:code="9"/>
          <w:pgMar w:top="1701" w:right="425" w:bottom="567" w:left="567" w:header="709" w:footer="709" w:gutter="0"/>
          <w:cols w:num="2" w:space="113"/>
          <w:docGrid w:linePitch="360"/>
        </w:sectPr>
      </w:pPr>
    </w:p>
    <w:p w14:paraId="165F2026"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Average earnings and the gender pay gap</w:t>
      </w:r>
    </w:p>
    <w:p w14:paraId="5A610B20" w14:textId="34368798" w:rsidR="00233755" w:rsidRPr="007B1AE5" w:rsidRDefault="001B6866" w:rsidP="00233755">
      <w:r>
        <w:rPr>
          <w:noProof/>
        </w:rPr>
        <w:drawing>
          <wp:inline distT="0" distB="0" distL="0" distR="0" wp14:anchorId="4C266B36" wp14:editId="0C440C94">
            <wp:extent cx="1710000" cy="2103866"/>
            <wp:effectExtent l="0" t="0" r="5080" b="0"/>
            <wp:docPr id="23931556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346C44E6" wp14:editId="4A3F7EAC">
            <wp:extent cx="1710000" cy="2108969"/>
            <wp:effectExtent l="0" t="0" r="5080" b="5715"/>
            <wp:docPr id="211809153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57F4A2BD" w14:textId="77777777" w:rsidR="00233755" w:rsidRPr="00AC7274" w:rsidRDefault="00233755" w:rsidP="003C6DDF">
      <w:pPr>
        <w:jc w:val="both"/>
        <w:rPr>
          <w:sz w:val="10"/>
          <w:szCs w:val="10"/>
        </w:rPr>
      </w:pPr>
      <w:r>
        <w:rPr>
          <w:sz w:val="10"/>
          <w:szCs w:val="10"/>
        </w:rPr>
        <w:t xml:space="preserve">Note: Original </w:t>
      </w:r>
      <w:r w:rsidRPr="00AC7274">
        <w:rPr>
          <w:sz w:val="10"/>
          <w:szCs w:val="10"/>
        </w:rPr>
        <w:t>series. Data is collected for the middle month of the June and December quarters (May and November). Average weekly ordinary time earnings of full</w:t>
      </w:r>
      <w:r w:rsidRPr="00AC7274">
        <w:rPr>
          <w:sz w:val="10"/>
          <w:szCs w:val="10"/>
        </w:rPr>
        <w:noBreakHyphen/>
        <w:t>time adult employees. The gender pay gap for a given point in time is calculated as the difference in the earnings of males and females, divided by male earnings.</w:t>
      </w:r>
    </w:p>
    <w:p w14:paraId="5F141DE0" w14:textId="77777777" w:rsidR="00233755" w:rsidRPr="00AC7274" w:rsidRDefault="00233755" w:rsidP="003C6DDF">
      <w:pPr>
        <w:jc w:val="both"/>
        <w:rPr>
          <w:sz w:val="10"/>
          <w:szCs w:val="10"/>
        </w:rPr>
      </w:pPr>
      <w:r w:rsidRPr="00AC7274">
        <w:rPr>
          <w:sz w:val="10"/>
          <w:szCs w:val="10"/>
        </w:rPr>
        <w:t>Source: Based on ABS data.</w:t>
      </w:r>
    </w:p>
    <w:p w14:paraId="21CB05D3" w14:textId="0FB383C9" w:rsidR="00233755" w:rsidRPr="00AC727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AC7274">
        <w:rPr>
          <w:sz w:val="16"/>
          <w:szCs w:val="16"/>
        </w:rPr>
        <w:t xml:space="preserve">The gender pay gap can be expressed as the difference </w:t>
      </w:r>
      <w:r w:rsidR="001B6866">
        <w:rPr>
          <w:sz w:val="16"/>
          <w:szCs w:val="16"/>
        </w:rPr>
        <w:t>between</w:t>
      </w:r>
      <w:r w:rsidRPr="00AC7274">
        <w:rPr>
          <w:sz w:val="16"/>
          <w:szCs w:val="16"/>
        </w:rPr>
        <w:t xml:space="preserve"> the earnings of males and females as a proportion of male earnings.</w:t>
      </w:r>
    </w:p>
    <w:p w14:paraId="04AB3544" w14:textId="27FEC07D" w:rsidR="00233755" w:rsidRPr="007B7BA9"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7BA9">
        <w:rPr>
          <w:color w:val="000000" w:themeColor="text1"/>
          <w:sz w:val="16"/>
          <w:szCs w:val="16"/>
        </w:rPr>
        <w:t xml:space="preserve">In the </w:t>
      </w:r>
      <w:r w:rsidR="00C51247" w:rsidRPr="007B7BA9">
        <w:rPr>
          <w:color w:val="000000" w:themeColor="text1"/>
          <w:sz w:val="16"/>
          <w:szCs w:val="16"/>
        </w:rPr>
        <w:t>June</w:t>
      </w:r>
      <w:r w:rsidRPr="007B7BA9">
        <w:rPr>
          <w:color w:val="000000" w:themeColor="text1"/>
          <w:sz w:val="16"/>
          <w:szCs w:val="16"/>
        </w:rPr>
        <w:t xml:space="preserve"> quarter 202</w:t>
      </w:r>
      <w:r w:rsidR="00C51247" w:rsidRPr="007B7BA9">
        <w:rPr>
          <w:color w:val="000000" w:themeColor="text1"/>
          <w:sz w:val="16"/>
          <w:szCs w:val="16"/>
        </w:rPr>
        <w:t>5</w:t>
      </w:r>
      <w:r w:rsidRPr="007B7BA9">
        <w:rPr>
          <w:color w:val="000000" w:themeColor="text1"/>
          <w:sz w:val="16"/>
          <w:szCs w:val="16"/>
        </w:rPr>
        <w:t>:</w:t>
      </w:r>
    </w:p>
    <w:p w14:paraId="37271B5D" w14:textId="5844E676" w:rsidR="00233755" w:rsidRPr="007B7BA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7B7BA9">
        <w:rPr>
          <w:color w:val="000000" w:themeColor="text1"/>
          <w:sz w:val="16"/>
          <w:szCs w:val="16"/>
        </w:rPr>
        <w:t>In Western Australia, the average of weekly ordinary time earnings for full</w:t>
      </w:r>
      <w:r w:rsidRPr="007B7BA9">
        <w:rPr>
          <w:color w:val="000000" w:themeColor="text1"/>
          <w:sz w:val="16"/>
          <w:szCs w:val="16"/>
        </w:rPr>
        <w:noBreakHyphen/>
        <w:t>time adult males was $2,3</w:t>
      </w:r>
      <w:r w:rsidR="00C51247" w:rsidRPr="007B7BA9">
        <w:rPr>
          <w:color w:val="000000" w:themeColor="text1"/>
          <w:sz w:val="16"/>
          <w:szCs w:val="16"/>
        </w:rPr>
        <w:t>27</w:t>
      </w:r>
      <w:r w:rsidRPr="007B7BA9">
        <w:rPr>
          <w:color w:val="000000" w:themeColor="text1"/>
          <w:sz w:val="16"/>
          <w:szCs w:val="16"/>
        </w:rPr>
        <w:t>, while for females it was $1,8</w:t>
      </w:r>
      <w:r w:rsidR="00C51247" w:rsidRPr="007B7BA9">
        <w:rPr>
          <w:color w:val="000000" w:themeColor="text1"/>
          <w:sz w:val="16"/>
          <w:szCs w:val="16"/>
        </w:rPr>
        <w:t>7</w:t>
      </w:r>
      <w:r w:rsidRPr="007B7BA9">
        <w:rPr>
          <w:color w:val="000000" w:themeColor="text1"/>
          <w:sz w:val="16"/>
          <w:szCs w:val="16"/>
        </w:rPr>
        <w:t xml:space="preserve">0, resulting in a gender pay gap of </w:t>
      </w:r>
      <w:r w:rsidR="00C51247" w:rsidRPr="007B7BA9">
        <w:rPr>
          <w:color w:val="000000" w:themeColor="text1"/>
          <w:sz w:val="16"/>
          <w:szCs w:val="16"/>
        </w:rPr>
        <w:t>19.6</w:t>
      </w:r>
      <w:r w:rsidRPr="007B7BA9">
        <w:rPr>
          <w:color w:val="000000" w:themeColor="text1"/>
          <w:sz w:val="16"/>
          <w:szCs w:val="16"/>
        </w:rPr>
        <w:t>%.</w:t>
      </w:r>
    </w:p>
    <w:p w14:paraId="72519852" w14:textId="0490CC34" w:rsidR="00233755" w:rsidRPr="007B7BA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7B7BA9">
        <w:rPr>
          <w:color w:val="000000" w:themeColor="text1"/>
          <w:sz w:val="16"/>
          <w:szCs w:val="16"/>
        </w:rPr>
        <w:t>In Australia, the average of weekly ordinary time earnings for full</w:t>
      </w:r>
      <w:r w:rsidRPr="007B7BA9">
        <w:rPr>
          <w:color w:val="000000" w:themeColor="text1"/>
          <w:sz w:val="16"/>
          <w:szCs w:val="16"/>
        </w:rPr>
        <w:noBreakHyphen/>
        <w:t>time adult males was $2,</w:t>
      </w:r>
      <w:r w:rsidR="00C51247" w:rsidRPr="007B7BA9">
        <w:rPr>
          <w:color w:val="000000" w:themeColor="text1"/>
          <w:sz w:val="16"/>
          <w:szCs w:val="16"/>
        </w:rPr>
        <w:t>106</w:t>
      </w:r>
      <w:r w:rsidRPr="007B7BA9">
        <w:rPr>
          <w:color w:val="000000" w:themeColor="text1"/>
          <w:sz w:val="16"/>
          <w:szCs w:val="16"/>
        </w:rPr>
        <w:t>, while for females it was $1,8</w:t>
      </w:r>
      <w:r w:rsidR="00C51247" w:rsidRPr="007B7BA9">
        <w:rPr>
          <w:color w:val="000000" w:themeColor="text1"/>
          <w:sz w:val="16"/>
          <w:szCs w:val="16"/>
        </w:rPr>
        <w:t>64</w:t>
      </w:r>
      <w:r w:rsidRPr="007B7BA9">
        <w:rPr>
          <w:color w:val="000000" w:themeColor="text1"/>
          <w:sz w:val="16"/>
          <w:szCs w:val="16"/>
        </w:rPr>
        <w:t>, resulting in a gender pay gap of 11.</w:t>
      </w:r>
      <w:r w:rsidR="00C51247" w:rsidRPr="007B7BA9">
        <w:rPr>
          <w:color w:val="000000" w:themeColor="text1"/>
          <w:sz w:val="16"/>
          <w:szCs w:val="16"/>
        </w:rPr>
        <w:t>5</w:t>
      </w:r>
      <w:r w:rsidRPr="007B7BA9">
        <w:rPr>
          <w:color w:val="000000" w:themeColor="text1"/>
          <w:sz w:val="16"/>
          <w:szCs w:val="16"/>
        </w:rPr>
        <w:t>%.</w:t>
      </w:r>
    </w:p>
    <w:p w14:paraId="3F4D8451" w14:textId="2D368DDD" w:rsidR="00233755" w:rsidRPr="00AC7274" w:rsidRDefault="00233755" w:rsidP="006058E8">
      <w:pPr>
        <w:pStyle w:val="ListParagraph"/>
        <w:numPr>
          <w:ilvl w:val="0"/>
          <w:numId w:val="9"/>
        </w:numPr>
        <w:spacing w:before="40" w:after="40"/>
        <w:ind w:right="227" w:hanging="357"/>
        <w:contextualSpacing w:val="0"/>
        <w:jc w:val="both"/>
        <w:rPr>
          <w:sz w:val="16"/>
          <w:szCs w:val="16"/>
        </w:rPr>
      </w:pPr>
      <w:r w:rsidRPr="00AC7274">
        <w:rPr>
          <w:sz w:val="16"/>
          <w:szCs w:val="16"/>
        </w:rPr>
        <w:t xml:space="preserve">Although average earnings for females are higher in Western Australia than they are for Australia as a whole, the gender pay gap in Western Australia is higher than the national average. The </w:t>
      </w:r>
      <w:r w:rsidR="0026057C">
        <w:rPr>
          <w:sz w:val="16"/>
          <w:szCs w:val="16"/>
        </w:rPr>
        <w:t xml:space="preserve">mining industry’s </w:t>
      </w:r>
      <w:r w:rsidRPr="00AC7274">
        <w:rPr>
          <w:sz w:val="16"/>
          <w:szCs w:val="16"/>
        </w:rPr>
        <w:t>relatively high share of Western Australia’s total employment, the high share of males in mining industry employment, and the relatively high earnings for mining industry employees are contributing factors to Western Australia’s higher gender pay gap.</w:t>
      </w:r>
    </w:p>
    <w:p w14:paraId="1BD9DB17" w14:textId="77777777" w:rsidR="00233755" w:rsidRPr="00AC7274" w:rsidRDefault="00233755" w:rsidP="006058E8">
      <w:pPr>
        <w:pStyle w:val="ListParagraph"/>
        <w:numPr>
          <w:ilvl w:val="0"/>
          <w:numId w:val="9"/>
        </w:numPr>
        <w:spacing w:before="40" w:after="40"/>
        <w:ind w:right="227" w:hanging="357"/>
        <w:contextualSpacing w:val="0"/>
        <w:jc w:val="both"/>
        <w:rPr>
          <w:sz w:val="16"/>
          <w:szCs w:val="16"/>
        </w:rPr>
      </w:pPr>
      <w:r w:rsidRPr="00AC7274">
        <w:rPr>
          <w:sz w:val="16"/>
          <w:szCs w:val="16"/>
        </w:rPr>
        <w:t>The gender pay gap in Western Australia has trended down since reaching a peak of 28.2% in the June quarter 2011, while the gender pay gap in Australia has trended down since reaching a peak of 18.6% in the December quarter 2014.</w:t>
      </w:r>
    </w:p>
    <w:p w14:paraId="0FB6B5A9" w14:textId="77777777" w:rsidR="00233755" w:rsidRPr="007B1AE5" w:rsidRDefault="00233755" w:rsidP="00233755">
      <w:pPr>
        <w:spacing w:before="40" w:after="40"/>
        <w:ind w:right="227"/>
        <w:jc w:val="both"/>
        <w:sectPr w:rsidR="00233755" w:rsidRPr="007B1AE5" w:rsidSect="00233755">
          <w:type w:val="continuous"/>
          <w:pgSz w:w="11907" w:h="16840" w:code="9"/>
          <w:pgMar w:top="1701" w:right="425" w:bottom="567" w:left="567" w:header="709" w:footer="709" w:gutter="0"/>
          <w:cols w:num="2" w:space="113"/>
          <w:docGrid w:linePitch="360"/>
        </w:sectPr>
      </w:pPr>
    </w:p>
    <w:p w14:paraId="6F63BFA0" w14:textId="1180D858"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7" w:name="_Environment_1"/>
      <w:bookmarkStart w:id="48" w:name="_Aboriginal_Indicators"/>
      <w:bookmarkEnd w:id="47"/>
      <w:bookmarkEnd w:id="48"/>
      <w:r w:rsidRPr="008F7AA0">
        <w:rPr>
          <w:bCs/>
          <w:color w:val="004C3D"/>
          <w:sz w:val="24"/>
          <w:szCs w:val="24"/>
        </w:rPr>
        <w:lastRenderedPageBreak/>
        <w:t xml:space="preserve">Aboriginal </w:t>
      </w:r>
      <w:r w:rsidR="00AF1785">
        <w:rPr>
          <w:bCs/>
          <w:color w:val="004C3D"/>
          <w:sz w:val="24"/>
          <w:szCs w:val="24"/>
        </w:rPr>
        <w:t>i</w:t>
      </w:r>
      <w:r w:rsidRPr="008F7AA0">
        <w:rPr>
          <w:bCs/>
          <w:color w:val="004C3D"/>
          <w:sz w:val="24"/>
          <w:szCs w:val="24"/>
        </w:rPr>
        <w:t>ndicators</w:t>
      </w:r>
    </w:p>
    <w:p w14:paraId="60BB55E8"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DDB9DFE" w14:textId="3CF7CC9E"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Educational attainment and employment</w:t>
      </w:r>
    </w:p>
    <w:p w14:paraId="3D48E4A7" w14:textId="79D1E8FB" w:rsidR="00233755" w:rsidRPr="007B1AE5" w:rsidRDefault="004A7389" w:rsidP="00233755">
      <w:r>
        <w:rPr>
          <w:noProof/>
        </w:rPr>
        <w:drawing>
          <wp:inline distT="0" distB="0" distL="0" distR="0" wp14:anchorId="35A127E9" wp14:editId="6BD3978E">
            <wp:extent cx="1710000" cy="2103866"/>
            <wp:effectExtent l="0" t="0" r="5080" b="0"/>
            <wp:docPr id="11950590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5C6AC1B" wp14:editId="197837C9">
            <wp:extent cx="1710000" cy="2103866"/>
            <wp:effectExtent l="0" t="0" r="5080" b="0"/>
            <wp:docPr id="9489244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3078AA2B" w14:textId="630A632F" w:rsidR="00233755" w:rsidRPr="004F6ED9" w:rsidRDefault="000973DF" w:rsidP="000973DF">
      <w:pPr>
        <w:jc w:val="both"/>
        <w:rPr>
          <w:color w:val="000000" w:themeColor="text1"/>
          <w:sz w:val="10"/>
          <w:szCs w:val="10"/>
        </w:rPr>
      </w:pPr>
      <w:r w:rsidRPr="004F6ED9">
        <w:rPr>
          <w:color w:val="000000" w:themeColor="text1"/>
          <w:sz w:val="10"/>
          <w:szCs w:val="10"/>
        </w:rPr>
        <w:t>(a) S</w:t>
      </w:r>
      <w:r w:rsidR="00233755" w:rsidRPr="004F6ED9">
        <w:rPr>
          <w:color w:val="000000" w:themeColor="text1"/>
          <w:sz w:val="10"/>
          <w:szCs w:val="10"/>
        </w:rPr>
        <w:t>hare of people aged 20-24 who had completed year 12 or equivalent or a non</w:t>
      </w:r>
      <w:r w:rsidR="00233755" w:rsidRPr="004F6ED9">
        <w:rPr>
          <w:color w:val="000000" w:themeColor="text1"/>
          <w:sz w:val="10"/>
          <w:szCs w:val="10"/>
        </w:rPr>
        <w:noBreakHyphen/>
        <w:t xml:space="preserve">school qualification at Certificate III or above. </w:t>
      </w:r>
      <w:r w:rsidRPr="004F6ED9">
        <w:rPr>
          <w:color w:val="000000" w:themeColor="text1"/>
          <w:sz w:val="10"/>
          <w:szCs w:val="10"/>
        </w:rPr>
        <w:t>(b) S</w:t>
      </w:r>
      <w:r w:rsidR="00233755" w:rsidRPr="004F6ED9">
        <w:rPr>
          <w:color w:val="000000" w:themeColor="text1"/>
          <w:sz w:val="10"/>
          <w:szCs w:val="10"/>
        </w:rPr>
        <w:t>hare of people aged 25-64 years who are employed.</w:t>
      </w:r>
    </w:p>
    <w:p w14:paraId="202502BF" w14:textId="77777777" w:rsidR="00233755" w:rsidRPr="00B60070" w:rsidRDefault="00233755" w:rsidP="00233755">
      <w:pPr>
        <w:jc w:val="both"/>
        <w:rPr>
          <w:sz w:val="10"/>
          <w:szCs w:val="10"/>
        </w:rPr>
      </w:pPr>
      <w:r w:rsidRPr="00B60070">
        <w:rPr>
          <w:sz w:val="10"/>
          <w:szCs w:val="10"/>
        </w:rPr>
        <w:t>Source: Based on ABS Census data.</w:t>
      </w:r>
    </w:p>
    <w:p w14:paraId="46E72C08"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7B1AE5">
        <w:br w:type="column"/>
      </w:r>
      <w:r w:rsidRPr="00B60070">
        <w:rPr>
          <w:sz w:val="16"/>
          <w:szCs w:val="16"/>
        </w:rPr>
        <w:t>Between 2001 and 2021, the percentage of people aged 20-24 years in Western Australia who had completed year 12 or equivalent or a non-school qualification at Certificate III or above who identified as:</w:t>
      </w:r>
    </w:p>
    <w:p w14:paraId="2D91162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Aboriginal or Torres Strait Islander almost doubled, increasing from 32.2% in 2001 to 61.1% in 2021.</w:t>
      </w:r>
    </w:p>
    <w:p w14:paraId="320BE1E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Non-indigenous increased from 75.5% to 90.4%.</w:t>
      </w:r>
    </w:p>
    <w:p w14:paraId="0CE67845"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rPr>
          <w:sz w:val="16"/>
          <w:szCs w:val="16"/>
        </w:rPr>
        <w:t>The share of people aged 25–64 years in Western Australia who identified as Aboriginal or Torres Strait Islander and were employed increased from 36.8% in 1991 to 49.8% in 2021. However, this was lower than the peak for this figure of 50.4% recorded in 2006.</w:t>
      </w:r>
    </w:p>
    <w:p w14:paraId="00A0B3A1" w14:textId="77777777" w:rsidR="00233755" w:rsidRPr="00B60070" w:rsidRDefault="00233755" w:rsidP="006058E8">
      <w:pPr>
        <w:pStyle w:val="ListParagraph"/>
        <w:numPr>
          <w:ilvl w:val="0"/>
          <w:numId w:val="9"/>
        </w:numPr>
        <w:spacing w:before="40" w:after="40"/>
        <w:ind w:left="284" w:right="227" w:hanging="284"/>
        <w:contextualSpacing w:val="0"/>
        <w:jc w:val="both"/>
        <w:rPr>
          <w:sz w:val="16"/>
          <w:szCs w:val="16"/>
        </w:rPr>
      </w:pPr>
      <w:r w:rsidRPr="00B60070">
        <w:rPr>
          <w:sz w:val="16"/>
          <w:szCs w:val="16"/>
        </w:rPr>
        <w:t>Over the same period, the percentage of people aged 25-64 in Western Australia who identified as non-indigenous and were employed increased from 68.0% to 80.4%.</w:t>
      </w:r>
    </w:p>
    <w:p w14:paraId="3017E2AF" w14:textId="77777777" w:rsidR="00233755" w:rsidRPr="001D075F" w:rsidRDefault="00233755" w:rsidP="00233755">
      <w:pPr>
        <w:spacing w:before="40" w:after="40"/>
        <w:ind w:right="227"/>
        <w:jc w:val="both"/>
        <w:rPr>
          <w:color w:val="FF0000"/>
          <w:sz w:val="16"/>
          <w:szCs w:val="16"/>
        </w:rPr>
        <w:sectPr w:rsidR="00233755" w:rsidRPr="001D075F" w:rsidSect="00233755">
          <w:type w:val="continuous"/>
          <w:pgSz w:w="11907" w:h="16840" w:code="9"/>
          <w:pgMar w:top="1701" w:right="425" w:bottom="567" w:left="567" w:header="709" w:footer="709" w:gutter="0"/>
          <w:cols w:num="2" w:space="113"/>
          <w:docGrid w:linePitch="360"/>
        </w:sectPr>
      </w:pPr>
    </w:p>
    <w:p w14:paraId="1F601A16"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share of total employment: 2021 Census</w:t>
      </w:r>
    </w:p>
    <w:p w14:paraId="44D57A0C" w14:textId="182F1A79" w:rsidR="00233755" w:rsidRPr="007B1AE5" w:rsidRDefault="00143E4F" w:rsidP="00233755">
      <w:r>
        <w:rPr>
          <w:noProof/>
        </w:rPr>
        <w:drawing>
          <wp:inline distT="0" distB="0" distL="0" distR="0" wp14:anchorId="7C1C4DAA" wp14:editId="42DA00E4">
            <wp:extent cx="3419475" cy="2104078"/>
            <wp:effectExtent l="0" t="0" r="0" b="0"/>
            <wp:docPr id="9539391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28381" cy="2109558"/>
                    </a:xfrm>
                    <a:prstGeom prst="rect">
                      <a:avLst/>
                    </a:prstGeom>
                    <a:noFill/>
                    <a:ln>
                      <a:noFill/>
                    </a:ln>
                  </pic:spPr>
                </pic:pic>
              </a:graphicData>
            </a:graphic>
          </wp:inline>
        </w:drawing>
      </w:r>
    </w:p>
    <w:p w14:paraId="4CB7FB75" w14:textId="77777777" w:rsidR="00233755" w:rsidRPr="00B60070" w:rsidRDefault="00233755" w:rsidP="003A3A20">
      <w:pPr>
        <w:jc w:val="both"/>
        <w:rPr>
          <w:sz w:val="10"/>
          <w:szCs w:val="10"/>
        </w:rPr>
      </w:pPr>
      <w:r w:rsidRPr="00B60070">
        <w:rPr>
          <w:sz w:val="10"/>
        </w:rPr>
        <w:t>Note:</w:t>
      </w:r>
      <w:r w:rsidRPr="00B60070">
        <w:rPr>
          <w:sz w:val="10"/>
          <w:szCs w:val="10"/>
        </w:rPr>
        <w:t xml:space="preserve"> Calculation of shares excludes categories 'inadequately described', 'not stated' and 'not applicable'.</w:t>
      </w:r>
    </w:p>
    <w:p w14:paraId="4936989C" w14:textId="77777777" w:rsidR="00233755" w:rsidRPr="00B60070" w:rsidRDefault="00233755" w:rsidP="003A3A20">
      <w:pPr>
        <w:jc w:val="both"/>
        <w:rPr>
          <w:sz w:val="10"/>
          <w:szCs w:val="10"/>
        </w:rPr>
      </w:pPr>
      <w:r w:rsidRPr="00B60070">
        <w:rPr>
          <w:sz w:val="10"/>
          <w:szCs w:val="10"/>
        </w:rPr>
        <w:t>Source: Based on ABS Census data.</w:t>
      </w:r>
    </w:p>
    <w:p w14:paraId="4E898218"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7B1AE5">
        <w:br w:type="column"/>
      </w:r>
      <w:r w:rsidRPr="00B60070">
        <w:rPr>
          <w:sz w:val="16"/>
          <w:szCs w:val="16"/>
        </w:rPr>
        <w:t>In 2021, the mining industry accounted for 16.7% of employment of people in Western Australia who identified as Aboriginal or Torres Strait Islander, followed by health care and social assistance (13.3%) and education and training (10.6%).</w:t>
      </w:r>
    </w:p>
    <w:p w14:paraId="0C50C25E" w14:textId="77777777" w:rsidR="00233755" w:rsidRPr="00B60070" w:rsidRDefault="00233755" w:rsidP="006058E8">
      <w:pPr>
        <w:pStyle w:val="ListParagraph"/>
        <w:numPr>
          <w:ilvl w:val="0"/>
          <w:numId w:val="9"/>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and Torres Strait Islander were larger than the share of employment for non</w:t>
      </w:r>
      <w:r w:rsidRPr="00B60070">
        <w:rPr>
          <w:sz w:val="16"/>
          <w:szCs w:val="16"/>
        </w:rPr>
        <w:noBreakHyphen/>
        <w:t>indigenous people in Western Australia included:</w:t>
      </w:r>
    </w:p>
    <w:p w14:paraId="113D35FE"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mining (16.7% compared to 7.7%)</w:t>
      </w:r>
    </w:p>
    <w:p w14:paraId="744CFA55"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public administration and safety (9.4% compared to 6.2%)</w:t>
      </w:r>
    </w:p>
    <w:p w14:paraId="482C7D66"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education and training (10.6% compared to 9.2%).</w:t>
      </w:r>
    </w:p>
    <w:p w14:paraId="6DD388E5" w14:textId="77777777" w:rsidR="00233755" w:rsidRPr="00B60070" w:rsidRDefault="00233755" w:rsidP="006058E8">
      <w:pPr>
        <w:pStyle w:val="ListParagraph"/>
        <w:numPr>
          <w:ilvl w:val="0"/>
          <w:numId w:val="9"/>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or Torres Strait Islander were smaller than the share of employment for non</w:t>
      </w:r>
      <w:r w:rsidRPr="00B60070">
        <w:rPr>
          <w:sz w:val="16"/>
          <w:szCs w:val="16"/>
        </w:rPr>
        <w:noBreakHyphen/>
        <w:t>indigenous people in Western Australia included:</w:t>
      </w:r>
    </w:p>
    <w:p w14:paraId="6737A70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professional, scientific and technical services (3.5% compared to 7.3%)</w:t>
      </w:r>
    </w:p>
    <w:p w14:paraId="5D0FE932"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manufacturing (3.4% compared to 5.6%)</w:t>
      </w:r>
    </w:p>
    <w:p w14:paraId="467216B4"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financial and insurance services (0.8% compared to 2.3%).</w:t>
      </w:r>
    </w:p>
    <w:p w14:paraId="21DDD4AE" w14:textId="77777777" w:rsidR="00233755" w:rsidRPr="00D75ACA" w:rsidRDefault="00233755" w:rsidP="006058E8">
      <w:pPr>
        <w:pStyle w:val="ListParagraph"/>
        <w:numPr>
          <w:ilvl w:val="0"/>
          <w:numId w:val="9"/>
        </w:numPr>
        <w:spacing w:before="40" w:after="40"/>
        <w:ind w:right="227"/>
        <w:jc w:val="both"/>
        <w:rPr>
          <w:color w:val="FF0000"/>
          <w:sz w:val="16"/>
          <w:szCs w:val="16"/>
        </w:rPr>
        <w:sectPr w:rsidR="00233755" w:rsidRPr="00D75ACA" w:rsidSect="00233755">
          <w:type w:val="continuous"/>
          <w:pgSz w:w="11907" w:h="16840" w:code="9"/>
          <w:pgMar w:top="1701" w:right="425" w:bottom="567" w:left="567" w:header="709" w:footer="709" w:gutter="0"/>
          <w:cols w:num="2" w:space="113"/>
          <w:docGrid w:linePitch="360"/>
        </w:sectPr>
      </w:pPr>
    </w:p>
    <w:p w14:paraId="5634D028" w14:textId="547D97B5"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 xml:space="preserve">Distribution of total personal income (weekly): 2021 </w:t>
      </w:r>
      <w:r w:rsidR="00ED7BE7" w:rsidRPr="00ED7BE7">
        <w:rPr>
          <w:i w:val="0"/>
          <w:iCs w:val="0"/>
          <w:color w:val="00997A"/>
          <w:sz w:val="20"/>
          <w:szCs w:val="20"/>
        </w:rPr>
        <w:t>C</w:t>
      </w:r>
      <w:r w:rsidRPr="00ED7BE7">
        <w:rPr>
          <w:i w:val="0"/>
          <w:iCs w:val="0"/>
          <w:color w:val="00997A"/>
          <w:sz w:val="20"/>
          <w:szCs w:val="20"/>
        </w:rPr>
        <w:t>ensus</w:t>
      </w:r>
    </w:p>
    <w:p w14:paraId="43226A2B" w14:textId="71F1EABC" w:rsidR="00233755" w:rsidRPr="004A7389" w:rsidRDefault="00143E4F" w:rsidP="00233755">
      <w:r>
        <w:rPr>
          <w:noProof/>
        </w:rPr>
        <w:drawing>
          <wp:inline distT="0" distB="0" distL="0" distR="0" wp14:anchorId="4D5A86A5" wp14:editId="4F4FF723">
            <wp:extent cx="3400746" cy="2092554"/>
            <wp:effectExtent l="0" t="0" r="0" b="3175"/>
            <wp:docPr id="18458848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11829" cy="2099374"/>
                    </a:xfrm>
                    <a:prstGeom prst="rect">
                      <a:avLst/>
                    </a:prstGeom>
                    <a:noFill/>
                    <a:ln>
                      <a:noFill/>
                    </a:ln>
                  </pic:spPr>
                </pic:pic>
              </a:graphicData>
            </a:graphic>
          </wp:inline>
        </w:drawing>
      </w:r>
    </w:p>
    <w:p w14:paraId="1A4FD315" w14:textId="77777777" w:rsidR="00233755" w:rsidRPr="00B60070" w:rsidRDefault="00233755" w:rsidP="003A3A20">
      <w:pPr>
        <w:jc w:val="both"/>
        <w:rPr>
          <w:sz w:val="10"/>
          <w:szCs w:val="10"/>
        </w:rPr>
      </w:pPr>
      <w:r w:rsidRPr="00B60070">
        <w:rPr>
          <w:sz w:val="10"/>
        </w:rPr>
        <w:t>Note: Calculation of shares</w:t>
      </w:r>
      <w:r w:rsidRPr="00B60070">
        <w:rPr>
          <w:sz w:val="10"/>
          <w:szCs w:val="10"/>
        </w:rPr>
        <w:t xml:space="preserve"> excludes categories 'not stated', 'not applicable', ‘negative income’ and ‘nil income’.</w:t>
      </w:r>
    </w:p>
    <w:p w14:paraId="03618FD8" w14:textId="77777777" w:rsidR="00233755" w:rsidRPr="00B60070" w:rsidRDefault="00233755" w:rsidP="003A3A20">
      <w:pPr>
        <w:jc w:val="both"/>
        <w:rPr>
          <w:sz w:val="10"/>
          <w:szCs w:val="10"/>
        </w:rPr>
      </w:pPr>
      <w:r w:rsidRPr="00B60070">
        <w:rPr>
          <w:sz w:val="10"/>
          <w:szCs w:val="10"/>
        </w:rPr>
        <w:t>Source: Based on ABS Census data.</w:t>
      </w:r>
    </w:p>
    <w:p w14:paraId="50D80252"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br w:type="column"/>
      </w:r>
      <w:r w:rsidRPr="00B60070">
        <w:rPr>
          <w:sz w:val="16"/>
          <w:szCs w:val="16"/>
        </w:rPr>
        <w:t>In 2021, people identifying as Aboriginal and Torres Strait Islander in Western Australia were significantly over-represented in lower income brackets and under-represented in higher income brackets relative to non-indigenous Western Australians.</w:t>
      </w:r>
    </w:p>
    <w:p w14:paraId="09DDEE1E"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rPr>
          <w:sz w:val="16"/>
          <w:szCs w:val="16"/>
        </w:rPr>
        <w:t>Among Western Australians identifying as Aboriginal or Torres Strait Islander:</w:t>
      </w:r>
    </w:p>
    <w:p w14:paraId="22049EB6"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67.0% had total personal income of less than $1,000 per week, compared with 50.8% of non-indigenous Western Australians.</w:t>
      </w:r>
    </w:p>
    <w:p w14:paraId="26496D3B"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10.9% had total personal income of $2,000 or more per week, compared to 17.9% of non-indigenous Western Australians.</w:t>
      </w:r>
    </w:p>
    <w:p w14:paraId="69F0445A" w14:textId="77777777" w:rsidR="00233755" w:rsidRPr="00B60070" w:rsidRDefault="00233755" w:rsidP="00233755">
      <w:pPr>
        <w:spacing w:before="40" w:after="40"/>
        <w:ind w:right="227"/>
        <w:jc w:val="both"/>
        <w:rPr>
          <w:sz w:val="16"/>
          <w:szCs w:val="16"/>
        </w:rPr>
        <w:sectPr w:rsidR="00233755" w:rsidRPr="00B60070" w:rsidSect="00233755">
          <w:type w:val="continuous"/>
          <w:pgSz w:w="11907" w:h="16840" w:code="9"/>
          <w:pgMar w:top="1701" w:right="425" w:bottom="567" w:left="567" w:header="709" w:footer="709" w:gutter="0"/>
          <w:cols w:num="2" w:space="113"/>
          <w:docGrid w:linePitch="360"/>
        </w:sectPr>
      </w:pPr>
    </w:p>
    <w:p w14:paraId="417B1B52" w14:textId="77777777" w:rsidR="00233755" w:rsidRPr="001D075F" w:rsidRDefault="00233755" w:rsidP="00233755">
      <w:pPr>
        <w:rPr>
          <w:i/>
          <w:iCs/>
        </w:rPr>
        <w:sectPr w:rsidR="00233755" w:rsidRPr="001D075F" w:rsidSect="00233755">
          <w:type w:val="continuous"/>
          <w:pgSz w:w="11907" w:h="16840" w:code="9"/>
          <w:pgMar w:top="1701" w:right="425" w:bottom="567" w:left="567" w:header="709" w:footer="709" w:gutter="0"/>
          <w:cols w:space="720"/>
          <w:docGrid w:linePitch="360"/>
        </w:sectPr>
      </w:pPr>
    </w:p>
    <w:p w14:paraId="2AD3DE7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9" w:name="_Environment_2"/>
      <w:bookmarkEnd w:id="49"/>
      <w:r w:rsidRPr="008F7AA0">
        <w:rPr>
          <w:bCs/>
          <w:color w:val="004C3D"/>
          <w:sz w:val="24"/>
          <w:szCs w:val="24"/>
        </w:rPr>
        <w:lastRenderedPageBreak/>
        <w:t>Environment</w:t>
      </w:r>
    </w:p>
    <w:p w14:paraId="1D0A9EF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B80A5B2" w14:textId="77777777"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Electricity generation by fuel type</w:t>
      </w:r>
    </w:p>
    <w:p w14:paraId="51617A33" w14:textId="17783D87" w:rsidR="00233755" w:rsidRPr="007B1AE5" w:rsidRDefault="00143E4F" w:rsidP="00233755">
      <w:r>
        <w:rPr>
          <w:noProof/>
        </w:rPr>
        <w:drawing>
          <wp:inline distT="0" distB="0" distL="0" distR="0" wp14:anchorId="4BC9FDE1" wp14:editId="61EE1B46">
            <wp:extent cx="3419475" cy="2111974"/>
            <wp:effectExtent l="0" t="0" r="0" b="3175"/>
            <wp:docPr id="1411627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47362" cy="2129198"/>
                    </a:xfrm>
                    <a:prstGeom prst="rect">
                      <a:avLst/>
                    </a:prstGeom>
                    <a:noFill/>
                    <a:ln>
                      <a:noFill/>
                    </a:ln>
                  </pic:spPr>
                </pic:pic>
              </a:graphicData>
            </a:graphic>
          </wp:inline>
        </w:drawing>
      </w:r>
    </w:p>
    <w:p w14:paraId="0B34CDEE" w14:textId="3ECB8C66" w:rsidR="00A478A8" w:rsidRDefault="00233755" w:rsidP="003A3A20">
      <w:pPr>
        <w:jc w:val="both"/>
        <w:rPr>
          <w:sz w:val="10"/>
          <w:szCs w:val="10"/>
        </w:rPr>
      </w:pPr>
      <w:r w:rsidRPr="000C0C45">
        <w:rPr>
          <w:sz w:val="10"/>
        </w:rPr>
        <w:t xml:space="preserve">Note – </w:t>
      </w:r>
      <w:r w:rsidRPr="00AF759E">
        <w:rPr>
          <w:sz w:val="10"/>
          <w:szCs w:val="10"/>
        </w:rPr>
        <w:t>(a) Coal and oil (included multi-fuel fired power plants prior to 2013-14). (b) Wind, solar, biogas and hydro.</w:t>
      </w:r>
    </w:p>
    <w:p w14:paraId="2399DCE2" w14:textId="3850B4CC" w:rsidR="00233755" w:rsidRPr="005E7FCB" w:rsidRDefault="00A478A8" w:rsidP="003A3A20">
      <w:pPr>
        <w:jc w:val="both"/>
        <w:rPr>
          <w:color w:val="000000" w:themeColor="text1"/>
          <w:sz w:val="10"/>
          <w:szCs w:val="10"/>
        </w:rPr>
      </w:pPr>
      <w:r w:rsidRPr="005E7FCB">
        <w:rPr>
          <w:color w:val="000000" w:themeColor="text1"/>
          <w:sz w:val="10"/>
          <w:szCs w:val="10"/>
        </w:rPr>
        <w:t xml:space="preserve">GWh = </w:t>
      </w:r>
      <w:r w:rsidR="00233755" w:rsidRPr="005E7FCB">
        <w:rPr>
          <w:color w:val="000000" w:themeColor="text1"/>
          <w:sz w:val="10"/>
          <w:szCs w:val="10"/>
        </w:rPr>
        <w:t>Gigawatt hours.</w:t>
      </w:r>
    </w:p>
    <w:p w14:paraId="60BB8239" w14:textId="77777777" w:rsidR="00233755" w:rsidRPr="00AF759E" w:rsidRDefault="00233755" w:rsidP="003A3A20">
      <w:pPr>
        <w:jc w:val="both"/>
        <w:rPr>
          <w:sz w:val="10"/>
          <w:szCs w:val="10"/>
        </w:rPr>
      </w:pPr>
      <w:r w:rsidRPr="005E7FCB">
        <w:rPr>
          <w:color w:val="000000" w:themeColor="text1"/>
          <w:sz w:val="10"/>
          <w:szCs w:val="10"/>
        </w:rPr>
        <w:t xml:space="preserve">Source: Department of Climate </w:t>
      </w:r>
      <w:r w:rsidRPr="00AF759E">
        <w:rPr>
          <w:sz w:val="10"/>
          <w:szCs w:val="10"/>
        </w:rPr>
        <w:t>Change, Energy, the Environment and Water.</w:t>
      </w:r>
    </w:p>
    <w:p w14:paraId="147FA06C" w14:textId="64B22984"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5504E">
        <w:rPr>
          <w:sz w:val="16"/>
          <w:szCs w:val="16"/>
        </w:rPr>
        <w:t>The growth in Western Australia’s electricity generation was primarily through natural gas in the 2010s but is now increasingly through renewables.</w:t>
      </w:r>
    </w:p>
    <w:p w14:paraId="7F3A0F4B" w14:textId="51704DA7"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 xml:space="preserve">Western Australia’s total electricity generation was </w:t>
      </w:r>
      <w:r w:rsidR="00633709" w:rsidRPr="0075504E">
        <w:rPr>
          <w:sz w:val="16"/>
          <w:szCs w:val="16"/>
        </w:rPr>
        <w:t>45,659</w:t>
      </w:r>
      <w:r w:rsidRPr="0075504E">
        <w:rPr>
          <w:sz w:val="16"/>
          <w:szCs w:val="16"/>
        </w:rPr>
        <w:t> gigawatt hours (GWh) in 202</w:t>
      </w:r>
      <w:r w:rsidR="00E56637" w:rsidRPr="0075504E">
        <w:rPr>
          <w:sz w:val="16"/>
          <w:szCs w:val="16"/>
        </w:rPr>
        <w:t>3</w:t>
      </w:r>
      <w:r w:rsidRPr="0075504E">
        <w:rPr>
          <w:sz w:val="16"/>
          <w:szCs w:val="16"/>
        </w:rPr>
        <w:t>-2</w:t>
      </w:r>
      <w:r w:rsidR="00E56637" w:rsidRPr="0075504E">
        <w:rPr>
          <w:sz w:val="16"/>
          <w:szCs w:val="16"/>
        </w:rPr>
        <w:t>4</w:t>
      </w:r>
      <w:r w:rsidRPr="0075504E">
        <w:rPr>
          <w:sz w:val="16"/>
          <w:szCs w:val="16"/>
        </w:rPr>
        <w:t>, 16% of the Australian total.</w:t>
      </w:r>
    </w:p>
    <w:p w14:paraId="7169BC0F" w14:textId="7738FC6A"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Mining and manufacturing accounted for 16,</w:t>
      </w:r>
      <w:r w:rsidR="0000428B" w:rsidRPr="0075504E">
        <w:rPr>
          <w:sz w:val="16"/>
          <w:szCs w:val="16"/>
        </w:rPr>
        <w:t>456</w:t>
      </w:r>
      <w:r w:rsidRPr="0075504E">
        <w:rPr>
          <w:sz w:val="16"/>
          <w:szCs w:val="16"/>
        </w:rPr>
        <w:t> GWh of electricity generation in Western Australia in 202</w:t>
      </w:r>
      <w:r w:rsidR="0000428B" w:rsidRPr="0075504E">
        <w:rPr>
          <w:sz w:val="16"/>
          <w:szCs w:val="16"/>
        </w:rPr>
        <w:t>3-24</w:t>
      </w:r>
      <w:r w:rsidRPr="0075504E">
        <w:rPr>
          <w:sz w:val="16"/>
          <w:szCs w:val="16"/>
        </w:rPr>
        <w:t>, which equated to:</w:t>
      </w:r>
    </w:p>
    <w:p w14:paraId="0060898F" w14:textId="71100172"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3</w:t>
      </w:r>
      <w:r w:rsidR="0000428B" w:rsidRPr="0075504E">
        <w:rPr>
          <w:sz w:val="16"/>
          <w:szCs w:val="16"/>
        </w:rPr>
        <w:t>6</w:t>
      </w:r>
      <w:r w:rsidRPr="0075504E">
        <w:rPr>
          <w:sz w:val="16"/>
          <w:szCs w:val="16"/>
        </w:rPr>
        <w:t>% of Western Australia’s total electricity generation</w:t>
      </w:r>
    </w:p>
    <w:p w14:paraId="1289DB0A" w14:textId="639CD49B"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6</w:t>
      </w:r>
      <w:r w:rsidR="002D3762" w:rsidRPr="0075504E">
        <w:rPr>
          <w:sz w:val="16"/>
          <w:szCs w:val="16"/>
        </w:rPr>
        <w:t>4</w:t>
      </w:r>
      <w:r w:rsidRPr="0075504E">
        <w:rPr>
          <w:sz w:val="16"/>
          <w:szCs w:val="16"/>
        </w:rPr>
        <w:t>% of Australia’s total electricity generation for mining and manufacturing.</w:t>
      </w:r>
    </w:p>
    <w:p w14:paraId="4DA4C8EE" w14:textId="0A84C28F"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Natural gas contributed 27,</w:t>
      </w:r>
      <w:r w:rsidR="002D3762" w:rsidRPr="0075504E">
        <w:rPr>
          <w:sz w:val="16"/>
          <w:szCs w:val="16"/>
        </w:rPr>
        <w:t>448</w:t>
      </w:r>
      <w:r w:rsidRPr="0075504E">
        <w:rPr>
          <w:sz w:val="16"/>
          <w:szCs w:val="16"/>
        </w:rPr>
        <w:t> GWh in 202</w:t>
      </w:r>
      <w:r w:rsidR="002D3762" w:rsidRPr="0075504E">
        <w:rPr>
          <w:sz w:val="16"/>
          <w:szCs w:val="16"/>
        </w:rPr>
        <w:t>3</w:t>
      </w:r>
      <w:r w:rsidRPr="0075504E">
        <w:rPr>
          <w:sz w:val="16"/>
          <w:szCs w:val="16"/>
        </w:rPr>
        <w:noBreakHyphen/>
        <w:t>2</w:t>
      </w:r>
      <w:r w:rsidR="002D3762" w:rsidRPr="0075504E">
        <w:rPr>
          <w:sz w:val="16"/>
          <w:szCs w:val="16"/>
        </w:rPr>
        <w:t>4</w:t>
      </w:r>
      <w:r w:rsidRPr="0075504E">
        <w:rPr>
          <w:sz w:val="16"/>
          <w:szCs w:val="16"/>
        </w:rPr>
        <w:t xml:space="preserve">, and its share of Western Australia’s total electricity generation </w:t>
      </w:r>
      <w:r w:rsidR="00D03780" w:rsidRPr="0075504E">
        <w:rPr>
          <w:sz w:val="16"/>
          <w:szCs w:val="16"/>
        </w:rPr>
        <w:t>was</w:t>
      </w:r>
      <w:r w:rsidRPr="0075504E">
        <w:rPr>
          <w:sz w:val="16"/>
          <w:szCs w:val="16"/>
        </w:rPr>
        <w:t xml:space="preserve"> 6</w:t>
      </w:r>
      <w:r w:rsidR="002D3762" w:rsidRPr="0075504E">
        <w:rPr>
          <w:sz w:val="16"/>
          <w:szCs w:val="16"/>
        </w:rPr>
        <w:t>0</w:t>
      </w:r>
      <w:r w:rsidRPr="0075504E">
        <w:rPr>
          <w:sz w:val="16"/>
          <w:szCs w:val="16"/>
        </w:rPr>
        <w:t>%, just below the peak share of 62% in 2019</w:t>
      </w:r>
      <w:r w:rsidRPr="0075504E">
        <w:rPr>
          <w:sz w:val="16"/>
          <w:szCs w:val="16"/>
        </w:rPr>
        <w:noBreakHyphen/>
        <w:t>20.</w:t>
      </w:r>
    </w:p>
    <w:p w14:paraId="45BD2071" w14:textId="771DDB84"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 xml:space="preserve">Other non-renewables (principally coal) contributed </w:t>
      </w:r>
      <w:r w:rsidR="002D3762" w:rsidRPr="0075504E">
        <w:rPr>
          <w:sz w:val="16"/>
          <w:szCs w:val="16"/>
        </w:rPr>
        <w:t>10,002</w:t>
      </w:r>
      <w:r w:rsidRPr="0075504E">
        <w:rPr>
          <w:sz w:val="16"/>
          <w:szCs w:val="16"/>
        </w:rPr>
        <w:t> GWh in 202</w:t>
      </w:r>
      <w:r w:rsidR="002D3762" w:rsidRPr="0075504E">
        <w:rPr>
          <w:sz w:val="16"/>
          <w:szCs w:val="16"/>
        </w:rPr>
        <w:t>3</w:t>
      </w:r>
      <w:r w:rsidRPr="0075504E">
        <w:rPr>
          <w:sz w:val="16"/>
          <w:szCs w:val="16"/>
        </w:rPr>
        <w:noBreakHyphen/>
        <w:t>2</w:t>
      </w:r>
      <w:r w:rsidR="002D3762" w:rsidRPr="0075504E">
        <w:rPr>
          <w:sz w:val="16"/>
          <w:szCs w:val="16"/>
        </w:rPr>
        <w:t>4</w:t>
      </w:r>
      <w:r w:rsidRPr="0075504E">
        <w:rPr>
          <w:sz w:val="16"/>
          <w:szCs w:val="16"/>
        </w:rPr>
        <w:t>, 2</w:t>
      </w:r>
      <w:r w:rsidR="002D3762" w:rsidRPr="0075504E">
        <w:rPr>
          <w:sz w:val="16"/>
          <w:szCs w:val="16"/>
        </w:rPr>
        <w:t>2</w:t>
      </w:r>
      <w:r w:rsidRPr="0075504E">
        <w:rPr>
          <w:sz w:val="16"/>
          <w:szCs w:val="16"/>
        </w:rPr>
        <w:t>% of Western Australia’s electricity generation.</w:t>
      </w:r>
    </w:p>
    <w:p w14:paraId="03927422" w14:textId="6461C0F8"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 xml:space="preserve">The output of renewables has increased significantly in recent years growing from 2,998 GWh in 2016-17 to </w:t>
      </w:r>
      <w:r w:rsidR="002D3762" w:rsidRPr="0075504E">
        <w:rPr>
          <w:sz w:val="16"/>
          <w:szCs w:val="16"/>
        </w:rPr>
        <w:t>8,209</w:t>
      </w:r>
      <w:r w:rsidRPr="0075504E">
        <w:rPr>
          <w:sz w:val="16"/>
          <w:szCs w:val="16"/>
        </w:rPr>
        <w:t> GWh in 202</w:t>
      </w:r>
      <w:r w:rsidR="002D3762" w:rsidRPr="0075504E">
        <w:rPr>
          <w:sz w:val="16"/>
          <w:szCs w:val="16"/>
        </w:rPr>
        <w:t>3-24</w:t>
      </w:r>
      <w:r w:rsidRPr="0075504E">
        <w:rPr>
          <w:sz w:val="16"/>
          <w:szCs w:val="16"/>
        </w:rPr>
        <w:t>. In 202</w:t>
      </w:r>
      <w:r w:rsidR="002D3762" w:rsidRPr="0075504E">
        <w:rPr>
          <w:sz w:val="16"/>
          <w:szCs w:val="16"/>
        </w:rPr>
        <w:t>3</w:t>
      </w:r>
      <w:r w:rsidRPr="0075504E">
        <w:rPr>
          <w:sz w:val="16"/>
          <w:szCs w:val="16"/>
        </w:rPr>
        <w:noBreakHyphen/>
        <w:t>2</w:t>
      </w:r>
      <w:r w:rsidR="002D3762" w:rsidRPr="0075504E">
        <w:rPr>
          <w:sz w:val="16"/>
          <w:szCs w:val="16"/>
        </w:rPr>
        <w:t>4</w:t>
      </w:r>
      <w:r w:rsidRPr="0075504E">
        <w:rPr>
          <w:sz w:val="16"/>
          <w:szCs w:val="16"/>
        </w:rPr>
        <w:t>, renewables accounted for 1</w:t>
      </w:r>
      <w:r w:rsidR="002D3762" w:rsidRPr="0075504E">
        <w:rPr>
          <w:sz w:val="16"/>
          <w:szCs w:val="16"/>
        </w:rPr>
        <w:t>8</w:t>
      </w:r>
      <w:r w:rsidRPr="0075504E">
        <w:rPr>
          <w:sz w:val="16"/>
          <w:szCs w:val="16"/>
        </w:rPr>
        <w:t>% of Western Australia’s electricity generation, including wind (8%), small</w:t>
      </w:r>
      <w:r w:rsidRPr="0075504E">
        <w:rPr>
          <w:sz w:val="16"/>
          <w:szCs w:val="16"/>
        </w:rPr>
        <w:noBreakHyphen/>
        <w:t>scale solar (</w:t>
      </w:r>
      <w:r w:rsidR="002D3762" w:rsidRPr="0075504E">
        <w:rPr>
          <w:sz w:val="16"/>
          <w:szCs w:val="16"/>
        </w:rPr>
        <w:t>8</w:t>
      </w:r>
      <w:r w:rsidRPr="0075504E">
        <w:rPr>
          <w:sz w:val="16"/>
          <w:szCs w:val="16"/>
        </w:rPr>
        <w:t>%) and large</w:t>
      </w:r>
      <w:r w:rsidRPr="0075504E">
        <w:rPr>
          <w:sz w:val="16"/>
          <w:szCs w:val="16"/>
        </w:rPr>
        <w:noBreakHyphen/>
        <w:t>scale solar (2%).</w:t>
      </w:r>
    </w:p>
    <w:p w14:paraId="247DF11A" w14:textId="77777777" w:rsidR="00233755" w:rsidRPr="00632366" w:rsidRDefault="00233755" w:rsidP="006058E8">
      <w:pPr>
        <w:pStyle w:val="ListParagraph"/>
        <w:numPr>
          <w:ilvl w:val="0"/>
          <w:numId w:val="9"/>
        </w:numPr>
        <w:spacing w:before="40" w:after="40"/>
        <w:ind w:right="227"/>
        <w:rPr>
          <w:sz w:val="16"/>
          <w:szCs w:val="16"/>
        </w:rPr>
        <w:sectPr w:rsidR="00233755" w:rsidRPr="00632366" w:rsidSect="00233755">
          <w:type w:val="continuous"/>
          <w:pgSz w:w="11907" w:h="16840" w:code="9"/>
          <w:pgMar w:top="1701" w:right="425" w:bottom="567" w:left="567" w:header="709" w:footer="709" w:gutter="0"/>
          <w:cols w:num="2" w:space="113"/>
          <w:docGrid w:linePitch="360"/>
        </w:sectPr>
      </w:pPr>
    </w:p>
    <w:p w14:paraId="0E97477E"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Greenhouse gas emissions by sector</w:t>
      </w:r>
    </w:p>
    <w:p w14:paraId="5C9E6678" w14:textId="4B54601A" w:rsidR="00233755" w:rsidRPr="007B1AE5" w:rsidRDefault="00143E4F" w:rsidP="00233755">
      <w:r>
        <w:rPr>
          <w:noProof/>
        </w:rPr>
        <w:drawing>
          <wp:inline distT="0" distB="0" distL="0" distR="0" wp14:anchorId="55E7F201" wp14:editId="27E53B5C">
            <wp:extent cx="3419475" cy="2111974"/>
            <wp:effectExtent l="0" t="0" r="0" b="3175"/>
            <wp:docPr id="146364260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8570" cy="2117592"/>
                    </a:xfrm>
                    <a:prstGeom prst="rect">
                      <a:avLst/>
                    </a:prstGeom>
                    <a:noFill/>
                    <a:ln>
                      <a:noFill/>
                    </a:ln>
                  </pic:spPr>
                </pic:pic>
              </a:graphicData>
            </a:graphic>
          </wp:inline>
        </w:drawing>
      </w:r>
    </w:p>
    <w:p w14:paraId="43CDDE30" w14:textId="77777777" w:rsidR="00233755" w:rsidRPr="00AF759E" w:rsidRDefault="00233755" w:rsidP="003A3A20">
      <w:pPr>
        <w:jc w:val="both"/>
        <w:rPr>
          <w:sz w:val="10"/>
          <w:szCs w:val="10"/>
        </w:rPr>
      </w:pPr>
      <w:r w:rsidRPr="000C0C45">
        <w:rPr>
          <w:sz w:val="10"/>
        </w:rPr>
        <w:t xml:space="preserve">Note – </w:t>
      </w:r>
      <w:r>
        <w:rPr>
          <w:sz w:val="10"/>
        </w:rPr>
        <w:t xml:space="preserve">Mt = </w:t>
      </w:r>
      <w:r>
        <w:rPr>
          <w:sz w:val="10"/>
          <w:szCs w:val="10"/>
        </w:rPr>
        <w:t>m</w:t>
      </w:r>
      <w:r w:rsidRPr="00AF759E">
        <w:rPr>
          <w:sz w:val="10"/>
          <w:szCs w:val="10"/>
        </w:rPr>
        <w:t>illion tonnes. Carbon dioxide equivalent AR5.</w:t>
      </w:r>
    </w:p>
    <w:p w14:paraId="4BD1B40C" w14:textId="77777777" w:rsidR="00233755" w:rsidRPr="00AF759E" w:rsidRDefault="00233755" w:rsidP="003A3A20">
      <w:pPr>
        <w:jc w:val="both"/>
        <w:rPr>
          <w:sz w:val="10"/>
          <w:szCs w:val="10"/>
        </w:rPr>
      </w:pPr>
      <w:r w:rsidRPr="00AF759E">
        <w:rPr>
          <w:sz w:val="10"/>
          <w:szCs w:val="10"/>
        </w:rPr>
        <w:t>Source: Department of Climate Change, Energy, the Environment and Water.</w:t>
      </w:r>
    </w:p>
    <w:p w14:paraId="46F51DAE" w14:textId="28AA718D"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B4CF3">
        <w:rPr>
          <w:sz w:val="16"/>
          <w:szCs w:val="16"/>
        </w:rPr>
        <w:t xml:space="preserve">Western </w:t>
      </w:r>
      <w:r w:rsidRPr="0075504E">
        <w:rPr>
          <w:sz w:val="16"/>
          <w:szCs w:val="16"/>
        </w:rPr>
        <w:t>Australia’s net CO</w:t>
      </w:r>
      <w:r w:rsidRPr="0075504E">
        <w:rPr>
          <w:sz w:val="16"/>
          <w:szCs w:val="16"/>
          <w:vertAlign w:val="subscript"/>
        </w:rPr>
        <w:t>2</w:t>
      </w:r>
      <w:r w:rsidRPr="0075504E">
        <w:rPr>
          <w:sz w:val="16"/>
          <w:szCs w:val="16"/>
        </w:rPr>
        <w:t xml:space="preserve"> equivalent emissions </w:t>
      </w:r>
      <w:r w:rsidR="00D03780" w:rsidRPr="0075504E">
        <w:rPr>
          <w:sz w:val="16"/>
          <w:szCs w:val="16"/>
        </w:rPr>
        <w:t>in 2022</w:t>
      </w:r>
      <w:r w:rsidR="00D03780" w:rsidRPr="0075504E">
        <w:rPr>
          <w:sz w:val="16"/>
          <w:szCs w:val="16"/>
        </w:rPr>
        <w:noBreakHyphen/>
        <w:t xml:space="preserve">23 </w:t>
      </w:r>
      <w:proofErr w:type="gramStart"/>
      <w:r w:rsidR="00D100AA" w:rsidRPr="0075504E">
        <w:rPr>
          <w:sz w:val="16"/>
          <w:szCs w:val="16"/>
        </w:rPr>
        <w:t>was</w:t>
      </w:r>
      <w:proofErr w:type="gramEnd"/>
      <w:r w:rsidR="00D100AA" w:rsidRPr="0075504E">
        <w:rPr>
          <w:sz w:val="16"/>
          <w:szCs w:val="16"/>
        </w:rPr>
        <w:t xml:space="preserve"> 89.4</w:t>
      </w:r>
      <w:r w:rsidRPr="0075504E">
        <w:rPr>
          <w:sz w:val="16"/>
          <w:szCs w:val="16"/>
        </w:rPr>
        <w:t> Mt</w:t>
      </w:r>
      <w:r w:rsidR="00D100AA" w:rsidRPr="0075504E">
        <w:rPr>
          <w:sz w:val="16"/>
          <w:szCs w:val="16"/>
        </w:rPr>
        <w:t xml:space="preserve">, the </w:t>
      </w:r>
      <w:r w:rsidR="006F40F4" w:rsidRPr="0075504E">
        <w:rPr>
          <w:sz w:val="16"/>
          <w:szCs w:val="16"/>
        </w:rPr>
        <w:t xml:space="preserve">third </w:t>
      </w:r>
      <w:r w:rsidR="00D100AA" w:rsidRPr="0075504E">
        <w:rPr>
          <w:sz w:val="16"/>
          <w:szCs w:val="16"/>
        </w:rPr>
        <w:t>highest on record</w:t>
      </w:r>
      <w:r w:rsidRPr="0075504E">
        <w:rPr>
          <w:sz w:val="16"/>
          <w:szCs w:val="16"/>
        </w:rPr>
        <w:t>.</w:t>
      </w:r>
    </w:p>
    <w:p w14:paraId="44807693" w14:textId="4610FDD5"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Of Western Australia’s emissions in 202</w:t>
      </w:r>
      <w:r w:rsidR="00107E8D" w:rsidRPr="0075504E">
        <w:rPr>
          <w:sz w:val="16"/>
          <w:szCs w:val="16"/>
        </w:rPr>
        <w:t>2-2</w:t>
      </w:r>
      <w:r w:rsidR="00D100AA" w:rsidRPr="0075504E">
        <w:rPr>
          <w:sz w:val="16"/>
          <w:szCs w:val="16"/>
        </w:rPr>
        <w:t>3</w:t>
      </w:r>
      <w:r w:rsidRPr="0075504E">
        <w:rPr>
          <w:sz w:val="16"/>
          <w:szCs w:val="16"/>
        </w:rPr>
        <w:t>:</w:t>
      </w:r>
    </w:p>
    <w:p w14:paraId="0F51C17E" w14:textId="1AE6B887"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energy contributed 81.</w:t>
      </w:r>
      <w:r w:rsidR="00D100AA" w:rsidRPr="0075504E">
        <w:rPr>
          <w:sz w:val="16"/>
          <w:szCs w:val="16"/>
        </w:rPr>
        <w:t xml:space="preserve">4 </w:t>
      </w:r>
      <w:r w:rsidRPr="0075504E">
        <w:rPr>
          <w:sz w:val="16"/>
          <w:szCs w:val="16"/>
        </w:rPr>
        <w:t>Mt</w:t>
      </w:r>
    </w:p>
    <w:p w14:paraId="4E78BB51" w14:textId="3649785A"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 xml:space="preserve">agriculture contributed </w:t>
      </w:r>
      <w:r w:rsidR="00D100AA" w:rsidRPr="0075504E">
        <w:rPr>
          <w:sz w:val="16"/>
          <w:szCs w:val="16"/>
        </w:rPr>
        <w:t>10.0</w:t>
      </w:r>
      <w:r w:rsidRPr="0075504E">
        <w:rPr>
          <w:sz w:val="16"/>
          <w:szCs w:val="16"/>
        </w:rPr>
        <w:t> Mt</w:t>
      </w:r>
    </w:p>
    <w:p w14:paraId="08B6E347" w14:textId="1638D031"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industry contributed 5.</w:t>
      </w:r>
      <w:r w:rsidR="00D100AA" w:rsidRPr="0075504E">
        <w:rPr>
          <w:sz w:val="16"/>
          <w:szCs w:val="16"/>
        </w:rPr>
        <w:t>4</w:t>
      </w:r>
      <w:r w:rsidRPr="0075504E">
        <w:rPr>
          <w:sz w:val="16"/>
          <w:szCs w:val="16"/>
        </w:rPr>
        <w:t> Mt</w:t>
      </w:r>
    </w:p>
    <w:p w14:paraId="6B39CDE4" w14:textId="77777777"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waste contributed 1.9 Mt</w:t>
      </w:r>
    </w:p>
    <w:p w14:paraId="239C9F63" w14:textId="76023380"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 xml:space="preserve">land use contributed an emissions reduction of </w:t>
      </w:r>
      <w:r w:rsidR="00D100AA" w:rsidRPr="0075504E">
        <w:rPr>
          <w:sz w:val="16"/>
          <w:szCs w:val="16"/>
        </w:rPr>
        <w:t>9.4</w:t>
      </w:r>
      <w:r w:rsidRPr="0075504E">
        <w:rPr>
          <w:sz w:val="16"/>
          <w:szCs w:val="16"/>
        </w:rPr>
        <w:t> Mt.</w:t>
      </w:r>
    </w:p>
    <w:p w14:paraId="4A9B60AC" w14:textId="2713522A"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 xml:space="preserve">The emissions of the energy sector increased by </w:t>
      </w:r>
      <w:r w:rsidR="00496146" w:rsidRPr="0075504E">
        <w:rPr>
          <w:sz w:val="16"/>
          <w:szCs w:val="16"/>
        </w:rPr>
        <w:t>120</w:t>
      </w:r>
      <w:r w:rsidRPr="0075504E">
        <w:rPr>
          <w:sz w:val="16"/>
          <w:szCs w:val="16"/>
        </w:rPr>
        <w:t>% between 199</w:t>
      </w:r>
      <w:r w:rsidR="00FE59E5" w:rsidRPr="0075504E">
        <w:rPr>
          <w:sz w:val="16"/>
          <w:szCs w:val="16"/>
        </w:rPr>
        <w:t>2-9</w:t>
      </w:r>
      <w:r w:rsidR="00D100AA" w:rsidRPr="0075504E">
        <w:rPr>
          <w:sz w:val="16"/>
          <w:szCs w:val="16"/>
        </w:rPr>
        <w:t>3</w:t>
      </w:r>
      <w:r w:rsidRPr="0075504E">
        <w:rPr>
          <w:sz w:val="16"/>
          <w:szCs w:val="16"/>
        </w:rPr>
        <w:t xml:space="preserve"> and 202</w:t>
      </w:r>
      <w:r w:rsidR="003068FD" w:rsidRPr="0075504E">
        <w:rPr>
          <w:sz w:val="16"/>
          <w:szCs w:val="16"/>
        </w:rPr>
        <w:t>2-2</w:t>
      </w:r>
      <w:r w:rsidR="00D100AA" w:rsidRPr="0075504E">
        <w:rPr>
          <w:sz w:val="16"/>
          <w:szCs w:val="16"/>
        </w:rPr>
        <w:t>3.</w:t>
      </w:r>
    </w:p>
    <w:p w14:paraId="45D879CE" w14:textId="73F154DA"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 xml:space="preserve">The most dynamic movement has come from the role of land use, which has evolved from contributing </w:t>
      </w:r>
      <w:r w:rsidR="009C1182" w:rsidRPr="0075504E">
        <w:rPr>
          <w:sz w:val="16"/>
          <w:szCs w:val="16"/>
        </w:rPr>
        <w:t>15.9</w:t>
      </w:r>
      <w:r w:rsidRPr="0075504E">
        <w:rPr>
          <w:sz w:val="16"/>
          <w:szCs w:val="16"/>
        </w:rPr>
        <w:t> Mt of emissions in 199</w:t>
      </w:r>
      <w:r w:rsidR="003068FD" w:rsidRPr="0075504E">
        <w:rPr>
          <w:sz w:val="16"/>
          <w:szCs w:val="16"/>
        </w:rPr>
        <w:t>2-2</w:t>
      </w:r>
      <w:r w:rsidR="00D100AA" w:rsidRPr="0075504E">
        <w:rPr>
          <w:sz w:val="16"/>
          <w:szCs w:val="16"/>
        </w:rPr>
        <w:t>3</w:t>
      </w:r>
      <w:r w:rsidRPr="0075504E">
        <w:rPr>
          <w:sz w:val="16"/>
          <w:szCs w:val="16"/>
        </w:rPr>
        <w:t xml:space="preserve"> to an emissions reduction of </w:t>
      </w:r>
      <w:r w:rsidR="00D100AA" w:rsidRPr="0075504E">
        <w:rPr>
          <w:sz w:val="16"/>
          <w:szCs w:val="16"/>
        </w:rPr>
        <w:t>9.4</w:t>
      </w:r>
      <w:r w:rsidRPr="0075504E">
        <w:rPr>
          <w:sz w:val="16"/>
          <w:szCs w:val="16"/>
        </w:rPr>
        <w:t xml:space="preserve"> Mt in 202</w:t>
      </w:r>
      <w:r w:rsidR="00D100AA" w:rsidRPr="0075504E">
        <w:rPr>
          <w:sz w:val="16"/>
          <w:szCs w:val="16"/>
        </w:rPr>
        <w:t>3</w:t>
      </w:r>
      <w:r w:rsidRPr="0075504E">
        <w:rPr>
          <w:sz w:val="16"/>
          <w:szCs w:val="16"/>
        </w:rPr>
        <w:t>.</w:t>
      </w:r>
    </w:p>
    <w:p w14:paraId="1CC5AD14"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668D988D"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Interstate comparison of greenhouse gas emissions per dollar of gross state product</w:t>
      </w:r>
    </w:p>
    <w:p w14:paraId="61225394" w14:textId="329B7038" w:rsidR="00233755" w:rsidRPr="007B1AE5" w:rsidRDefault="00143E4F" w:rsidP="00233755">
      <w:r>
        <w:rPr>
          <w:noProof/>
        </w:rPr>
        <w:drawing>
          <wp:inline distT="0" distB="0" distL="0" distR="0" wp14:anchorId="2688AC2D" wp14:editId="7B827803">
            <wp:extent cx="3396898" cy="2085653"/>
            <wp:effectExtent l="0" t="0" r="0" b="0"/>
            <wp:docPr id="3585097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99442" cy="2087215"/>
                    </a:xfrm>
                    <a:prstGeom prst="rect">
                      <a:avLst/>
                    </a:prstGeom>
                    <a:noFill/>
                    <a:ln>
                      <a:noFill/>
                    </a:ln>
                  </pic:spPr>
                </pic:pic>
              </a:graphicData>
            </a:graphic>
          </wp:inline>
        </w:drawing>
      </w:r>
    </w:p>
    <w:p w14:paraId="7CED465B" w14:textId="1BEC3031" w:rsidR="00233755" w:rsidRPr="005E7FCB" w:rsidRDefault="00233755" w:rsidP="003A3A20">
      <w:pPr>
        <w:jc w:val="both"/>
        <w:rPr>
          <w:color w:val="000000" w:themeColor="text1"/>
          <w:sz w:val="10"/>
          <w:szCs w:val="10"/>
        </w:rPr>
      </w:pPr>
      <w:r w:rsidRPr="005E7FCB">
        <w:rPr>
          <w:color w:val="000000" w:themeColor="text1"/>
          <w:sz w:val="10"/>
        </w:rPr>
        <w:t xml:space="preserve">Note – </w:t>
      </w:r>
      <w:r w:rsidR="00A478A8" w:rsidRPr="005E7FCB">
        <w:rPr>
          <w:color w:val="000000" w:themeColor="text1"/>
          <w:sz w:val="10"/>
        </w:rPr>
        <w:t xml:space="preserve">Kg = </w:t>
      </w:r>
      <w:r w:rsidRPr="005E7FCB">
        <w:rPr>
          <w:color w:val="000000" w:themeColor="text1"/>
          <w:sz w:val="10"/>
          <w:szCs w:val="10"/>
        </w:rPr>
        <w:t>Kilograms of carbon dioxide equivalent per dollar of gross state product (chain volume measures).</w:t>
      </w:r>
    </w:p>
    <w:p w14:paraId="35B0F8FC" w14:textId="77777777" w:rsidR="00233755" w:rsidRPr="00AF759E" w:rsidRDefault="00233755" w:rsidP="003A3A20">
      <w:pPr>
        <w:jc w:val="both"/>
        <w:rPr>
          <w:sz w:val="10"/>
          <w:szCs w:val="10"/>
        </w:rPr>
      </w:pPr>
      <w:r w:rsidRPr="00AF759E">
        <w:rPr>
          <w:sz w:val="10"/>
          <w:szCs w:val="10"/>
        </w:rPr>
        <w:t>Source: Department of Climate Change, Energy, the Environment and Water.</w:t>
      </w:r>
    </w:p>
    <w:p w14:paraId="614CB2FD" w14:textId="2DD2F362" w:rsidR="00233755" w:rsidRPr="00762EBE"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B4CF3">
        <w:rPr>
          <w:sz w:val="16"/>
          <w:szCs w:val="16"/>
        </w:rPr>
        <w:t xml:space="preserve">While </w:t>
      </w:r>
      <w:r w:rsidRPr="00762EBE">
        <w:rPr>
          <w:sz w:val="16"/>
          <w:szCs w:val="16"/>
        </w:rPr>
        <w:t>total greenhouse gas emissions have increased in Western Australia over the past 30 years, the emissions intensity of economic activity has declined, as it has in other Australian states.</w:t>
      </w:r>
    </w:p>
    <w:p w14:paraId="567B6CC6" w14:textId="196B9FD4" w:rsidR="00233755" w:rsidRPr="00DD6176"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DD6176">
        <w:rPr>
          <w:color w:val="000000" w:themeColor="text1"/>
          <w:sz w:val="16"/>
          <w:szCs w:val="16"/>
        </w:rPr>
        <w:t>Using the measure of emissions in kilograms of carbon dioxide equivalent per dollar of real GSP, between 199</w:t>
      </w:r>
      <w:r w:rsidR="00124C0C" w:rsidRPr="00DD6176">
        <w:rPr>
          <w:color w:val="000000" w:themeColor="text1"/>
          <w:sz w:val="16"/>
          <w:szCs w:val="16"/>
        </w:rPr>
        <w:t>2</w:t>
      </w:r>
      <w:r w:rsidRPr="00DD6176">
        <w:rPr>
          <w:color w:val="000000" w:themeColor="text1"/>
          <w:sz w:val="16"/>
          <w:szCs w:val="16"/>
        </w:rPr>
        <w:t>-9</w:t>
      </w:r>
      <w:r w:rsidR="00124C0C" w:rsidRPr="00DD6176">
        <w:rPr>
          <w:color w:val="000000" w:themeColor="text1"/>
          <w:sz w:val="16"/>
          <w:szCs w:val="16"/>
        </w:rPr>
        <w:t>3</w:t>
      </w:r>
      <w:r w:rsidRPr="00DD6176">
        <w:rPr>
          <w:color w:val="000000" w:themeColor="text1"/>
          <w:sz w:val="16"/>
          <w:szCs w:val="16"/>
        </w:rPr>
        <w:t xml:space="preserve"> and 202</w:t>
      </w:r>
      <w:r w:rsidR="00124C0C" w:rsidRPr="00DD6176">
        <w:rPr>
          <w:color w:val="000000" w:themeColor="text1"/>
          <w:sz w:val="16"/>
          <w:szCs w:val="16"/>
        </w:rPr>
        <w:t>2</w:t>
      </w:r>
      <w:r w:rsidRPr="00DD6176">
        <w:rPr>
          <w:color w:val="000000" w:themeColor="text1"/>
          <w:sz w:val="16"/>
          <w:szCs w:val="16"/>
        </w:rPr>
        <w:noBreakHyphen/>
        <w:t>2</w:t>
      </w:r>
      <w:r w:rsidR="00124C0C" w:rsidRPr="00DD6176">
        <w:rPr>
          <w:color w:val="000000" w:themeColor="text1"/>
          <w:sz w:val="16"/>
          <w:szCs w:val="16"/>
        </w:rPr>
        <w:t>3</w:t>
      </w:r>
      <w:r w:rsidRPr="00DD6176">
        <w:rPr>
          <w:color w:val="000000" w:themeColor="text1"/>
          <w:sz w:val="16"/>
          <w:szCs w:val="16"/>
        </w:rPr>
        <w:t>:</w:t>
      </w:r>
    </w:p>
    <w:p w14:paraId="5808D21A" w14:textId="77E3481E" w:rsidR="00233755" w:rsidRPr="00DD6176"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DD6176">
        <w:rPr>
          <w:color w:val="000000" w:themeColor="text1"/>
          <w:sz w:val="16"/>
          <w:szCs w:val="16"/>
        </w:rPr>
        <w:t>Western Australia’s emissions intensity fell from 0.5</w:t>
      </w:r>
      <w:r w:rsidR="00124C0C" w:rsidRPr="00DD6176">
        <w:rPr>
          <w:color w:val="000000" w:themeColor="text1"/>
          <w:sz w:val="16"/>
          <w:szCs w:val="16"/>
        </w:rPr>
        <w:t>2</w:t>
      </w:r>
      <w:r w:rsidRPr="00DD6176">
        <w:rPr>
          <w:color w:val="000000" w:themeColor="text1"/>
          <w:sz w:val="16"/>
          <w:szCs w:val="16"/>
        </w:rPr>
        <w:t xml:space="preserve"> to 0.20, a reduction of 6</w:t>
      </w:r>
      <w:r w:rsidR="00124C0C" w:rsidRPr="00DD6176">
        <w:rPr>
          <w:color w:val="000000" w:themeColor="text1"/>
          <w:sz w:val="16"/>
          <w:szCs w:val="16"/>
        </w:rPr>
        <w:t>2</w:t>
      </w:r>
      <w:r w:rsidRPr="00DD6176">
        <w:rPr>
          <w:color w:val="000000" w:themeColor="text1"/>
          <w:sz w:val="16"/>
          <w:szCs w:val="16"/>
        </w:rPr>
        <w:t>%.</w:t>
      </w:r>
    </w:p>
    <w:p w14:paraId="6571180B" w14:textId="4E910FF7" w:rsidR="00233755" w:rsidRPr="00DD6176"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DD6176">
        <w:rPr>
          <w:color w:val="000000" w:themeColor="text1"/>
          <w:sz w:val="16"/>
          <w:szCs w:val="16"/>
        </w:rPr>
        <w:t xml:space="preserve">Queensland’s emissions intensity fell from </w:t>
      </w:r>
      <w:r w:rsidR="00124C0C" w:rsidRPr="00DD6176">
        <w:rPr>
          <w:color w:val="000000" w:themeColor="text1"/>
          <w:sz w:val="16"/>
          <w:szCs w:val="16"/>
        </w:rPr>
        <w:t>0.92</w:t>
      </w:r>
      <w:r w:rsidRPr="00DD6176">
        <w:rPr>
          <w:color w:val="000000" w:themeColor="text1"/>
          <w:sz w:val="16"/>
          <w:szCs w:val="16"/>
        </w:rPr>
        <w:t xml:space="preserve"> to 0.2</w:t>
      </w:r>
      <w:r w:rsidR="00124C0C" w:rsidRPr="00DD6176">
        <w:rPr>
          <w:color w:val="000000" w:themeColor="text1"/>
          <w:sz w:val="16"/>
          <w:szCs w:val="16"/>
        </w:rPr>
        <w:t>5</w:t>
      </w:r>
      <w:r w:rsidRPr="00DD6176">
        <w:rPr>
          <w:color w:val="000000" w:themeColor="text1"/>
          <w:sz w:val="16"/>
          <w:szCs w:val="16"/>
        </w:rPr>
        <w:t>, a reduction of 7</w:t>
      </w:r>
      <w:r w:rsidR="00124C0C" w:rsidRPr="00DD6176">
        <w:rPr>
          <w:color w:val="000000" w:themeColor="text1"/>
          <w:sz w:val="16"/>
          <w:szCs w:val="16"/>
        </w:rPr>
        <w:t>3</w:t>
      </w:r>
      <w:r w:rsidRPr="00DD6176">
        <w:rPr>
          <w:color w:val="000000" w:themeColor="text1"/>
          <w:sz w:val="16"/>
          <w:szCs w:val="16"/>
        </w:rPr>
        <w:t>%.</w:t>
      </w:r>
    </w:p>
    <w:p w14:paraId="261638A7" w14:textId="1BCF2601" w:rsidR="00233755" w:rsidRPr="00381D15" w:rsidRDefault="00233755" w:rsidP="00381D15">
      <w:pPr>
        <w:pStyle w:val="ListParagraph"/>
        <w:numPr>
          <w:ilvl w:val="0"/>
          <w:numId w:val="10"/>
        </w:numPr>
        <w:spacing w:before="40" w:after="40"/>
        <w:ind w:right="227" w:hanging="357"/>
        <w:contextualSpacing w:val="0"/>
        <w:jc w:val="both"/>
        <w:rPr>
          <w:color w:val="000000" w:themeColor="text1"/>
          <w:sz w:val="16"/>
          <w:szCs w:val="16"/>
        </w:rPr>
        <w:sectPr w:rsidR="00233755" w:rsidRPr="00381D15" w:rsidSect="00233755">
          <w:type w:val="continuous"/>
          <w:pgSz w:w="11907" w:h="16840" w:code="9"/>
          <w:pgMar w:top="1701" w:right="425" w:bottom="567" w:left="567" w:header="709" w:footer="709" w:gutter="0"/>
          <w:cols w:num="2" w:space="113"/>
          <w:docGrid w:linePitch="360"/>
        </w:sectPr>
      </w:pPr>
      <w:r w:rsidRPr="00381D15">
        <w:rPr>
          <w:color w:val="000000" w:themeColor="text1"/>
          <w:sz w:val="16"/>
          <w:szCs w:val="16"/>
        </w:rPr>
        <w:t>New South Wales emissions intensity fell from 0.</w:t>
      </w:r>
      <w:r w:rsidR="00124C0C" w:rsidRPr="00381D15">
        <w:rPr>
          <w:color w:val="000000" w:themeColor="text1"/>
          <w:sz w:val="16"/>
          <w:szCs w:val="16"/>
        </w:rPr>
        <w:t>38</w:t>
      </w:r>
      <w:r w:rsidRPr="00381D15">
        <w:rPr>
          <w:color w:val="000000" w:themeColor="text1"/>
          <w:sz w:val="16"/>
          <w:szCs w:val="16"/>
        </w:rPr>
        <w:t xml:space="preserve"> to 0.1</w:t>
      </w:r>
      <w:r w:rsidR="00124C0C" w:rsidRPr="00381D15">
        <w:rPr>
          <w:color w:val="000000" w:themeColor="text1"/>
          <w:sz w:val="16"/>
          <w:szCs w:val="16"/>
        </w:rPr>
        <w:t>5</w:t>
      </w:r>
      <w:r w:rsidRPr="00381D15">
        <w:rPr>
          <w:color w:val="000000" w:themeColor="text1"/>
          <w:sz w:val="16"/>
          <w:szCs w:val="16"/>
        </w:rPr>
        <w:t>, a reduction of 6</w:t>
      </w:r>
      <w:r w:rsidR="00124C0C" w:rsidRPr="00381D15">
        <w:rPr>
          <w:color w:val="000000" w:themeColor="text1"/>
          <w:sz w:val="16"/>
          <w:szCs w:val="16"/>
        </w:rPr>
        <w:t>1</w:t>
      </w:r>
      <w:r w:rsidRPr="00381D15">
        <w:rPr>
          <w:color w:val="000000" w:themeColor="text1"/>
          <w:sz w:val="16"/>
          <w:szCs w:val="16"/>
        </w:rPr>
        <w:t>%.</w:t>
      </w:r>
      <w:bookmarkStart w:id="50" w:name="_Industry_gross_value"/>
      <w:bookmarkStart w:id="51" w:name="_Gender_indicators"/>
      <w:bookmarkStart w:id="52" w:name="_Mining_and_energy"/>
      <w:bookmarkEnd w:id="50"/>
      <w:bookmarkEnd w:id="51"/>
      <w:bookmarkEnd w:id="52"/>
    </w:p>
    <w:p w14:paraId="3D8829F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r w:rsidRPr="008F7AA0">
        <w:rPr>
          <w:bCs/>
          <w:color w:val="004C3D"/>
          <w:sz w:val="24"/>
          <w:szCs w:val="24"/>
        </w:rPr>
        <w:lastRenderedPageBreak/>
        <w:t>Mining and energy industries</w:t>
      </w:r>
    </w:p>
    <w:p w14:paraId="2BBEFDF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5922A627" w14:textId="4188E383"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 xml:space="preserve">Global production share </w:t>
      </w:r>
      <w:r w:rsidR="00C31EF9" w:rsidRPr="005E7FCB">
        <w:rPr>
          <w:i w:val="0"/>
          <w:iCs w:val="0"/>
          <w:color w:val="00997A"/>
          <w:sz w:val="20"/>
          <w:szCs w:val="20"/>
        </w:rPr>
        <w:t xml:space="preserve">(percentage) </w:t>
      </w:r>
      <w:r w:rsidRPr="00ED7BE7">
        <w:rPr>
          <w:i w:val="0"/>
          <w:iCs w:val="0"/>
          <w:color w:val="00997A"/>
          <w:sz w:val="20"/>
          <w:szCs w:val="20"/>
        </w:rPr>
        <w:t xml:space="preserve">and </w:t>
      </w:r>
      <w:r w:rsidRPr="005E7FCB">
        <w:rPr>
          <w:i w:val="0"/>
          <w:iCs w:val="0"/>
          <w:color w:val="00997A"/>
          <w:sz w:val="20"/>
          <w:szCs w:val="20"/>
        </w:rPr>
        <w:t>ranking</w:t>
      </w:r>
      <w:r w:rsidRPr="00ED7BE7">
        <w:rPr>
          <w:i w:val="0"/>
          <w:iCs w:val="0"/>
          <w:color w:val="00997A"/>
          <w:sz w:val="20"/>
          <w:szCs w:val="20"/>
        </w:rPr>
        <w:t>: 2024</w:t>
      </w:r>
    </w:p>
    <w:tbl>
      <w:tblPr>
        <w:tblStyle w:val="GridTable4-Accent4"/>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21"/>
        <w:gridCol w:w="921"/>
        <w:gridCol w:w="921"/>
        <w:gridCol w:w="1064"/>
      </w:tblGrid>
      <w:tr w:rsidR="00233755" w:rsidRPr="001168DD" w14:paraId="7D32B945" w14:textId="77777777" w:rsidTr="00600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4C3D"/>
            <w:vAlign w:val="center"/>
          </w:tcPr>
          <w:p w14:paraId="214D1ECE" w14:textId="77777777" w:rsidR="00233755" w:rsidRPr="001168DD" w:rsidRDefault="00233755" w:rsidP="00C24386">
            <w:pPr>
              <w:rPr>
                <w:rFonts w:cstheme="minorHAnsi"/>
                <w:sz w:val="14"/>
                <w:szCs w:val="14"/>
              </w:rPr>
            </w:pPr>
            <w:r w:rsidRPr="001168DD">
              <w:rPr>
                <w:rFonts w:cstheme="minorHAnsi"/>
                <w:sz w:val="14"/>
                <w:szCs w:val="14"/>
              </w:rPr>
              <w:t>Commodity</w:t>
            </w:r>
          </w:p>
        </w:tc>
        <w:tc>
          <w:tcPr>
            <w:tcW w:w="921" w:type="dxa"/>
            <w:shd w:val="clear" w:color="auto" w:fill="004C3D"/>
            <w:vAlign w:val="center"/>
          </w:tcPr>
          <w:p w14:paraId="26A3893F" w14:textId="77777777" w:rsidR="00233755" w:rsidRPr="001168DD" w:rsidRDefault="00233755" w:rsidP="00C24386">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Pr>
                <w:rFonts w:cstheme="minorHAnsi"/>
                <w:sz w:val="14"/>
                <w:szCs w:val="14"/>
              </w:rPr>
              <w:t>A</w:t>
            </w:r>
          </w:p>
        </w:tc>
        <w:tc>
          <w:tcPr>
            <w:tcW w:w="921" w:type="dxa"/>
            <w:shd w:val="clear" w:color="auto" w:fill="004C3D"/>
            <w:vAlign w:val="center"/>
          </w:tcPr>
          <w:p w14:paraId="6AD50981" w14:textId="77777777" w:rsidR="00233755" w:rsidRPr="001168DD" w:rsidRDefault="00233755" w:rsidP="00C24386">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Australia</w:t>
            </w:r>
          </w:p>
        </w:tc>
        <w:tc>
          <w:tcPr>
            <w:tcW w:w="921" w:type="dxa"/>
            <w:shd w:val="clear" w:color="auto" w:fill="004C3D"/>
            <w:vAlign w:val="center"/>
          </w:tcPr>
          <w:p w14:paraId="09DA8EFB" w14:textId="77777777" w:rsidR="00233755" w:rsidRPr="001168DD" w:rsidRDefault="00233755" w:rsidP="00C24386">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World</w:t>
            </w:r>
          </w:p>
        </w:tc>
        <w:tc>
          <w:tcPr>
            <w:tcW w:w="1064" w:type="dxa"/>
            <w:shd w:val="clear" w:color="auto" w:fill="004C3D"/>
            <w:vAlign w:val="center"/>
          </w:tcPr>
          <w:p w14:paraId="20ABE311" w14:textId="77777777" w:rsidR="00233755" w:rsidRPr="001168DD" w:rsidRDefault="00233755" w:rsidP="00C24386">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WA’s global ranking</w:t>
            </w:r>
          </w:p>
        </w:tc>
      </w:tr>
      <w:tr w:rsidR="00233755" w:rsidRPr="001168DD" w14:paraId="6D68AB54"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1DFA91D1" w14:textId="77777777" w:rsidR="00233755" w:rsidRPr="00700D3D" w:rsidRDefault="00233755" w:rsidP="00C24386">
            <w:pPr>
              <w:rPr>
                <w:rFonts w:cstheme="minorHAnsi"/>
                <w:sz w:val="14"/>
                <w:szCs w:val="14"/>
              </w:rPr>
            </w:pPr>
            <w:r w:rsidRPr="00700D3D">
              <w:rPr>
                <w:rFonts w:cstheme="minorHAnsi"/>
                <w:sz w:val="14"/>
                <w:szCs w:val="14"/>
              </w:rPr>
              <w:t>Lithium</w:t>
            </w:r>
          </w:p>
        </w:tc>
        <w:tc>
          <w:tcPr>
            <w:tcW w:w="921" w:type="dxa"/>
            <w:shd w:val="clear" w:color="auto" w:fill="FFFFFF" w:themeFill="background1"/>
            <w:vAlign w:val="center"/>
          </w:tcPr>
          <w:p w14:paraId="30B8BB3F" w14:textId="3B8CFFAC"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41.5</w:t>
            </w:r>
          </w:p>
        </w:tc>
        <w:tc>
          <w:tcPr>
            <w:tcW w:w="921" w:type="dxa"/>
            <w:shd w:val="clear" w:color="auto" w:fill="FFFFFF" w:themeFill="background1"/>
            <w:vAlign w:val="center"/>
          </w:tcPr>
          <w:p w14:paraId="39F41BD4" w14:textId="39C5282C"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0.4</w:t>
            </w:r>
          </w:p>
        </w:tc>
        <w:tc>
          <w:tcPr>
            <w:tcW w:w="921" w:type="dxa"/>
            <w:shd w:val="clear" w:color="auto" w:fill="FFFFFF" w:themeFill="background1"/>
            <w:vAlign w:val="center"/>
          </w:tcPr>
          <w:p w14:paraId="64DC79D7" w14:textId="5F664F48"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58.1</w:t>
            </w:r>
          </w:p>
        </w:tc>
        <w:tc>
          <w:tcPr>
            <w:tcW w:w="1064" w:type="dxa"/>
            <w:shd w:val="clear" w:color="auto" w:fill="FFFFFF" w:themeFill="background1"/>
            <w:vAlign w:val="center"/>
          </w:tcPr>
          <w:p w14:paraId="793B2789"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233755" w:rsidRPr="001168DD" w14:paraId="18965D16" w14:textId="77777777" w:rsidTr="00494728">
        <w:tc>
          <w:tcPr>
            <w:cnfStyle w:val="001000000000" w:firstRow="0" w:lastRow="0" w:firstColumn="1" w:lastColumn="0" w:oddVBand="0" w:evenVBand="0" w:oddHBand="0" w:evenHBand="0" w:firstRowFirstColumn="0" w:firstRowLastColumn="0" w:lastRowFirstColumn="0" w:lastRowLastColumn="0"/>
            <w:tcW w:w="1526" w:type="dxa"/>
            <w:vAlign w:val="center"/>
          </w:tcPr>
          <w:p w14:paraId="63819965" w14:textId="77777777" w:rsidR="00233755" w:rsidRPr="00700D3D" w:rsidRDefault="00233755" w:rsidP="00C24386">
            <w:pPr>
              <w:rPr>
                <w:rFonts w:cstheme="minorHAnsi"/>
                <w:sz w:val="14"/>
                <w:szCs w:val="14"/>
              </w:rPr>
            </w:pPr>
            <w:r w:rsidRPr="00700D3D">
              <w:rPr>
                <w:rFonts w:cstheme="minorHAnsi"/>
                <w:sz w:val="14"/>
                <w:szCs w:val="14"/>
              </w:rPr>
              <w:t>Garnet</w:t>
            </w:r>
          </w:p>
        </w:tc>
        <w:tc>
          <w:tcPr>
            <w:tcW w:w="921" w:type="dxa"/>
            <w:vAlign w:val="center"/>
          </w:tcPr>
          <w:p w14:paraId="7DE69679" w14:textId="2B3948CB"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37.1</w:t>
            </w:r>
          </w:p>
        </w:tc>
        <w:tc>
          <w:tcPr>
            <w:tcW w:w="921" w:type="dxa"/>
            <w:vAlign w:val="center"/>
          </w:tcPr>
          <w:p w14:paraId="1227978C" w14:textId="5BA2E0F2"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0.0</w:t>
            </w:r>
          </w:p>
        </w:tc>
        <w:tc>
          <w:tcPr>
            <w:tcW w:w="921" w:type="dxa"/>
            <w:vAlign w:val="center"/>
          </w:tcPr>
          <w:p w14:paraId="13ED8571" w14:textId="72FC64C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62.9</w:t>
            </w:r>
          </w:p>
        </w:tc>
        <w:tc>
          <w:tcPr>
            <w:tcW w:w="1064" w:type="dxa"/>
            <w:vAlign w:val="center"/>
          </w:tcPr>
          <w:p w14:paraId="1A2500A4"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233755" w:rsidRPr="001168DD" w14:paraId="18560607"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5B7DCFBC" w14:textId="77777777" w:rsidR="00233755" w:rsidRPr="00700D3D" w:rsidRDefault="00233755" w:rsidP="00C24386">
            <w:pPr>
              <w:rPr>
                <w:rFonts w:cstheme="minorHAnsi"/>
                <w:sz w:val="14"/>
                <w:szCs w:val="14"/>
              </w:rPr>
            </w:pPr>
            <w:r w:rsidRPr="00700D3D">
              <w:rPr>
                <w:rFonts w:cstheme="minorHAnsi"/>
                <w:sz w:val="14"/>
                <w:szCs w:val="14"/>
              </w:rPr>
              <w:t>Iron ore</w:t>
            </w:r>
          </w:p>
        </w:tc>
        <w:tc>
          <w:tcPr>
            <w:tcW w:w="921" w:type="dxa"/>
            <w:shd w:val="clear" w:color="auto" w:fill="FFFFFF" w:themeFill="background1"/>
            <w:vAlign w:val="center"/>
          </w:tcPr>
          <w:p w14:paraId="049748BA" w14:textId="4FAA6F62"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35.6</w:t>
            </w:r>
          </w:p>
        </w:tc>
        <w:tc>
          <w:tcPr>
            <w:tcW w:w="921" w:type="dxa"/>
            <w:shd w:val="clear" w:color="auto" w:fill="FFFFFF" w:themeFill="background1"/>
            <w:vAlign w:val="center"/>
          </w:tcPr>
          <w:p w14:paraId="3ACDAA7D" w14:textId="129C9043"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0.4</w:t>
            </w:r>
          </w:p>
        </w:tc>
        <w:tc>
          <w:tcPr>
            <w:tcW w:w="921" w:type="dxa"/>
            <w:shd w:val="clear" w:color="auto" w:fill="FFFFFF" w:themeFill="background1"/>
            <w:vAlign w:val="center"/>
          </w:tcPr>
          <w:p w14:paraId="7F12499C" w14:textId="57B32E83"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64.0</w:t>
            </w:r>
          </w:p>
        </w:tc>
        <w:tc>
          <w:tcPr>
            <w:tcW w:w="1064" w:type="dxa"/>
            <w:shd w:val="clear" w:color="auto" w:fill="FFFFFF" w:themeFill="background1"/>
            <w:vAlign w:val="center"/>
          </w:tcPr>
          <w:p w14:paraId="7B9EDB75"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233755" w:rsidRPr="001168DD" w14:paraId="5DCC8760"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3731EB06" w14:textId="77777777" w:rsidR="00233755" w:rsidRPr="00700D3D" w:rsidRDefault="00233755" w:rsidP="00C24386">
            <w:pPr>
              <w:rPr>
                <w:rFonts w:cstheme="minorHAnsi"/>
                <w:sz w:val="14"/>
                <w:szCs w:val="14"/>
              </w:rPr>
            </w:pPr>
            <w:r w:rsidRPr="00700D3D">
              <w:rPr>
                <w:rFonts w:cstheme="minorHAnsi"/>
                <w:sz w:val="14"/>
                <w:szCs w:val="14"/>
              </w:rPr>
              <w:t>Rutile</w:t>
            </w:r>
          </w:p>
        </w:tc>
        <w:tc>
          <w:tcPr>
            <w:tcW w:w="921" w:type="dxa"/>
            <w:vAlign w:val="center"/>
          </w:tcPr>
          <w:p w14:paraId="11120CAA" w14:textId="587FE20F"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27.8</w:t>
            </w:r>
          </w:p>
        </w:tc>
        <w:tc>
          <w:tcPr>
            <w:tcW w:w="921" w:type="dxa"/>
            <w:vAlign w:val="bottom"/>
          </w:tcPr>
          <w:p w14:paraId="7C7C942B" w14:textId="1B5726D8"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15.7</w:t>
            </w:r>
          </w:p>
        </w:tc>
        <w:tc>
          <w:tcPr>
            <w:tcW w:w="921" w:type="dxa"/>
            <w:vAlign w:val="bottom"/>
          </w:tcPr>
          <w:p w14:paraId="524D4196" w14:textId="100C3A20"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56.4</w:t>
            </w:r>
          </w:p>
        </w:tc>
        <w:tc>
          <w:tcPr>
            <w:tcW w:w="1064" w:type="dxa"/>
            <w:vAlign w:val="bottom"/>
          </w:tcPr>
          <w:p w14:paraId="78D9FD04"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233755" w:rsidRPr="001168DD" w14:paraId="1B241A3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7250B6" w14:textId="77777777" w:rsidR="00233755" w:rsidRPr="00700D3D" w:rsidRDefault="00233755" w:rsidP="00C24386">
            <w:pPr>
              <w:rPr>
                <w:rFonts w:cstheme="minorHAnsi"/>
                <w:sz w:val="14"/>
                <w:szCs w:val="14"/>
              </w:rPr>
            </w:pPr>
            <w:r w:rsidRPr="00700D3D">
              <w:rPr>
                <w:rFonts w:cstheme="minorHAnsi"/>
                <w:sz w:val="14"/>
                <w:szCs w:val="14"/>
              </w:rPr>
              <w:t>LNG</w:t>
            </w:r>
          </w:p>
        </w:tc>
        <w:tc>
          <w:tcPr>
            <w:tcW w:w="921" w:type="dxa"/>
            <w:vAlign w:val="center"/>
          </w:tcPr>
          <w:p w14:paraId="5E8EF9A2" w14:textId="3D104306"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11.9</w:t>
            </w:r>
          </w:p>
        </w:tc>
        <w:tc>
          <w:tcPr>
            <w:tcW w:w="921" w:type="dxa"/>
            <w:vAlign w:val="bottom"/>
          </w:tcPr>
          <w:p w14:paraId="2E0B9970" w14:textId="7979F166"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8.1</w:t>
            </w:r>
          </w:p>
        </w:tc>
        <w:tc>
          <w:tcPr>
            <w:tcW w:w="921" w:type="dxa"/>
            <w:vAlign w:val="bottom"/>
          </w:tcPr>
          <w:p w14:paraId="0E0A3282" w14:textId="401E8BA2"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80.0</w:t>
            </w:r>
          </w:p>
        </w:tc>
        <w:tc>
          <w:tcPr>
            <w:tcW w:w="1064" w:type="dxa"/>
            <w:vAlign w:val="bottom"/>
          </w:tcPr>
          <w:p w14:paraId="38407061"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233755" w:rsidRPr="001168DD" w14:paraId="27F6339E"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30DCBA7" w14:textId="77777777" w:rsidR="00233755" w:rsidRPr="00700D3D" w:rsidRDefault="00233755" w:rsidP="00C24386">
            <w:pPr>
              <w:rPr>
                <w:rFonts w:cstheme="minorHAnsi"/>
                <w:sz w:val="14"/>
                <w:szCs w:val="14"/>
              </w:rPr>
            </w:pPr>
            <w:r w:rsidRPr="00700D3D">
              <w:rPr>
                <w:rFonts w:cstheme="minorHAnsi"/>
                <w:sz w:val="14"/>
                <w:szCs w:val="14"/>
              </w:rPr>
              <w:t>Zircon</w:t>
            </w:r>
          </w:p>
        </w:tc>
        <w:tc>
          <w:tcPr>
            <w:tcW w:w="921" w:type="dxa"/>
            <w:vAlign w:val="bottom"/>
          </w:tcPr>
          <w:p w14:paraId="534A9730" w14:textId="33E81466"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11.5</w:t>
            </w:r>
          </w:p>
        </w:tc>
        <w:tc>
          <w:tcPr>
            <w:tcW w:w="921" w:type="dxa"/>
            <w:vAlign w:val="bottom"/>
          </w:tcPr>
          <w:p w14:paraId="6F96FE40" w14:textId="562EDA74"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22.0</w:t>
            </w:r>
          </w:p>
        </w:tc>
        <w:tc>
          <w:tcPr>
            <w:tcW w:w="921" w:type="dxa"/>
            <w:vAlign w:val="bottom"/>
          </w:tcPr>
          <w:p w14:paraId="0EA4DA15" w14:textId="6EDF8D8E"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66.6</w:t>
            </w:r>
          </w:p>
        </w:tc>
        <w:tc>
          <w:tcPr>
            <w:tcW w:w="1064" w:type="dxa"/>
            <w:vAlign w:val="bottom"/>
          </w:tcPr>
          <w:p w14:paraId="654F22C8"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233755" w:rsidRPr="001168DD" w14:paraId="15B2DF6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B26E986" w14:textId="77777777" w:rsidR="00233755" w:rsidRPr="00700D3D" w:rsidRDefault="00233755" w:rsidP="00C24386">
            <w:pPr>
              <w:rPr>
                <w:rFonts w:cstheme="minorHAnsi"/>
                <w:sz w:val="14"/>
                <w:szCs w:val="14"/>
              </w:rPr>
            </w:pPr>
            <w:r w:rsidRPr="00700D3D">
              <w:rPr>
                <w:rFonts w:cstheme="minorHAnsi"/>
                <w:sz w:val="14"/>
                <w:szCs w:val="14"/>
              </w:rPr>
              <w:t>Alumina</w:t>
            </w:r>
          </w:p>
        </w:tc>
        <w:tc>
          <w:tcPr>
            <w:tcW w:w="921" w:type="dxa"/>
            <w:vAlign w:val="bottom"/>
          </w:tcPr>
          <w:p w14:paraId="0ED98B34" w14:textId="69635103"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8.1</w:t>
            </w:r>
          </w:p>
        </w:tc>
        <w:tc>
          <w:tcPr>
            <w:tcW w:w="921" w:type="dxa"/>
            <w:vAlign w:val="bottom"/>
          </w:tcPr>
          <w:p w14:paraId="4ABE1558" w14:textId="5E7F6C7B"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4.0</w:t>
            </w:r>
          </w:p>
        </w:tc>
        <w:tc>
          <w:tcPr>
            <w:tcW w:w="921" w:type="dxa"/>
            <w:vAlign w:val="bottom"/>
          </w:tcPr>
          <w:p w14:paraId="7945A76F" w14:textId="11467A46"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87.9</w:t>
            </w:r>
          </w:p>
        </w:tc>
        <w:tc>
          <w:tcPr>
            <w:tcW w:w="1064" w:type="dxa"/>
            <w:vAlign w:val="bottom"/>
          </w:tcPr>
          <w:p w14:paraId="00353EB2"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w:t>
            </w:r>
          </w:p>
        </w:tc>
      </w:tr>
      <w:tr w:rsidR="00233755" w:rsidRPr="001168DD" w14:paraId="57AB3CD5"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311065" w14:textId="77777777" w:rsidR="00233755" w:rsidRPr="00700D3D" w:rsidRDefault="00233755" w:rsidP="00C24386">
            <w:pPr>
              <w:rPr>
                <w:rFonts w:cstheme="minorHAnsi"/>
                <w:sz w:val="14"/>
                <w:szCs w:val="14"/>
              </w:rPr>
            </w:pPr>
            <w:r w:rsidRPr="00700D3D">
              <w:rPr>
                <w:rFonts w:cstheme="minorHAnsi"/>
                <w:sz w:val="14"/>
                <w:szCs w:val="14"/>
              </w:rPr>
              <w:t>Rare earth oxides</w:t>
            </w:r>
          </w:p>
        </w:tc>
        <w:tc>
          <w:tcPr>
            <w:tcW w:w="921" w:type="dxa"/>
            <w:vAlign w:val="bottom"/>
          </w:tcPr>
          <w:p w14:paraId="174EA75A" w14:textId="2227D6A1"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7.6</w:t>
            </w:r>
          </w:p>
        </w:tc>
        <w:tc>
          <w:tcPr>
            <w:tcW w:w="921" w:type="dxa"/>
            <w:vAlign w:val="bottom"/>
          </w:tcPr>
          <w:p w14:paraId="3F76D742" w14:textId="59718A71"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0.0</w:t>
            </w:r>
          </w:p>
        </w:tc>
        <w:tc>
          <w:tcPr>
            <w:tcW w:w="921" w:type="dxa"/>
            <w:vAlign w:val="bottom"/>
          </w:tcPr>
          <w:p w14:paraId="4D2CC76A" w14:textId="57CD824E"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92.4</w:t>
            </w:r>
          </w:p>
        </w:tc>
        <w:tc>
          <w:tcPr>
            <w:tcW w:w="1064" w:type="dxa"/>
            <w:vAlign w:val="bottom"/>
          </w:tcPr>
          <w:p w14:paraId="49EB01A7"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233755" w:rsidRPr="001168DD" w14:paraId="1654F42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F499710" w14:textId="77777777" w:rsidR="00233755" w:rsidRPr="00700D3D" w:rsidRDefault="00233755" w:rsidP="00C24386">
            <w:pPr>
              <w:rPr>
                <w:rFonts w:cstheme="minorHAnsi"/>
                <w:sz w:val="14"/>
                <w:szCs w:val="14"/>
              </w:rPr>
            </w:pPr>
            <w:r w:rsidRPr="00700D3D">
              <w:rPr>
                <w:rFonts w:cstheme="minorHAnsi"/>
                <w:sz w:val="14"/>
                <w:szCs w:val="14"/>
              </w:rPr>
              <w:t>Gold</w:t>
            </w:r>
          </w:p>
        </w:tc>
        <w:tc>
          <w:tcPr>
            <w:tcW w:w="921" w:type="dxa"/>
            <w:vAlign w:val="bottom"/>
          </w:tcPr>
          <w:p w14:paraId="253518EE" w14:textId="6D619F99"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6.3</w:t>
            </w:r>
          </w:p>
        </w:tc>
        <w:tc>
          <w:tcPr>
            <w:tcW w:w="921" w:type="dxa"/>
            <w:vAlign w:val="bottom"/>
          </w:tcPr>
          <w:p w14:paraId="010A2D52" w14:textId="73D8F022"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2.5</w:t>
            </w:r>
          </w:p>
        </w:tc>
        <w:tc>
          <w:tcPr>
            <w:tcW w:w="921" w:type="dxa"/>
            <w:vAlign w:val="bottom"/>
          </w:tcPr>
          <w:p w14:paraId="7E794182" w14:textId="020CD0FE"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91.3</w:t>
            </w:r>
          </w:p>
        </w:tc>
        <w:tc>
          <w:tcPr>
            <w:tcW w:w="1064" w:type="dxa"/>
            <w:vAlign w:val="bottom"/>
          </w:tcPr>
          <w:p w14:paraId="0CD30434"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233755" w:rsidRPr="001168DD" w14:paraId="3BD31748"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427CEB7" w14:textId="77777777" w:rsidR="00233755" w:rsidRPr="00700D3D" w:rsidRDefault="00233755" w:rsidP="00C24386">
            <w:pPr>
              <w:rPr>
                <w:rFonts w:cstheme="minorHAnsi"/>
                <w:sz w:val="14"/>
                <w:szCs w:val="14"/>
              </w:rPr>
            </w:pPr>
            <w:r w:rsidRPr="00700D3D">
              <w:rPr>
                <w:rFonts w:cstheme="minorHAnsi"/>
                <w:sz w:val="14"/>
                <w:szCs w:val="14"/>
              </w:rPr>
              <w:t>Salt</w:t>
            </w:r>
          </w:p>
        </w:tc>
        <w:tc>
          <w:tcPr>
            <w:tcW w:w="921" w:type="dxa"/>
            <w:vAlign w:val="bottom"/>
          </w:tcPr>
          <w:p w14:paraId="16322C0F" w14:textId="5534AADD"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3.6</w:t>
            </w:r>
          </w:p>
        </w:tc>
        <w:tc>
          <w:tcPr>
            <w:tcW w:w="921" w:type="dxa"/>
            <w:vAlign w:val="bottom"/>
          </w:tcPr>
          <w:p w14:paraId="1DD0EC4E" w14:textId="64813572"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0.3</w:t>
            </w:r>
          </w:p>
        </w:tc>
        <w:tc>
          <w:tcPr>
            <w:tcW w:w="921" w:type="dxa"/>
            <w:vAlign w:val="bottom"/>
          </w:tcPr>
          <w:p w14:paraId="7306304B" w14:textId="40BA4DE8"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96.1</w:t>
            </w:r>
          </w:p>
        </w:tc>
        <w:tc>
          <w:tcPr>
            <w:tcW w:w="1064" w:type="dxa"/>
            <w:vAlign w:val="bottom"/>
          </w:tcPr>
          <w:p w14:paraId="4F77A3C8"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w:t>
            </w:r>
          </w:p>
        </w:tc>
      </w:tr>
      <w:tr w:rsidR="00233755" w:rsidRPr="001168DD" w14:paraId="150B4239"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C310704" w14:textId="77777777" w:rsidR="00233755" w:rsidRPr="00700D3D" w:rsidRDefault="00233755" w:rsidP="00C24386">
            <w:pPr>
              <w:rPr>
                <w:rFonts w:cstheme="minorHAnsi"/>
                <w:sz w:val="14"/>
                <w:szCs w:val="14"/>
              </w:rPr>
            </w:pPr>
            <w:r w:rsidRPr="00700D3D">
              <w:rPr>
                <w:rFonts w:cstheme="minorHAnsi"/>
                <w:sz w:val="14"/>
                <w:szCs w:val="14"/>
              </w:rPr>
              <w:t xml:space="preserve">Nickel </w:t>
            </w:r>
          </w:p>
        </w:tc>
        <w:tc>
          <w:tcPr>
            <w:tcW w:w="921" w:type="dxa"/>
            <w:vAlign w:val="bottom"/>
          </w:tcPr>
          <w:p w14:paraId="6FE6E078" w14:textId="608BCAE8"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3.5</w:t>
            </w:r>
          </w:p>
        </w:tc>
        <w:tc>
          <w:tcPr>
            <w:tcW w:w="921" w:type="dxa"/>
            <w:vAlign w:val="bottom"/>
          </w:tcPr>
          <w:p w14:paraId="073E4865" w14:textId="4BEC423C"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0.0</w:t>
            </w:r>
          </w:p>
        </w:tc>
        <w:tc>
          <w:tcPr>
            <w:tcW w:w="921" w:type="dxa"/>
            <w:vAlign w:val="bottom"/>
          </w:tcPr>
          <w:p w14:paraId="7B6BF446" w14:textId="464B8883"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96.5</w:t>
            </w:r>
          </w:p>
        </w:tc>
        <w:tc>
          <w:tcPr>
            <w:tcW w:w="1064" w:type="dxa"/>
            <w:vAlign w:val="bottom"/>
          </w:tcPr>
          <w:p w14:paraId="77871A5C"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5</w:t>
            </w:r>
          </w:p>
        </w:tc>
      </w:tr>
      <w:tr w:rsidR="00233755" w:rsidRPr="001168DD" w14:paraId="729ECBC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6BF82F7D" w14:textId="77777777" w:rsidR="00233755" w:rsidRPr="00700D3D" w:rsidRDefault="00233755" w:rsidP="00C24386">
            <w:pPr>
              <w:rPr>
                <w:rFonts w:cstheme="minorHAnsi"/>
                <w:sz w:val="14"/>
                <w:szCs w:val="14"/>
              </w:rPr>
            </w:pPr>
            <w:r w:rsidRPr="00700D3D">
              <w:rPr>
                <w:rFonts w:cstheme="minorHAnsi"/>
                <w:sz w:val="14"/>
                <w:szCs w:val="14"/>
              </w:rPr>
              <w:t>Manganese</w:t>
            </w:r>
          </w:p>
        </w:tc>
        <w:tc>
          <w:tcPr>
            <w:tcW w:w="921" w:type="dxa"/>
            <w:vAlign w:val="bottom"/>
          </w:tcPr>
          <w:p w14:paraId="2B42C3C0" w14:textId="6DF41253"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2.9</w:t>
            </w:r>
          </w:p>
        </w:tc>
        <w:tc>
          <w:tcPr>
            <w:tcW w:w="921" w:type="dxa"/>
            <w:vAlign w:val="bottom"/>
          </w:tcPr>
          <w:p w14:paraId="3B5C619C" w14:textId="41B5E03F"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13.7</w:t>
            </w:r>
          </w:p>
        </w:tc>
        <w:tc>
          <w:tcPr>
            <w:tcW w:w="921" w:type="dxa"/>
            <w:vAlign w:val="bottom"/>
          </w:tcPr>
          <w:p w14:paraId="621974BD" w14:textId="5AC0E22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83.4</w:t>
            </w:r>
          </w:p>
        </w:tc>
        <w:tc>
          <w:tcPr>
            <w:tcW w:w="1064" w:type="dxa"/>
            <w:vAlign w:val="bottom"/>
          </w:tcPr>
          <w:p w14:paraId="05A0530D"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7</w:t>
            </w:r>
          </w:p>
        </w:tc>
      </w:tr>
      <w:tr w:rsidR="00233755" w:rsidRPr="001168DD" w14:paraId="6430EA71"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0FC51A8" w14:textId="77777777" w:rsidR="00233755" w:rsidRPr="00700D3D" w:rsidRDefault="00233755" w:rsidP="00C24386">
            <w:pPr>
              <w:rPr>
                <w:rFonts w:cstheme="minorHAnsi"/>
                <w:sz w:val="14"/>
                <w:szCs w:val="14"/>
              </w:rPr>
            </w:pPr>
            <w:r w:rsidRPr="00700D3D">
              <w:rPr>
                <w:rFonts w:cstheme="minorHAnsi"/>
                <w:sz w:val="14"/>
                <w:szCs w:val="14"/>
              </w:rPr>
              <w:t>Illmenite</w:t>
            </w:r>
            <w:r w:rsidRPr="00700D3D">
              <w:rPr>
                <w:rFonts w:cstheme="minorHAnsi"/>
                <w:sz w:val="14"/>
                <w:szCs w:val="14"/>
                <w:vertAlign w:val="superscript"/>
              </w:rPr>
              <w:t>1</w:t>
            </w:r>
          </w:p>
        </w:tc>
        <w:tc>
          <w:tcPr>
            <w:tcW w:w="921" w:type="dxa"/>
            <w:vAlign w:val="bottom"/>
          </w:tcPr>
          <w:p w14:paraId="7AD57511" w14:textId="476FF782"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1.7</w:t>
            </w:r>
          </w:p>
        </w:tc>
        <w:tc>
          <w:tcPr>
            <w:tcW w:w="921" w:type="dxa"/>
            <w:vAlign w:val="bottom"/>
          </w:tcPr>
          <w:p w14:paraId="69F9019D" w14:textId="7968B2AA"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2.8</w:t>
            </w:r>
          </w:p>
        </w:tc>
        <w:tc>
          <w:tcPr>
            <w:tcW w:w="921" w:type="dxa"/>
            <w:vAlign w:val="bottom"/>
          </w:tcPr>
          <w:p w14:paraId="10BFC85E" w14:textId="34B0E6D5"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95.5</w:t>
            </w:r>
          </w:p>
        </w:tc>
        <w:tc>
          <w:tcPr>
            <w:tcW w:w="1064" w:type="dxa"/>
            <w:vAlign w:val="bottom"/>
          </w:tcPr>
          <w:p w14:paraId="287679F1"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10</w:t>
            </w:r>
          </w:p>
        </w:tc>
      </w:tr>
      <w:tr w:rsidR="00233755" w:rsidRPr="001168DD" w14:paraId="3483D9FF"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39ECD5D" w14:textId="77777777" w:rsidR="00233755" w:rsidRPr="00700D3D" w:rsidRDefault="00233755" w:rsidP="00C24386">
            <w:pPr>
              <w:rPr>
                <w:rFonts w:cstheme="minorHAnsi"/>
                <w:sz w:val="14"/>
                <w:szCs w:val="14"/>
              </w:rPr>
            </w:pPr>
            <w:r w:rsidRPr="00700D3D">
              <w:rPr>
                <w:rFonts w:cstheme="minorHAnsi"/>
                <w:sz w:val="14"/>
                <w:szCs w:val="14"/>
              </w:rPr>
              <w:t>Cobalt</w:t>
            </w:r>
          </w:p>
        </w:tc>
        <w:tc>
          <w:tcPr>
            <w:tcW w:w="921" w:type="dxa"/>
            <w:vAlign w:val="bottom"/>
          </w:tcPr>
          <w:p w14:paraId="3E393A3C" w14:textId="2D770BB9"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1.7</w:t>
            </w:r>
          </w:p>
        </w:tc>
        <w:tc>
          <w:tcPr>
            <w:tcW w:w="921" w:type="dxa"/>
            <w:vAlign w:val="bottom"/>
          </w:tcPr>
          <w:p w14:paraId="347BD448" w14:textId="409B2589"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0.0</w:t>
            </w:r>
          </w:p>
        </w:tc>
        <w:tc>
          <w:tcPr>
            <w:tcW w:w="921" w:type="dxa"/>
            <w:vAlign w:val="bottom"/>
          </w:tcPr>
          <w:p w14:paraId="0D8BA8BF" w14:textId="01944C1B"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98.4</w:t>
            </w:r>
          </w:p>
        </w:tc>
        <w:tc>
          <w:tcPr>
            <w:tcW w:w="1064" w:type="dxa"/>
            <w:vAlign w:val="bottom"/>
          </w:tcPr>
          <w:p w14:paraId="41D57204"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4</w:t>
            </w:r>
          </w:p>
        </w:tc>
      </w:tr>
      <w:tr w:rsidR="00233755" w:rsidRPr="001168DD" w14:paraId="04E68DC7"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14EDD9C" w14:textId="77777777" w:rsidR="00233755" w:rsidRPr="00700D3D" w:rsidRDefault="00233755" w:rsidP="00C24386">
            <w:pPr>
              <w:rPr>
                <w:rFonts w:cstheme="minorHAnsi"/>
                <w:sz w:val="14"/>
                <w:szCs w:val="14"/>
              </w:rPr>
            </w:pPr>
            <w:r w:rsidRPr="00700D3D">
              <w:rPr>
                <w:rFonts w:cstheme="minorHAnsi"/>
                <w:sz w:val="14"/>
                <w:szCs w:val="14"/>
              </w:rPr>
              <w:t>Lead</w:t>
            </w:r>
          </w:p>
        </w:tc>
        <w:tc>
          <w:tcPr>
            <w:tcW w:w="921" w:type="dxa"/>
            <w:vAlign w:val="bottom"/>
          </w:tcPr>
          <w:p w14:paraId="09987893" w14:textId="4B097559"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1.3</w:t>
            </w:r>
          </w:p>
        </w:tc>
        <w:tc>
          <w:tcPr>
            <w:tcW w:w="921" w:type="dxa"/>
            <w:vAlign w:val="bottom"/>
          </w:tcPr>
          <w:p w14:paraId="39565D25" w14:textId="1AFBC353"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9.7</w:t>
            </w:r>
          </w:p>
        </w:tc>
        <w:tc>
          <w:tcPr>
            <w:tcW w:w="921" w:type="dxa"/>
            <w:vAlign w:val="bottom"/>
          </w:tcPr>
          <w:p w14:paraId="414021B1" w14:textId="3138494E"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89.0</w:t>
            </w:r>
          </w:p>
        </w:tc>
        <w:tc>
          <w:tcPr>
            <w:tcW w:w="1064" w:type="dxa"/>
            <w:vAlign w:val="bottom"/>
          </w:tcPr>
          <w:p w14:paraId="5459678E"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12</w:t>
            </w:r>
          </w:p>
        </w:tc>
      </w:tr>
      <w:tr w:rsidR="00233755" w:rsidRPr="001168DD" w14:paraId="7085D1A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1BD9C0F2" w14:textId="77777777" w:rsidR="00233755" w:rsidRPr="00700D3D" w:rsidRDefault="00233755" w:rsidP="00C24386">
            <w:pPr>
              <w:rPr>
                <w:rFonts w:cstheme="minorHAnsi"/>
                <w:sz w:val="14"/>
                <w:szCs w:val="14"/>
              </w:rPr>
            </w:pPr>
            <w:r w:rsidRPr="00700D3D">
              <w:rPr>
                <w:rFonts w:cstheme="minorHAnsi"/>
                <w:sz w:val="14"/>
                <w:szCs w:val="14"/>
              </w:rPr>
              <w:t>Zinc</w:t>
            </w:r>
          </w:p>
        </w:tc>
        <w:tc>
          <w:tcPr>
            <w:tcW w:w="921" w:type="dxa"/>
            <w:vAlign w:val="bottom"/>
          </w:tcPr>
          <w:p w14:paraId="0BCBB97E" w14:textId="44E7B990"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0.5</w:t>
            </w:r>
          </w:p>
        </w:tc>
        <w:tc>
          <w:tcPr>
            <w:tcW w:w="921" w:type="dxa"/>
            <w:vAlign w:val="bottom"/>
          </w:tcPr>
          <w:p w14:paraId="2197C562" w14:textId="478116BA"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8.8</w:t>
            </w:r>
          </w:p>
        </w:tc>
        <w:tc>
          <w:tcPr>
            <w:tcW w:w="921" w:type="dxa"/>
            <w:vAlign w:val="bottom"/>
          </w:tcPr>
          <w:p w14:paraId="567BF354" w14:textId="5760F03B"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90.8</w:t>
            </w:r>
          </w:p>
        </w:tc>
        <w:tc>
          <w:tcPr>
            <w:tcW w:w="1064" w:type="dxa"/>
            <w:vAlign w:val="bottom"/>
          </w:tcPr>
          <w:p w14:paraId="6C32B63A"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&gt;11</w:t>
            </w:r>
          </w:p>
        </w:tc>
      </w:tr>
      <w:tr w:rsidR="00233755" w:rsidRPr="001168DD" w14:paraId="0A4A454E"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8C97E09" w14:textId="77777777" w:rsidR="00233755" w:rsidRPr="00700D3D" w:rsidRDefault="00233755" w:rsidP="00C24386">
            <w:pPr>
              <w:rPr>
                <w:rFonts w:cstheme="minorHAnsi"/>
                <w:sz w:val="14"/>
                <w:szCs w:val="14"/>
              </w:rPr>
            </w:pPr>
            <w:r w:rsidRPr="00700D3D">
              <w:rPr>
                <w:rFonts w:cstheme="minorHAnsi"/>
                <w:sz w:val="14"/>
                <w:szCs w:val="14"/>
              </w:rPr>
              <w:t>Copper</w:t>
            </w:r>
          </w:p>
        </w:tc>
        <w:tc>
          <w:tcPr>
            <w:tcW w:w="921" w:type="dxa"/>
            <w:vAlign w:val="bottom"/>
          </w:tcPr>
          <w:p w14:paraId="44F51548" w14:textId="08C6A82D"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0.3</w:t>
            </w:r>
          </w:p>
        </w:tc>
        <w:tc>
          <w:tcPr>
            <w:tcW w:w="921" w:type="dxa"/>
            <w:vAlign w:val="bottom"/>
          </w:tcPr>
          <w:p w14:paraId="093E4839" w14:textId="3E51B3AA"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3.1</w:t>
            </w:r>
          </w:p>
        </w:tc>
        <w:tc>
          <w:tcPr>
            <w:tcW w:w="921" w:type="dxa"/>
            <w:vAlign w:val="bottom"/>
          </w:tcPr>
          <w:p w14:paraId="356556C0" w14:textId="3CECE3EF"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96.6</w:t>
            </w:r>
          </w:p>
        </w:tc>
        <w:tc>
          <w:tcPr>
            <w:tcW w:w="1064" w:type="dxa"/>
            <w:vAlign w:val="bottom"/>
          </w:tcPr>
          <w:p w14:paraId="0BBDC564"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&gt;13</w:t>
            </w:r>
          </w:p>
        </w:tc>
      </w:tr>
    </w:tbl>
    <w:p w14:paraId="5E5168BF" w14:textId="0D592E2A" w:rsidR="00233755" w:rsidRPr="00AF759E" w:rsidRDefault="003A3A20" w:rsidP="003C6DDF">
      <w:pPr>
        <w:spacing w:line="240" w:lineRule="auto"/>
        <w:jc w:val="both"/>
        <w:rPr>
          <w:sz w:val="10"/>
          <w:szCs w:val="10"/>
        </w:rPr>
      </w:pPr>
      <w:r>
        <w:rPr>
          <w:sz w:val="10"/>
          <w:szCs w:val="10"/>
        </w:rPr>
        <w:br/>
      </w:r>
      <w:r w:rsidR="00233755" w:rsidRPr="00207459">
        <w:rPr>
          <w:sz w:val="10"/>
          <w:szCs w:val="10"/>
        </w:rPr>
        <w:t xml:space="preserve">Note – </w:t>
      </w:r>
      <w:r w:rsidR="00233755" w:rsidRPr="00AF759E">
        <w:rPr>
          <w:sz w:val="10"/>
          <w:szCs w:val="10"/>
        </w:rPr>
        <w:t xml:space="preserve">Mt = </w:t>
      </w:r>
      <w:r w:rsidR="00233755">
        <w:rPr>
          <w:sz w:val="10"/>
          <w:szCs w:val="10"/>
        </w:rPr>
        <w:t>m</w:t>
      </w:r>
      <w:r w:rsidR="00233755" w:rsidRPr="00AF759E">
        <w:rPr>
          <w:sz w:val="10"/>
          <w:szCs w:val="10"/>
        </w:rPr>
        <w:t xml:space="preserve">illion tonnes. Kt = </w:t>
      </w:r>
      <w:r w:rsidR="00233755">
        <w:rPr>
          <w:sz w:val="10"/>
          <w:szCs w:val="10"/>
        </w:rPr>
        <w:t>t</w:t>
      </w:r>
      <w:r w:rsidR="00233755" w:rsidRPr="00AF759E">
        <w:rPr>
          <w:sz w:val="10"/>
          <w:szCs w:val="10"/>
        </w:rPr>
        <w:t xml:space="preserve">housand tonnes. t = tonnes. </w:t>
      </w:r>
      <w:proofErr w:type="spellStart"/>
      <w:r w:rsidR="00233755" w:rsidRPr="00AF759E">
        <w:rPr>
          <w:sz w:val="10"/>
          <w:szCs w:val="10"/>
        </w:rPr>
        <w:t>Mct</w:t>
      </w:r>
      <w:proofErr w:type="spellEnd"/>
      <w:r w:rsidR="00233755" w:rsidRPr="00AF759E">
        <w:rPr>
          <w:sz w:val="10"/>
          <w:szCs w:val="10"/>
        </w:rPr>
        <w:t xml:space="preserve"> = </w:t>
      </w:r>
      <w:r w:rsidR="00233755">
        <w:rPr>
          <w:sz w:val="10"/>
          <w:szCs w:val="10"/>
        </w:rPr>
        <w:t>m</w:t>
      </w:r>
      <w:r w:rsidR="00233755" w:rsidRPr="00AF759E">
        <w:rPr>
          <w:sz w:val="10"/>
          <w:szCs w:val="10"/>
        </w:rPr>
        <w:t>illion carats. 1 Excludes ilmenite feedstock for synthetic rutile production.</w:t>
      </w:r>
      <w:r w:rsidR="00233755">
        <w:rPr>
          <w:sz w:val="10"/>
          <w:szCs w:val="10"/>
        </w:rPr>
        <w:t xml:space="preserve"> Sum of the shares of WA, Rest of Australia and Rest of World may not add to 100% due to rounding.</w:t>
      </w:r>
    </w:p>
    <w:p w14:paraId="742C560E" w14:textId="4F5A0749" w:rsidR="00233755" w:rsidRPr="005E7FCB" w:rsidRDefault="00233755" w:rsidP="003C6DDF">
      <w:pPr>
        <w:jc w:val="both"/>
        <w:rPr>
          <w:color w:val="000000" w:themeColor="text1"/>
          <w:sz w:val="10"/>
          <w:szCs w:val="10"/>
        </w:rPr>
      </w:pPr>
      <w:r w:rsidRPr="005E7FCB">
        <w:rPr>
          <w:color w:val="000000" w:themeColor="text1"/>
          <w:sz w:val="10"/>
          <w:szCs w:val="10"/>
        </w:rPr>
        <w:t xml:space="preserve">Source: WA Department of Mines, </w:t>
      </w:r>
      <w:r w:rsidR="006503FE" w:rsidRPr="005E7FCB">
        <w:rPr>
          <w:color w:val="000000" w:themeColor="text1"/>
          <w:sz w:val="10"/>
          <w:szCs w:val="10"/>
        </w:rPr>
        <w:t>Petroleum and Exploration</w:t>
      </w:r>
      <w:r w:rsidRPr="005E7FCB">
        <w:rPr>
          <w:color w:val="000000" w:themeColor="text1"/>
          <w:sz w:val="10"/>
          <w:szCs w:val="10"/>
        </w:rPr>
        <w:t>, Resource Data Files.</w:t>
      </w:r>
    </w:p>
    <w:p w14:paraId="63EE3BCA" w14:textId="77777777" w:rsidR="00233755" w:rsidRPr="003A230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3A2309">
        <w:rPr>
          <w:sz w:val="16"/>
          <w:szCs w:val="16"/>
        </w:rPr>
        <w:t>Western Australia is the main exporter of minerals and petroleum in Australia and accounts for a significant proportion of the world’s minerals and petroleum production.</w:t>
      </w:r>
    </w:p>
    <w:p w14:paraId="45789304" w14:textId="77777777" w:rsidR="00233755" w:rsidRPr="00AC7274" w:rsidRDefault="00233755" w:rsidP="006058E8">
      <w:pPr>
        <w:pStyle w:val="ListParagraph"/>
        <w:numPr>
          <w:ilvl w:val="0"/>
          <w:numId w:val="9"/>
        </w:numPr>
        <w:spacing w:before="40" w:after="40"/>
        <w:ind w:left="357" w:right="227" w:hanging="357"/>
        <w:contextualSpacing w:val="0"/>
        <w:jc w:val="both"/>
        <w:rPr>
          <w:sz w:val="16"/>
          <w:szCs w:val="16"/>
        </w:rPr>
      </w:pPr>
      <w:r w:rsidRPr="00AC7274">
        <w:rPr>
          <w:sz w:val="16"/>
          <w:szCs w:val="16"/>
        </w:rPr>
        <w:t>Western Australia had 138 higher-value, export-oriented mining projects in 2023-24, including:</w:t>
      </w:r>
    </w:p>
    <w:p w14:paraId="3DACEA1A" w14:textId="77777777" w:rsidR="00233755" w:rsidRPr="00AC7274" w:rsidRDefault="00233755" w:rsidP="006058E8">
      <w:pPr>
        <w:pStyle w:val="ListParagraph"/>
        <w:numPr>
          <w:ilvl w:val="0"/>
          <w:numId w:val="10"/>
        </w:numPr>
        <w:spacing w:before="40" w:after="40"/>
        <w:ind w:right="227" w:hanging="357"/>
        <w:jc w:val="both"/>
        <w:rPr>
          <w:sz w:val="16"/>
          <w:szCs w:val="16"/>
        </w:rPr>
      </w:pPr>
      <w:r w:rsidRPr="00AC7274">
        <w:rPr>
          <w:sz w:val="16"/>
          <w:szCs w:val="16"/>
        </w:rPr>
        <w:t xml:space="preserve">16 major mineral processing operations that transformed bauxite into alumina, gold </w:t>
      </w:r>
      <w:proofErr w:type="spellStart"/>
      <w:r w:rsidRPr="00AC7274">
        <w:rPr>
          <w:sz w:val="16"/>
          <w:szCs w:val="16"/>
        </w:rPr>
        <w:t>doré</w:t>
      </w:r>
      <w:proofErr w:type="spellEnd"/>
      <w:r w:rsidRPr="00AC7274">
        <w:rPr>
          <w:sz w:val="16"/>
          <w:szCs w:val="16"/>
        </w:rPr>
        <w:t xml:space="preserve"> into gold bars, nickel ore into nickel concentrate (through toll treatment) and nickel concentrate into nickel matte, nickel powder, nickel briquettes, and nickel sulphate; rutile and synthetic rutile into titanium dioxide pigment; zircon into fused zirconia; silica sand into silicon metal; spodumene concentrate into lithium hydroxide; and rare earth concentrate into rare earth carbonate.</w:t>
      </w:r>
    </w:p>
    <w:p w14:paraId="2D9DC5A2" w14:textId="77777777" w:rsidR="00233755" w:rsidRPr="00AC7274" w:rsidRDefault="00233755" w:rsidP="006058E8">
      <w:pPr>
        <w:pStyle w:val="ListParagraph"/>
        <w:numPr>
          <w:ilvl w:val="0"/>
          <w:numId w:val="10"/>
        </w:numPr>
        <w:spacing w:before="40" w:after="40"/>
        <w:ind w:right="227" w:hanging="357"/>
        <w:jc w:val="both"/>
        <w:rPr>
          <w:sz w:val="16"/>
          <w:szCs w:val="16"/>
        </w:rPr>
      </w:pPr>
      <w:r w:rsidRPr="00AC7274">
        <w:rPr>
          <w:sz w:val="16"/>
          <w:szCs w:val="16"/>
        </w:rPr>
        <w:t>20 projects that produced oil, gas and condensates from 50 fields in onshore and offshore areas of the State.</w:t>
      </w:r>
    </w:p>
    <w:p w14:paraId="18B397B1"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3CCF31D9"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Sales of mineral and energy commodities</w:t>
      </w:r>
    </w:p>
    <w:p w14:paraId="73B835C9" w14:textId="1AA89D0A" w:rsidR="00233755" w:rsidRPr="007B1AE5" w:rsidRDefault="00143E4F" w:rsidP="00233755">
      <w:r>
        <w:rPr>
          <w:noProof/>
        </w:rPr>
        <w:drawing>
          <wp:inline distT="0" distB="0" distL="0" distR="0" wp14:anchorId="67825579" wp14:editId="0DC18328">
            <wp:extent cx="3400746" cy="2092554"/>
            <wp:effectExtent l="0" t="0" r="0" b="3175"/>
            <wp:docPr id="131192890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10181" cy="2098360"/>
                    </a:xfrm>
                    <a:prstGeom prst="rect">
                      <a:avLst/>
                    </a:prstGeom>
                    <a:noFill/>
                    <a:ln>
                      <a:noFill/>
                    </a:ln>
                  </pic:spPr>
                </pic:pic>
              </a:graphicData>
            </a:graphic>
          </wp:inline>
        </w:drawing>
      </w:r>
    </w:p>
    <w:p w14:paraId="7CF445B2" w14:textId="77777777" w:rsidR="00233755" w:rsidRDefault="00233755" w:rsidP="003A3A20">
      <w:pPr>
        <w:jc w:val="both"/>
        <w:rPr>
          <w:sz w:val="10"/>
          <w:szCs w:val="10"/>
        </w:rPr>
      </w:pPr>
      <w:r w:rsidRPr="000C0C45">
        <w:rPr>
          <w:sz w:val="10"/>
        </w:rPr>
        <w:t xml:space="preserve">Note – </w:t>
      </w:r>
      <w:r w:rsidRPr="00AF759E">
        <w:rPr>
          <w:sz w:val="10"/>
          <w:szCs w:val="10"/>
        </w:rPr>
        <w:t>Current prices. Original series. (a) Lithium (spodumene), nickel, cobalt, copper, manganese and rare earths.</w:t>
      </w:r>
    </w:p>
    <w:p w14:paraId="4222AA3C" w14:textId="77777777" w:rsidR="00233755" w:rsidRPr="005E7FCB" w:rsidRDefault="00233755" w:rsidP="003A3A20">
      <w:pPr>
        <w:jc w:val="both"/>
        <w:rPr>
          <w:sz w:val="10"/>
          <w:szCs w:val="10"/>
        </w:rPr>
      </w:pPr>
      <w:r w:rsidRPr="005E7FCB">
        <w:rPr>
          <w:sz w:val="10"/>
          <w:szCs w:val="10"/>
        </w:rPr>
        <w:t>(b) Data for lithium (spodumene), manganese and rare earths are not available in certain years.</w:t>
      </w:r>
    </w:p>
    <w:p w14:paraId="31DC9D00" w14:textId="138369F4" w:rsidR="006503FE" w:rsidRPr="005E7FCB" w:rsidRDefault="006503FE" w:rsidP="003A3A20">
      <w:pPr>
        <w:jc w:val="both"/>
        <w:rPr>
          <w:sz w:val="10"/>
          <w:szCs w:val="10"/>
        </w:rPr>
      </w:pPr>
      <w:r w:rsidRPr="005E7FCB">
        <w:rPr>
          <w:sz w:val="10"/>
          <w:szCs w:val="10"/>
        </w:rPr>
        <w:t>Source: WA Department of Mines, Petroleum and Exploration, Resource Data Files.</w:t>
      </w:r>
    </w:p>
    <w:p w14:paraId="0BDD06B3" w14:textId="77777777" w:rsidR="00233755" w:rsidRPr="00700D3D"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700D3D">
        <w:rPr>
          <w:sz w:val="16"/>
          <w:szCs w:val="16"/>
        </w:rPr>
        <w:t>Western Australia’s minerals and petroleum sales fell from $248.8 billion in 2023 to $223.4 billion in 2024. Minerals sales fell 10.4% to $172.7 </w:t>
      </w:r>
      <w:proofErr w:type="gramStart"/>
      <w:r w:rsidRPr="00700D3D">
        <w:rPr>
          <w:sz w:val="16"/>
          <w:szCs w:val="16"/>
        </w:rPr>
        <w:t>billion</w:t>
      </w:r>
      <w:proofErr w:type="gramEnd"/>
      <w:r w:rsidRPr="00700D3D">
        <w:rPr>
          <w:sz w:val="16"/>
          <w:szCs w:val="16"/>
        </w:rPr>
        <w:t xml:space="preserve"> and petroleum sales fell 9.6% to $50.7 billion.</w:t>
      </w:r>
    </w:p>
    <w:p w14:paraId="3956B5B4" w14:textId="77777777" w:rsidR="00233755" w:rsidRPr="00700D3D" w:rsidRDefault="00233755" w:rsidP="006058E8">
      <w:pPr>
        <w:pStyle w:val="ListParagraph"/>
        <w:numPr>
          <w:ilvl w:val="0"/>
          <w:numId w:val="9"/>
        </w:numPr>
        <w:spacing w:before="40" w:after="40"/>
        <w:ind w:left="357" w:right="227" w:hanging="357"/>
        <w:contextualSpacing w:val="0"/>
        <w:jc w:val="both"/>
        <w:rPr>
          <w:sz w:val="16"/>
          <w:szCs w:val="16"/>
        </w:rPr>
      </w:pPr>
      <w:r w:rsidRPr="00700D3D">
        <w:rPr>
          <w:sz w:val="16"/>
          <w:szCs w:val="16"/>
        </w:rPr>
        <w:t>Iron ore sales were down 8.3% to $128.1 billion in 2024, though it was the third highest sales value for iron ore for a calendar year. The sales value was supported by a near record sales volume for a calendar year of 866 million tonnes, but the average unit sales price was down from A$162 a tonne in 2023 to A$148 a tonne in 2024.</w:t>
      </w:r>
    </w:p>
    <w:p w14:paraId="4E858877" w14:textId="77777777" w:rsidR="00233755" w:rsidRPr="00700D3D" w:rsidRDefault="00233755" w:rsidP="006058E8">
      <w:pPr>
        <w:pStyle w:val="ListParagraph"/>
        <w:numPr>
          <w:ilvl w:val="0"/>
          <w:numId w:val="9"/>
        </w:numPr>
        <w:spacing w:before="40" w:after="40"/>
        <w:ind w:left="357" w:right="227" w:hanging="357"/>
        <w:contextualSpacing w:val="0"/>
        <w:jc w:val="both"/>
        <w:rPr>
          <w:sz w:val="16"/>
          <w:szCs w:val="16"/>
        </w:rPr>
      </w:pPr>
      <w:r w:rsidRPr="00700D3D">
        <w:rPr>
          <w:sz w:val="16"/>
          <w:szCs w:val="16"/>
        </w:rPr>
        <w:t>The value of LNG sales fell 14.7% to $36.1 billion in 2024 as prices were at the lowest levels in several years.</w:t>
      </w:r>
    </w:p>
    <w:p w14:paraId="73D12168" w14:textId="77777777" w:rsidR="00233755" w:rsidRPr="00700D3D" w:rsidRDefault="00233755" w:rsidP="006058E8">
      <w:pPr>
        <w:pStyle w:val="ListParagraph"/>
        <w:numPr>
          <w:ilvl w:val="0"/>
          <w:numId w:val="9"/>
        </w:numPr>
        <w:spacing w:before="40" w:after="40"/>
        <w:ind w:left="357" w:right="227" w:hanging="357"/>
        <w:contextualSpacing w:val="0"/>
        <w:jc w:val="both"/>
        <w:rPr>
          <w:sz w:val="16"/>
          <w:szCs w:val="16"/>
        </w:rPr>
      </w:pPr>
      <w:r w:rsidRPr="00700D3D">
        <w:rPr>
          <w:sz w:val="16"/>
          <w:szCs w:val="16"/>
        </w:rPr>
        <w:t>The value of gold sales increased from $16.0 billion in 2021 to $23.7 billion in 2024, a record high despite a drop in sales volume over this period. The average unit price of gold sales rose 51.4% between 2021 and 2024.</w:t>
      </w:r>
    </w:p>
    <w:p w14:paraId="38FB8D5D" w14:textId="77777777" w:rsidR="00233755" w:rsidRPr="00700D3D" w:rsidRDefault="00233755" w:rsidP="006058E8">
      <w:pPr>
        <w:pStyle w:val="ListParagraph"/>
        <w:numPr>
          <w:ilvl w:val="0"/>
          <w:numId w:val="9"/>
        </w:numPr>
        <w:spacing w:before="40" w:after="40"/>
        <w:ind w:left="357" w:right="227" w:hanging="357"/>
        <w:contextualSpacing w:val="0"/>
        <w:jc w:val="both"/>
        <w:rPr>
          <w:sz w:val="16"/>
          <w:szCs w:val="16"/>
        </w:rPr>
      </w:pPr>
      <w:r w:rsidRPr="00700D3D">
        <w:rPr>
          <w:sz w:val="16"/>
          <w:szCs w:val="16"/>
        </w:rPr>
        <w:t>The value of lithium sales fell 68.6% in 2024 to $5.0 billion in 2024. While the sales volume of spodumene concentrate rose to a record 3.8 million tonnes, prices fell to the lowest level since the second half of 2021.</w:t>
      </w:r>
    </w:p>
    <w:p w14:paraId="256B08EC" w14:textId="77777777" w:rsidR="00233755" w:rsidRPr="00775345" w:rsidRDefault="00233755" w:rsidP="006058E8">
      <w:pPr>
        <w:pStyle w:val="ListParagraph"/>
        <w:numPr>
          <w:ilvl w:val="0"/>
          <w:numId w:val="9"/>
        </w:numPr>
        <w:spacing w:before="40" w:after="40"/>
        <w:ind w:right="227"/>
        <w:rPr>
          <w:sz w:val="16"/>
          <w:szCs w:val="16"/>
        </w:rPr>
        <w:sectPr w:rsidR="00233755" w:rsidRPr="00775345" w:rsidSect="00233755">
          <w:type w:val="continuous"/>
          <w:pgSz w:w="11907" w:h="16840" w:code="9"/>
          <w:pgMar w:top="1701" w:right="425" w:bottom="567" w:left="567" w:header="709" w:footer="709" w:gutter="0"/>
          <w:cols w:num="2" w:space="113"/>
          <w:docGrid w:linePitch="360"/>
        </w:sectPr>
      </w:pPr>
    </w:p>
    <w:p w14:paraId="1641FAF0" w14:textId="77777777" w:rsidR="00233755" w:rsidRPr="00ED7BE7" w:rsidRDefault="00233755" w:rsidP="00233755">
      <w:pPr>
        <w:pStyle w:val="Heading4"/>
        <w:rPr>
          <w:i w:val="0"/>
          <w:iCs w:val="0"/>
          <w:color w:val="00997A"/>
          <w:sz w:val="20"/>
          <w:szCs w:val="20"/>
        </w:rPr>
      </w:pPr>
      <w:r w:rsidRPr="00ED7BE7">
        <w:rPr>
          <w:i w:val="0"/>
          <w:iCs w:val="0"/>
          <w:color w:val="00997A"/>
          <w:sz w:val="20"/>
          <w:szCs w:val="20"/>
        </w:rPr>
        <w:t>Sales of mineral and energy commodities: 2024</w:t>
      </w:r>
    </w:p>
    <w:p w14:paraId="7C447B5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space="720"/>
          <w:docGrid w:linePitch="360"/>
        </w:sectPr>
      </w:pPr>
    </w:p>
    <w:p w14:paraId="6A3B99C1" w14:textId="3CED8EA0" w:rsidR="00233755" w:rsidRPr="007B1AE5" w:rsidRDefault="00143E4F" w:rsidP="00233755">
      <w:r>
        <w:rPr>
          <w:noProof/>
        </w:rPr>
        <w:drawing>
          <wp:inline distT="0" distB="0" distL="0" distR="0" wp14:anchorId="0995CC1A" wp14:editId="7AA36335">
            <wp:extent cx="3400425" cy="2092356"/>
            <wp:effectExtent l="0" t="0" r="0" b="3175"/>
            <wp:docPr id="129500477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17766" cy="2103026"/>
                    </a:xfrm>
                    <a:prstGeom prst="rect">
                      <a:avLst/>
                    </a:prstGeom>
                    <a:noFill/>
                    <a:ln>
                      <a:noFill/>
                    </a:ln>
                  </pic:spPr>
                </pic:pic>
              </a:graphicData>
            </a:graphic>
          </wp:inline>
        </w:drawing>
      </w:r>
    </w:p>
    <w:p w14:paraId="0B867E52" w14:textId="77777777" w:rsidR="00233755" w:rsidRPr="00AF759E" w:rsidRDefault="00233755" w:rsidP="003A3A20">
      <w:pPr>
        <w:jc w:val="both"/>
        <w:rPr>
          <w:sz w:val="10"/>
          <w:szCs w:val="10"/>
        </w:rPr>
      </w:pPr>
      <w:r w:rsidRPr="000C0C45">
        <w:rPr>
          <w:sz w:val="10"/>
        </w:rPr>
        <w:t xml:space="preserve">Note – </w:t>
      </w:r>
      <w:r w:rsidRPr="00AF759E">
        <w:rPr>
          <w:sz w:val="10"/>
          <w:szCs w:val="10"/>
        </w:rPr>
        <w:t xml:space="preserve">Current prices. Original series. (a) Spodumene. (b) Garnet, </w:t>
      </w:r>
      <w:proofErr w:type="spellStart"/>
      <w:r w:rsidRPr="00AF759E">
        <w:rPr>
          <w:sz w:val="10"/>
          <w:szCs w:val="10"/>
        </w:rPr>
        <w:t>illmenite</w:t>
      </w:r>
      <w:proofErr w:type="spellEnd"/>
      <w:r w:rsidRPr="00AF759E">
        <w:rPr>
          <w:sz w:val="10"/>
          <w:szCs w:val="10"/>
        </w:rPr>
        <w:t>, leucoxene, zircon and rutile.</w:t>
      </w:r>
    </w:p>
    <w:p w14:paraId="5559285C" w14:textId="7DA33BFC" w:rsidR="006503FE" w:rsidRPr="005E7FCB" w:rsidRDefault="006503FE" w:rsidP="003A3A20">
      <w:pPr>
        <w:jc w:val="both"/>
        <w:rPr>
          <w:sz w:val="10"/>
          <w:szCs w:val="10"/>
        </w:rPr>
      </w:pPr>
      <w:r w:rsidRPr="005E7FCB">
        <w:rPr>
          <w:sz w:val="10"/>
          <w:szCs w:val="10"/>
        </w:rPr>
        <w:t>Source: WA Department of Mines, Petroleum and Exploration, Resource Data Files.</w:t>
      </w:r>
    </w:p>
    <w:p w14:paraId="055756D9" w14:textId="77777777" w:rsidR="00233755" w:rsidRPr="00700D3D"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00D3D">
        <w:rPr>
          <w:sz w:val="16"/>
          <w:szCs w:val="16"/>
        </w:rPr>
        <w:t>Iron ore accounted for 57.4% of the value of Western Australia’s minerals and petroleum sales in 2024, followed by LNG (16.2%) and gold (10.6%).</w:t>
      </w:r>
    </w:p>
    <w:p w14:paraId="02AB8213" w14:textId="77777777" w:rsidR="00233755" w:rsidRPr="00700D3D" w:rsidRDefault="00233755" w:rsidP="006058E8">
      <w:pPr>
        <w:pStyle w:val="ListParagraph"/>
        <w:numPr>
          <w:ilvl w:val="0"/>
          <w:numId w:val="9"/>
        </w:numPr>
        <w:spacing w:before="40" w:after="40"/>
        <w:ind w:right="227" w:hanging="357"/>
        <w:contextualSpacing w:val="0"/>
        <w:jc w:val="both"/>
        <w:rPr>
          <w:sz w:val="16"/>
          <w:szCs w:val="16"/>
        </w:rPr>
      </w:pPr>
      <w:r w:rsidRPr="00700D3D">
        <w:rPr>
          <w:sz w:val="16"/>
          <w:szCs w:val="16"/>
        </w:rPr>
        <w:t>The largest increases in the value of Western Australia’s minerals and petroleum sales in 2024 were in:</w:t>
      </w:r>
    </w:p>
    <w:p w14:paraId="08A9D212" w14:textId="77777777" w:rsidR="00233755" w:rsidRPr="00700D3D" w:rsidRDefault="00233755" w:rsidP="006058E8">
      <w:pPr>
        <w:pStyle w:val="ListParagraph"/>
        <w:numPr>
          <w:ilvl w:val="0"/>
          <w:numId w:val="10"/>
        </w:numPr>
        <w:spacing w:before="40" w:after="40"/>
        <w:ind w:right="227" w:hanging="357"/>
        <w:contextualSpacing w:val="0"/>
        <w:jc w:val="both"/>
        <w:rPr>
          <w:sz w:val="16"/>
          <w:szCs w:val="16"/>
        </w:rPr>
      </w:pPr>
      <w:r w:rsidRPr="00700D3D">
        <w:rPr>
          <w:sz w:val="16"/>
          <w:szCs w:val="16"/>
        </w:rPr>
        <w:t>gold (up $3.7 billion or 18.7%)</w:t>
      </w:r>
    </w:p>
    <w:p w14:paraId="75ECB4BC" w14:textId="77777777" w:rsidR="00233755" w:rsidRPr="00700D3D" w:rsidRDefault="00233755" w:rsidP="006058E8">
      <w:pPr>
        <w:pStyle w:val="ListParagraph"/>
        <w:numPr>
          <w:ilvl w:val="0"/>
          <w:numId w:val="10"/>
        </w:numPr>
        <w:spacing w:before="40" w:after="40"/>
        <w:ind w:right="227" w:hanging="357"/>
        <w:contextualSpacing w:val="0"/>
        <w:jc w:val="both"/>
        <w:rPr>
          <w:sz w:val="16"/>
          <w:szCs w:val="16"/>
        </w:rPr>
      </w:pPr>
      <w:r w:rsidRPr="00700D3D">
        <w:rPr>
          <w:sz w:val="16"/>
          <w:szCs w:val="16"/>
        </w:rPr>
        <w:t>alumina (up $0.8 billion or 12.2%).</w:t>
      </w:r>
    </w:p>
    <w:p w14:paraId="14DE89F9" w14:textId="77777777" w:rsidR="00233755" w:rsidRPr="00700D3D" w:rsidRDefault="00233755" w:rsidP="006058E8">
      <w:pPr>
        <w:pStyle w:val="ListParagraph"/>
        <w:numPr>
          <w:ilvl w:val="0"/>
          <w:numId w:val="9"/>
        </w:numPr>
        <w:spacing w:before="40" w:after="40"/>
        <w:ind w:right="227" w:hanging="357"/>
        <w:contextualSpacing w:val="0"/>
        <w:jc w:val="both"/>
        <w:rPr>
          <w:sz w:val="16"/>
          <w:szCs w:val="16"/>
        </w:rPr>
      </w:pPr>
      <w:r w:rsidRPr="00700D3D">
        <w:rPr>
          <w:sz w:val="16"/>
          <w:szCs w:val="16"/>
        </w:rPr>
        <w:t>The largest decreases in the value of Western Australia’s minerals and petroleum sales in 2024 were in:</w:t>
      </w:r>
    </w:p>
    <w:p w14:paraId="385FDF90" w14:textId="77777777" w:rsidR="00233755" w:rsidRPr="00700D3D" w:rsidRDefault="00233755" w:rsidP="006058E8">
      <w:pPr>
        <w:pStyle w:val="ListParagraph"/>
        <w:numPr>
          <w:ilvl w:val="0"/>
          <w:numId w:val="10"/>
        </w:numPr>
        <w:spacing w:before="40" w:after="40"/>
        <w:ind w:right="227" w:hanging="357"/>
        <w:contextualSpacing w:val="0"/>
        <w:jc w:val="both"/>
        <w:rPr>
          <w:sz w:val="16"/>
          <w:szCs w:val="16"/>
        </w:rPr>
      </w:pPr>
      <w:r w:rsidRPr="00700D3D">
        <w:rPr>
          <w:sz w:val="16"/>
          <w:szCs w:val="16"/>
        </w:rPr>
        <w:t>iron ore (down $11.7 billion or 8.3%)</w:t>
      </w:r>
    </w:p>
    <w:p w14:paraId="51106370" w14:textId="77777777" w:rsidR="00233755" w:rsidRPr="00700D3D" w:rsidRDefault="00233755" w:rsidP="006058E8">
      <w:pPr>
        <w:pStyle w:val="ListParagraph"/>
        <w:numPr>
          <w:ilvl w:val="0"/>
          <w:numId w:val="10"/>
        </w:numPr>
        <w:spacing w:before="40" w:after="40"/>
        <w:ind w:right="227" w:hanging="357"/>
        <w:contextualSpacing w:val="0"/>
        <w:jc w:val="both"/>
        <w:rPr>
          <w:sz w:val="16"/>
          <w:szCs w:val="16"/>
        </w:rPr>
      </w:pPr>
      <w:r w:rsidRPr="00700D3D">
        <w:rPr>
          <w:sz w:val="16"/>
          <w:szCs w:val="16"/>
        </w:rPr>
        <w:t>lithium (down $11.0 billion or 68.6%)</w:t>
      </w:r>
    </w:p>
    <w:p w14:paraId="7CC3AE81" w14:textId="77777777" w:rsidR="00233755" w:rsidRPr="00700D3D" w:rsidRDefault="00233755" w:rsidP="006058E8">
      <w:pPr>
        <w:pStyle w:val="ListParagraph"/>
        <w:numPr>
          <w:ilvl w:val="0"/>
          <w:numId w:val="10"/>
        </w:numPr>
        <w:spacing w:before="40" w:after="40"/>
        <w:ind w:right="227" w:hanging="357"/>
        <w:contextualSpacing w:val="0"/>
        <w:jc w:val="both"/>
        <w:rPr>
          <w:sz w:val="16"/>
          <w:szCs w:val="16"/>
        </w:rPr>
      </w:pPr>
      <w:r w:rsidRPr="00700D3D">
        <w:rPr>
          <w:sz w:val="16"/>
          <w:szCs w:val="16"/>
        </w:rPr>
        <w:t>LNG (down $6.2 billion or 14.7%).</w:t>
      </w:r>
    </w:p>
    <w:p w14:paraId="7A0A7D80" w14:textId="77777777" w:rsidR="00233755" w:rsidRPr="00775345" w:rsidRDefault="00233755" w:rsidP="006058E8">
      <w:pPr>
        <w:pStyle w:val="ListParagraph"/>
        <w:numPr>
          <w:ilvl w:val="0"/>
          <w:numId w:val="10"/>
        </w:numPr>
        <w:spacing w:before="40" w:after="40"/>
        <w:ind w:right="227" w:hanging="357"/>
        <w:contextualSpacing w:val="0"/>
        <w:jc w:val="both"/>
        <w:rPr>
          <w:sz w:val="16"/>
          <w:szCs w:val="16"/>
        </w:rPr>
        <w:sectPr w:rsidR="00233755" w:rsidRPr="00775345" w:rsidSect="00233755">
          <w:type w:val="continuous"/>
          <w:pgSz w:w="11907" w:h="16840" w:code="9"/>
          <w:pgMar w:top="1701" w:right="425" w:bottom="567" w:left="567" w:header="709" w:footer="709" w:gutter="0"/>
          <w:cols w:num="2" w:space="113"/>
          <w:docGrid w:linePitch="360"/>
        </w:sectPr>
      </w:pPr>
    </w:p>
    <w:p w14:paraId="7F7D946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3" w:name="_Primary_industries_and"/>
      <w:bookmarkEnd w:id="53"/>
      <w:r w:rsidRPr="008F7AA0">
        <w:rPr>
          <w:bCs/>
          <w:color w:val="004C3D"/>
          <w:sz w:val="24"/>
          <w:szCs w:val="24"/>
        </w:rPr>
        <w:lastRenderedPageBreak/>
        <w:t>Primary industries and defence industries</w:t>
      </w:r>
    </w:p>
    <w:p w14:paraId="0FB32BD5"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67A539F5" w14:textId="77777777"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bookmarkStart w:id="54" w:name="_Hlk158901883"/>
      <w:r w:rsidRPr="00ED7BE7">
        <w:rPr>
          <w:i w:val="0"/>
          <w:iCs w:val="0"/>
          <w:color w:val="00997A"/>
          <w:sz w:val="20"/>
          <w:szCs w:val="20"/>
        </w:rPr>
        <w:t>Agriculture, forestry and fishing industry</w:t>
      </w:r>
      <w:bookmarkEnd w:id="54"/>
      <w:r w:rsidRPr="00ED7BE7">
        <w:rPr>
          <w:i w:val="0"/>
          <w:iCs w:val="0"/>
          <w:color w:val="00997A"/>
          <w:sz w:val="20"/>
          <w:szCs w:val="20"/>
        </w:rPr>
        <w:t xml:space="preserve"> gross value added</w:t>
      </w:r>
    </w:p>
    <w:p w14:paraId="48AD52F5" w14:textId="0E363329" w:rsidR="00233755" w:rsidRPr="007B1AE5" w:rsidRDefault="00143E4F" w:rsidP="00233755">
      <w:r>
        <w:rPr>
          <w:noProof/>
        </w:rPr>
        <w:drawing>
          <wp:inline distT="0" distB="0" distL="0" distR="0" wp14:anchorId="6AA4A16C" wp14:editId="014583EA">
            <wp:extent cx="3441842" cy="2117841"/>
            <wp:effectExtent l="0" t="0" r="6350" b="0"/>
            <wp:docPr id="66154452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47441" cy="2121286"/>
                    </a:xfrm>
                    <a:prstGeom prst="rect">
                      <a:avLst/>
                    </a:prstGeom>
                    <a:noFill/>
                    <a:ln>
                      <a:noFill/>
                    </a:ln>
                  </pic:spPr>
                </pic:pic>
              </a:graphicData>
            </a:graphic>
          </wp:inline>
        </w:drawing>
      </w:r>
    </w:p>
    <w:p w14:paraId="3C544A82"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08BB3E56" w14:textId="77777777" w:rsidR="00233755" w:rsidRPr="00AF759E" w:rsidRDefault="00233755" w:rsidP="003A3A20">
      <w:pPr>
        <w:jc w:val="both"/>
        <w:rPr>
          <w:sz w:val="10"/>
          <w:szCs w:val="10"/>
        </w:rPr>
      </w:pPr>
      <w:r w:rsidRPr="00AF759E">
        <w:rPr>
          <w:sz w:val="10"/>
          <w:szCs w:val="10"/>
        </w:rPr>
        <w:t>Source: Based on ABS data.</w:t>
      </w:r>
    </w:p>
    <w:p w14:paraId="12532C4E"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E800C6">
        <w:rPr>
          <w:sz w:val="16"/>
          <w:szCs w:val="16"/>
        </w:rPr>
        <w:t>The GVA of Western Australia’s agriculture, forestry and fishing industry increased at an average annual rate of 4.5% between 1993</w:t>
      </w:r>
      <w:r w:rsidRPr="00E800C6">
        <w:rPr>
          <w:sz w:val="16"/>
          <w:szCs w:val="16"/>
        </w:rPr>
        <w:noBreakHyphen/>
        <w:t>94 and 2023</w:t>
      </w:r>
      <w:r w:rsidRPr="00E800C6">
        <w:rPr>
          <w:sz w:val="16"/>
          <w:szCs w:val="16"/>
        </w:rPr>
        <w:noBreakHyphen/>
        <w:t>24.</w:t>
      </w:r>
    </w:p>
    <w:p w14:paraId="1BD7759E" w14:textId="77777777" w:rsidR="00233755" w:rsidRPr="0093074D" w:rsidRDefault="00233755" w:rsidP="006058E8">
      <w:pPr>
        <w:pStyle w:val="ListParagraph"/>
        <w:numPr>
          <w:ilvl w:val="0"/>
          <w:numId w:val="9"/>
        </w:numPr>
        <w:spacing w:before="40" w:after="40"/>
        <w:ind w:left="357" w:right="227" w:hanging="357"/>
        <w:contextualSpacing w:val="0"/>
        <w:jc w:val="both"/>
        <w:rPr>
          <w:sz w:val="16"/>
          <w:szCs w:val="16"/>
        </w:rPr>
      </w:pPr>
      <w:r w:rsidRPr="00E800C6">
        <w:rPr>
          <w:sz w:val="16"/>
          <w:szCs w:val="16"/>
        </w:rPr>
        <w:t xml:space="preserve">Fluctuations </w:t>
      </w:r>
      <w:r w:rsidRPr="0093074D">
        <w:rPr>
          <w:sz w:val="16"/>
          <w:szCs w:val="16"/>
        </w:rPr>
        <w:t>in GVA from year to year reflect variability in growing conditions on the output of major component industries such as grain and canola as well as price fluctuations for the export commodities that make up the industry.</w:t>
      </w:r>
    </w:p>
    <w:p w14:paraId="33C7FA9A" w14:textId="6D646657" w:rsidR="00233755" w:rsidRPr="0093074D" w:rsidRDefault="00233755" w:rsidP="006058E8">
      <w:pPr>
        <w:pStyle w:val="ListParagraph"/>
        <w:numPr>
          <w:ilvl w:val="0"/>
          <w:numId w:val="10"/>
        </w:numPr>
        <w:spacing w:before="40" w:after="40"/>
        <w:ind w:right="227" w:hanging="357"/>
        <w:contextualSpacing w:val="0"/>
        <w:jc w:val="both"/>
        <w:rPr>
          <w:sz w:val="16"/>
          <w:szCs w:val="16"/>
        </w:rPr>
      </w:pPr>
      <w:r w:rsidRPr="0093074D">
        <w:rPr>
          <w:sz w:val="16"/>
          <w:szCs w:val="16"/>
        </w:rPr>
        <w:t xml:space="preserve">A sharp decline in Western Australia’s agricultural contribution in 2009-10 and 2010-11 </w:t>
      </w:r>
      <w:r w:rsidR="00381D15">
        <w:rPr>
          <w:sz w:val="16"/>
          <w:szCs w:val="16"/>
        </w:rPr>
        <w:t>was due to</w:t>
      </w:r>
      <w:r w:rsidRPr="0093074D">
        <w:rPr>
          <w:sz w:val="16"/>
          <w:szCs w:val="16"/>
        </w:rPr>
        <w:t xml:space="preserve"> drought in Western Australia’s </w:t>
      </w:r>
      <w:proofErr w:type="gramStart"/>
      <w:r w:rsidRPr="0093074D">
        <w:rPr>
          <w:sz w:val="16"/>
          <w:szCs w:val="16"/>
        </w:rPr>
        <w:t>South West</w:t>
      </w:r>
      <w:proofErr w:type="gramEnd"/>
      <w:r w:rsidRPr="0093074D">
        <w:rPr>
          <w:sz w:val="16"/>
          <w:szCs w:val="16"/>
        </w:rPr>
        <w:t xml:space="preserve"> and Wheatbelt regions, floods in various parts of the state and the impact of the global financial crisis on agricultural commodity prices.</w:t>
      </w:r>
    </w:p>
    <w:p w14:paraId="19E5B55F" w14:textId="77777777" w:rsidR="00233755" w:rsidRPr="00E800C6" w:rsidRDefault="00233755" w:rsidP="006058E8">
      <w:pPr>
        <w:pStyle w:val="ListParagraph"/>
        <w:numPr>
          <w:ilvl w:val="1"/>
          <w:numId w:val="9"/>
        </w:numPr>
        <w:spacing w:before="40" w:after="40"/>
        <w:ind w:right="227"/>
        <w:contextualSpacing w:val="0"/>
        <w:jc w:val="both"/>
        <w:rPr>
          <w:sz w:val="16"/>
          <w:szCs w:val="16"/>
        </w:rPr>
      </w:pPr>
      <w:r w:rsidRPr="00E800C6">
        <w:rPr>
          <w:sz w:val="16"/>
          <w:szCs w:val="16"/>
        </w:rPr>
        <w:t>The GVA of Western Australia’s agriculture, forestry and fishing industry jumped considerably in 2021</w:t>
      </w:r>
      <w:r w:rsidRPr="00E800C6">
        <w:rPr>
          <w:sz w:val="16"/>
          <w:szCs w:val="16"/>
        </w:rPr>
        <w:noBreakHyphen/>
        <w:t>22, increasing from $6.5 billion to $9.0 billion, and again in 2022</w:t>
      </w:r>
      <w:r w:rsidRPr="00E800C6">
        <w:rPr>
          <w:sz w:val="16"/>
          <w:szCs w:val="16"/>
        </w:rPr>
        <w:noBreakHyphen/>
        <w:t>23 to $9.9 billion</w:t>
      </w:r>
      <w:r>
        <w:rPr>
          <w:sz w:val="16"/>
          <w:szCs w:val="16"/>
        </w:rPr>
        <w:t xml:space="preserve"> as c</w:t>
      </w:r>
      <w:r w:rsidRPr="00E800C6">
        <w:rPr>
          <w:sz w:val="16"/>
          <w:szCs w:val="16"/>
        </w:rPr>
        <w:t>onducive growing conditions and restrictions in supply from other markets led to higher demand for Western Australia’s grains exports.</w:t>
      </w:r>
    </w:p>
    <w:p w14:paraId="1C6BC5AC" w14:textId="77777777" w:rsidR="00233755" w:rsidRPr="00E800C6" w:rsidRDefault="00233755" w:rsidP="006058E8">
      <w:pPr>
        <w:pStyle w:val="ListParagraph"/>
        <w:numPr>
          <w:ilvl w:val="0"/>
          <w:numId w:val="9"/>
        </w:numPr>
        <w:spacing w:before="40" w:after="40"/>
        <w:ind w:left="357" w:right="227" w:hanging="357"/>
        <w:contextualSpacing w:val="0"/>
        <w:jc w:val="both"/>
        <w:rPr>
          <w:sz w:val="16"/>
          <w:szCs w:val="16"/>
        </w:rPr>
      </w:pPr>
      <w:r w:rsidRPr="00E800C6">
        <w:rPr>
          <w:sz w:val="16"/>
          <w:szCs w:val="16"/>
        </w:rPr>
        <w:t>Between 1993-94 and 2023-24, Western Australia contributed an average of 13.2% to the GVA of Australia’s agriculture, forestry and fishing industry, with a high of 15.9% in 2013</w:t>
      </w:r>
      <w:r w:rsidRPr="00E800C6">
        <w:rPr>
          <w:sz w:val="16"/>
          <w:szCs w:val="16"/>
        </w:rPr>
        <w:noBreakHyphen/>
        <w:t>14.</w:t>
      </w:r>
    </w:p>
    <w:p w14:paraId="6D8B07E3" w14:textId="77777777" w:rsidR="00233755" w:rsidRPr="00277649" w:rsidRDefault="00233755" w:rsidP="006058E8">
      <w:pPr>
        <w:pStyle w:val="ListParagraph"/>
        <w:numPr>
          <w:ilvl w:val="0"/>
          <w:numId w:val="9"/>
        </w:numPr>
        <w:spacing w:before="40" w:after="40"/>
        <w:ind w:right="227"/>
        <w:rPr>
          <w:sz w:val="16"/>
          <w:szCs w:val="16"/>
        </w:rPr>
        <w:sectPr w:rsidR="00233755" w:rsidRPr="00277649" w:rsidSect="00233755">
          <w:type w:val="continuous"/>
          <w:pgSz w:w="11907" w:h="16840" w:code="9"/>
          <w:pgMar w:top="1701" w:right="425" w:bottom="567" w:left="567" w:header="709" w:footer="709" w:gutter="0"/>
          <w:cols w:num="2" w:space="113"/>
          <w:docGrid w:linePitch="360"/>
        </w:sectPr>
      </w:pPr>
    </w:p>
    <w:p w14:paraId="09BA7658"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Exports of agricultural commodities</w:t>
      </w:r>
    </w:p>
    <w:p w14:paraId="515AD094" w14:textId="4377BC8F" w:rsidR="00233755" w:rsidRPr="007B1AE5" w:rsidRDefault="00143E4F" w:rsidP="00233755">
      <w:r>
        <w:rPr>
          <w:noProof/>
        </w:rPr>
        <w:drawing>
          <wp:inline distT="0" distB="0" distL="0" distR="0" wp14:anchorId="0FCDD81C" wp14:editId="63572867">
            <wp:extent cx="3369923" cy="2081369"/>
            <wp:effectExtent l="0" t="0" r="2540" b="0"/>
            <wp:docPr id="147548378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81334" cy="2088417"/>
                    </a:xfrm>
                    <a:prstGeom prst="rect">
                      <a:avLst/>
                    </a:prstGeom>
                    <a:noFill/>
                    <a:ln>
                      <a:noFill/>
                    </a:ln>
                  </pic:spPr>
                </pic:pic>
              </a:graphicData>
            </a:graphic>
          </wp:inline>
        </w:drawing>
      </w:r>
    </w:p>
    <w:p w14:paraId="2400A9F7" w14:textId="720EE0D2" w:rsidR="00233755" w:rsidRPr="00A64CA4" w:rsidRDefault="00233755" w:rsidP="003A3A20">
      <w:pPr>
        <w:jc w:val="both"/>
        <w:rPr>
          <w:sz w:val="10"/>
          <w:szCs w:val="10"/>
        </w:rPr>
      </w:pPr>
      <w:r>
        <w:rPr>
          <w:sz w:val="10"/>
          <w:szCs w:val="10"/>
        </w:rPr>
        <w:t xml:space="preserve">Note – </w:t>
      </w:r>
      <w:r w:rsidRPr="00AF759E">
        <w:rPr>
          <w:sz w:val="10"/>
          <w:szCs w:val="10"/>
        </w:rPr>
        <w:t xml:space="preserve">Current prices. Original series. Total excludes confidential items. (a) Confidential before </w:t>
      </w:r>
      <w:r w:rsidR="00253F0B">
        <w:rPr>
          <w:sz w:val="10"/>
          <w:szCs w:val="10"/>
        </w:rPr>
        <w:t>April</w:t>
      </w:r>
      <w:r w:rsidRPr="00AF759E">
        <w:rPr>
          <w:sz w:val="10"/>
          <w:szCs w:val="10"/>
        </w:rPr>
        <w:t xml:space="preserve"> 2018.</w:t>
      </w:r>
      <w:r w:rsidR="00253F0B">
        <w:rPr>
          <w:sz w:val="10"/>
          <w:szCs w:val="10"/>
        </w:rPr>
        <w:t xml:space="preserve"> </w:t>
      </w:r>
      <w:r w:rsidR="00253F0B" w:rsidRPr="00A64CA4">
        <w:rPr>
          <w:sz w:val="10"/>
          <w:szCs w:val="10"/>
        </w:rPr>
        <w:t>(b) Includes cereal preparations.</w:t>
      </w:r>
    </w:p>
    <w:p w14:paraId="4885274C" w14:textId="77777777" w:rsidR="00233755" w:rsidRPr="00AF759E" w:rsidRDefault="00233755" w:rsidP="003A3A20">
      <w:pPr>
        <w:jc w:val="both"/>
        <w:rPr>
          <w:sz w:val="10"/>
          <w:szCs w:val="10"/>
        </w:rPr>
      </w:pPr>
      <w:r w:rsidRPr="00AF759E">
        <w:rPr>
          <w:sz w:val="10"/>
          <w:szCs w:val="10"/>
        </w:rPr>
        <w:t>Source: Based on ABS data.</w:t>
      </w:r>
    </w:p>
    <w:p w14:paraId="37415BC9" w14:textId="77777777" w:rsidR="00233755" w:rsidRPr="00223BEC"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223BEC">
        <w:rPr>
          <w:sz w:val="16"/>
          <w:szCs w:val="16"/>
        </w:rPr>
        <w:t xml:space="preserve">Agriculture </w:t>
      </w:r>
      <w:r>
        <w:rPr>
          <w:sz w:val="16"/>
          <w:szCs w:val="16"/>
        </w:rPr>
        <w:t>has long been one of</w:t>
      </w:r>
      <w:r w:rsidRPr="00223BEC">
        <w:rPr>
          <w:sz w:val="16"/>
          <w:szCs w:val="16"/>
        </w:rPr>
        <w:t xml:space="preserve"> Western Australia’s largest export industr</w:t>
      </w:r>
      <w:r>
        <w:rPr>
          <w:sz w:val="16"/>
          <w:szCs w:val="16"/>
        </w:rPr>
        <w:t>ies</w:t>
      </w:r>
      <w:r w:rsidRPr="00223BEC">
        <w:rPr>
          <w:sz w:val="16"/>
          <w:szCs w:val="16"/>
        </w:rPr>
        <w:t>.</w:t>
      </w:r>
    </w:p>
    <w:p w14:paraId="616B0B4E" w14:textId="35A227F1" w:rsidR="00233755" w:rsidRPr="005677B3" w:rsidRDefault="00233755" w:rsidP="006058E8">
      <w:pPr>
        <w:pStyle w:val="ListParagraph"/>
        <w:numPr>
          <w:ilvl w:val="0"/>
          <w:numId w:val="9"/>
        </w:numPr>
        <w:spacing w:before="40" w:after="40"/>
        <w:ind w:right="227" w:hanging="357"/>
        <w:contextualSpacing w:val="0"/>
        <w:jc w:val="both"/>
        <w:rPr>
          <w:sz w:val="16"/>
          <w:szCs w:val="16"/>
        </w:rPr>
      </w:pPr>
      <w:r w:rsidRPr="005677B3">
        <w:rPr>
          <w:sz w:val="16"/>
          <w:szCs w:val="16"/>
        </w:rPr>
        <w:t xml:space="preserve">In </w:t>
      </w:r>
      <w:r w:rsidR="00253F0B" w:rsidRPr="005677B3">
        <w:rPr>
          <w:sz w:val="16"/>
          <w:szCs w:val="16"/>
        </w:rPr>
        <w:t>2024-25</w:t>
      </w:r>
      <w:r w:rsidRPr="005677B3">
        <w:rPr>
          <w:sz w:val="16"/>
          <w:szCs w:val="16"/>
        </w:rPr>
        <w:t>, Western Australia’s top agricultural exports were:</w:t>
      </w:r>
    </w:p>
    <w:p w14:paraId="629D8EA5" w14:textId="3CAD0FEC"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wheat ($</w:t>
      </w:r>
      <w:r w:rsidR="00253F0B" w:rsidRPr="005677B3">
        <w:rPr>
          <w:sz w:val="16"/>
          <w:szCs w:val="16"/>
        </w:rPr>
        <w:t>3.8</w:t>
      </w:r>
      <w:r w:rsidRPr="005677B3">
        <w:rPr>
          <w:sz w:val="16"/>
          <w:szCs w:val="16"/>
        </w:rPr>
        <w:t> billion)</w:t>
      </w:r>
    </w:p>
    <w:p w14:paraId="51762B94" w14:textId="3C51A03F"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canola seeds ($2.</w:t>
      </w:r>
      <w:r w:rsidR="00253F0B" w:rsidRPr="005677B3">
        <w:rPr>
          <w:sz w:val="16"/>
          <w:szCs w:val="16"/>
        </w:rPr>
        <w:t>5</w:t>
      </w:r>
      <w:r w:rsidRPr="005677B3">
        <w:rPr>
          <w:sz w:val="16"/>
          <w:szCs w:val="16"/>
        </w:rPr>
        <w:t> billion)</w:t>
      </w:r>
    </w:p>
    <w:p w14:paraId="3D72AC3A" w14:textId="4217E05C"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barley ($1.</w:t>
      </w:r>
      <w:r w:rsidR="00253F0B" w:rsidRPr="005677B3">
        <w:rPr>
          <w:sz w:val="16"/>
          <w:szCs w:val="16"/>
        </w:rPr>
        <w:t>9</w:t>
      </w:r>
      <w:r w:rsidRPr="005677B3">
        <w:rPr>
          <w:sz w:val="16"/>
          <w:szCs w:val="16"/>
        </w:rPr>
        <w:t> billion).</w:t>
      </w:r>
    </w:p>
    <w:p w14:paraId="7345F047" w14:textId="0ED55ED7"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meat and livestock ($1.</w:t>
      </w:r>
      <w:r w:rsidR="00253F0B" w:rsidRPr="005677B3">
        <w:rPr>
          <w:sz w:val="16"/>
          <w:szCs w:val="16"/>
        </w:rPr>
        <w:t>6</w:t>
      </w:r>
      <w:r w:rsidRPr="005677B3">
        <w:rPr>
          <w:sz w:val="16"/>
          <w:szCs w:val="16"/>
        </w:rPr>
        <w:t> billion).</w:t>
      </w:r>
    </w:p>
    <w:p w14:paraId="5D1FD15F" w14:textId="707DDD9D" w:rsidR="00233755" w:rsidRPr="005677B3" w:rsidRDefault="00233755" w:rsidP="006058E8">
      <w:pPr>
        <w:pStyle w:val="ListParagraph"/>
        <w:numPr>
          <w:ilvl w:val="0"/>
          <w:numId w:val="9"/>
        </w:numPr>
        <w:spacing w:before="40" w:after="40"/>
        <w:ind w:right="227" w:hanging="357"/>
        <w:contextualSpacing w:val="0"/>
        <w:jc w:val="both"/>
        <w:rPr>
          <w:sz w:val="16"/>
          <w:szCs w:val="16"/>
        </w:rPr>
      </w:pPr>
      <w:r w:rsidRPr="005677B3">
        <w:rPr>
          <w:sz w:val="16"/>
          <w:szCs w:val="16"/>
        </w:rPr>
        <w:t>Between 2018-19 and 202</w:t>
      </w:r>
      <w:r w:rsidR="00DD6176" w:rsidRPr="005677B3">
        <w:rPr>
          <w:sz w:val="16"/>
          <w:szCs w:val="16"/>
        </w:rPr>
        <w:t>4</w:t>
      </w:r>
      <w:r w:rsidRPr="005677B3">
        <w:rPr>
          <w:sz w:val="16"/>
          <w:szCs w:val="16"/>
        </w:rPr>
        <w:t>-2</w:t>
      </w:r>
      <w:r w:rsidR="00DD6176" w:rsidRPr="005677B3">
        <w:rPr>
          <w:sz w:val="16"/>
          <w:szCs w:val="16"/>
        </w:rPr>
        <w:t>5</w:t>
      </w:r>
      <w:r w:rsidRPr="005677B3">
        <w:rPr>
          <w:sz w:val="16"/>
          <w:szCs w:val="16"/>
        </w:rPr>
        <w:t>, Western Australia’s exports of:</w:t>
      </w:r>
    </w:p>
    <w:p w14:paraId="28B013D6" w14:textId="5A3EE158"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wheat increased from $2.8 billion (33% of agricultural exports) to $</w:t>
      </w:r>
      <w:r w:rsidR="00DD6176" w:rsidRPr="005677B3">
        <w:rPr>
          <w:sz w:val="16"/>
          <w:szCs w:val="16"/>
        </w:rPr>
        <w:t>3.8</w:t>
      </w:r>
      <w:r w:rsidRPr="005677B3">
        <w:rPr>
          <w:sz w:val="16"/>
          <w:szCs w:val="16"/>
        </w:rPr>
        <w:t> billion (3</w:t>
      </w:r>
      <w:r w:rsidR="00DD6176" w:rsidRPr="005677B3">
        <w:rPr>
          <w:sz w:val="16"/>
          <w:szCs w:val="16"/>
        </w:rPr>
        <w:t>1</w:t>
      </w:r>
      <w:r w:rsidRPr="005677B3">
        <w:rPr>
          <w:sz w:val="16"/>
          <w:szCs w:val="16"/>
        </w:rPr>
        <w:t>% of agricultural exports)</w:t>
      </w:r>
    </w:p>
    <w:p w14:paraId="05F5C8EB" w14:textId="55927D07"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canola seeds increased from $733 million (9% of agricultural exports) to $2.</w:t>
      </w:r>
      <w:r w:rsidR="00DD6176" w:rsidRPr="005677B3">
        <w:rPr>
          <w:sz w:val="16"/>
          <w:szCs w:val="16"/>
        </w:rPr>
        <w:t>5</w:t>
      </w:r>
      <w:r w:rsidRPr="005677B3">
        <w:rPr>
          <w:sz w:val="16"/>
          <w:szCs w:val="16"/>
        </w:rPr>
        <w:t> billion (</w:t>
      </w:r>
      <w:r w:rsidR="00DD6176" w:rsidRPr="005677B3">
        <w:rPr>
          <w:sz w:val="16"/>
          <w:szCs w:val="16"/>
        </w:rPr>
        <w:t>20</w:t>
      </w:r>
      <w:r w:rsidRPr="005677B3">
        <w:rPr>
          <w:sz w:val="16"/>
          <w:szCs w:val="16"/>
        </w:rPr>
        <w:t>% of agricultural exports).</w:t>
      </w:r>
    </w:p>
    <w:p w14:paraId="4129A07C" w14:textId="77777777" w:rsidR="00233755" w:rsidRPr="00BE1577" w:rsidRDefault="00233755" w:rsidP="006058E8">
      <w:pPr>
        <w:pStyle w:val="ListParagraph"/>
        <w:numPr>
          <w:ilvl w:val="0"/>
          <w:numId w:val="10"/>
        </w:numPr>
        <w:spacing w:before="40" w:after="40"/>
        <w:ind w:right="227"/>
        <w:rPr>
          <w:sz w:val="16"/>
          <w:szCs w:val="16"/>
        </w:rPr>
        <w:sectPr w:rsidR="00233755" w:rsidRPr="00BE1577" w:rsidSect="00233755">
          <w:type w:val="continuous"/>
          <w:pgSz w:w="11907" w:h="16840" w:code="9"/>
          <w:pgMar w:top="1701" w:right="425" w:bottom="567" w:left="567" w:header="709" w:footer="709" w:gutter="0"/>
          <w:cols w:num="2" w:space="113"/>
          <w:docGrid w:linePitch="360"/>
        </w:sectPr>
      </w:pPr>
    </w:p>
    <w:p w14:paraId="74FE88F7" w14:textId="77777777" w:rsidR="00233755" w:rsidRPr="006A5C44" w:rsidRDefault="00233755" w:rsidP="00233755">
      <w:pPr>
        <w:pStyle w:val="Heading4"/>
        <w:rPr>
          <w:i w:val="0"/>
          <w:iCs w:val="0"/>
          <w:color w:val="00997A"/>
          <w:sz w:val="20"/>
          <w:szCs w:val="20"/>
        </w:rPr>
        <w:sectPr w:rsidR="00233755" w:rsidRPr="006A5C44" w:rsidSect="00233755">
          <w:type w:val="continuous"/>
          <w:pgSz w:w="11907" w:h="16840" w:code="9"/>
          <w:pgMar w:top="1701" w:right="425" w:bottom="567" w:left="567" w:header="709" w:footer="709" w:gutter="0"/>
          <w:cols w:space="720"/>
          <w:docGrid w:linePitch="360"/>
        </w:sectPr>
      </w:pPr>
      <w:r w:rsidRPr="006A5C44">
        <w:rPr>
          <w:i w:val="0"/>
          <w:iCs w:val="0"/>
          <w:color w:val="00997A"/>
          <w:sz w:val="20"/>
          <w:szCs w:val="20"/>
        </w:rPr>
        <w:t>Defence industry gross value added</w:t>
      </w:r>
    </w:p>
    <w:p w14:paraId="63D9565A" w14:textId="4E868910" w:rsidR="00233755" w:rsidRPr="007B1AE5" w:rsidRDefault="00143E4F" w:rsidP="00233755">
      <w:r>
        <w:rPr>
          <w:noProof/>
        </w:rPr>
        <w:drawing>
          <wp:inline distT="0" distB="0" distL="0" distR="0" wp14:anchorId="3EC2AAEF" wp14:editId="12047BDD">
            <wp:extent cx="3400746" cy="2100406"/>
            <wp:effectExtent l="0" t="0" r="0" b="0"/>
            <wp:docPr id="199060238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08905" cy="2105445"/>
                    </a:xfrm>
                    <a:prstGeom prst="rect">
                      <a:avLst/>
                    </a:prstGeom>
                    <a:noFill/>
                    <a:ln>
                      <a:noFill/>
                    </a:ln>
                  </pic:spPr>
                </pic:pic>
              </a:graphicData>
            </a:graphic>
          </wp:inline>
        </w:drawing>
      </w:r>
    </w:p>
    <w:p w14:paraId="23D2A6D2"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63567DE2" w14:textId="77777777" w:rsidR="00233755" w:rsidRPr="00AF759E" w:rsidRDefault="00233755" w:rsidP="003A3A20">
      <w:pPr>
        <w:jc w:val="both"/>
        <w:rPr>
          <w:sz w:val="10"/>
          <w:szCs w:val="10"/>
        </w:rPr>
      </w:pPr>
      <w:r w:rsidRPr="00AF759E">
        <w:rPr>
          <w:sz w:val="10"/>
          <w:szCs w:val="10"/>
        </w:rPr>
        <w:t>Source: Based on ABS data.</w:t>
      </w:r>
    </w:p>
    <w:p w14:paraId="0AFC9BC1" w14:textId="1E055BCA" w:rsidR="00233755" w:rsidRPr="005764EA" w:rsidRDefault="00233755" w:rsidP="00C24386">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5764EA">
        <w:rPr>
          <w:sz w:val="16"/>
          <w:szCs w:val="16"/>
        </w:rPr>
        <w:t>The defence industry is an emerging part of Western Australia’s economy.</w:t>
      </w:r>
      <w:r w:rsidR="005764EA">
        <w:rPr>
          <w:sz w:val="16"/>
          <w:szCs w:val="16"/>
        </w:rPr>
        <w:t xml:space="preserve"> </w:t>
      </w:r>
      <w:r w:rsidRPr="005764EA">
        <w:rPr>
          <w:color w:val="000000" w:themeColor="text1"/>
          <w:sz w:val="16"/>
          <w:szCs w:val="16"/>
        </w:rPr>
        <w:t>GVA from expenditure by the Department of Defence contributed $808 million to the Western Australian economy in 2023</w:t>
      </w:r>
      <w:r w:rsidRPr="005764EA">
        <w:rPr>
          <w:color w:val="000000" w:themeColor="text1"/>
          <w:sz w:val="16"/>
          <w:szCs w:val="16"/>
        </w:rPr>
        <w:noBreakHyphen/>
        <w:t>24</w:t>
      </w:r>
      <w:r w:rsidR="005764EA">
        <w:rPr>
          <w:color w:val="000000" w:themeColor="text1"/>
          <w:sz w:val="16"/>
          <w:szCs w:val="16"/>
        </w:rPr>
        <w:t xml:space="preserve">, an </w:t>
      </w:r>
      <w:r w:rsidRPr="005764EA">
        <w:rPr>
          <w:color w:val="000000" w:themeColor="text1"/>
          <w:sz w:val="16"/>
          <w:szCs w:val="16"/>
        </w:rPr>
        <w:t>increase of 19% from the previous year.</w:t>
      </w:r>
    </w:p>
    <w:p w14:paraId="17EFF795" w14:textId="77777777" w:rsidR="00233755" w:rsidRPr="009402EF"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9402EF">
        <w:rPr>
          <w:color w:val="000000" w:themeColor="text1"/>
          <w:sz w:val="16"/>
          <w:szCs w:val="16"/>
        </w:rPr>
        <w:t>Between 2016-17 and 2023</w:t>
      </w:r>
      <w:r w:rsidRPr="009402EF">
        <w:rPr>
          <w:color w:val="000000" w:themeColor="text1"/>
          <w:sz w:val="16"/>
          <w:szCs w:val="16"/>
        </w:rPr>
        <w:noBreakHyphen/>
        <w:t>24, the defence industry’s contribution to the Western Australian economy more than doubled from $327 million to $808 million and Western Australia’s share of Australia’s total defence GVA increased from 5.3% to 6.8%.</w:t>
      </w:r>
    </w:p>
    <w:p w14:paraId="6BF9D901" w14:textId="77777777" w:rsidR="00233755" w:rsidRPr="009402EF"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9402EF">
        <w:rPr>
          <w:color w:val="000000" w:themeColor="text1"/>
          <w:sz w:val="16"/>
          <w:szCs w:val="16"/>
        </w:rPr>
        <w:t>In 2023</w:t>
      </w:r>
      <w:r w:rsidRPr="009402EF">
        <w:rPr>
          <w:color w:val="000000" w:themeColor="text1"/>
          <w:sz w:val="16"/>
          <w:szCs w:val="16"/>
        </w:rPr>
        <w:noBreakHyphen/>
        <w:t>24 the jurisdictions with the largest share of Australia’s total defence GVA were:</w:t>
      </w:r>
    </w:p>
    <w:p w14:paraId="6B06FF4F"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New South Wales ($3.5 billion or 29%)</w:t>
      </w:r>
    </w:p>
    <w:p w14:paraId="067D74F6"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Victoria ($2.5 billion or 21%)</w:t>
      </w:r>
    </w:p>
    <w:p w14:paraId="15FCAD34"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South Australia ($2.0 billion or 17%)</w:t>
      </w:r>
    </w:p>
    <w:p w14:paraId="198D6156"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Australian Capital Territory ($1.7 billion or 15%)</w:t>
      </w:r>
    </w:p>
    <w:p w14:paraId="5FDBD19E" w14:textId="77777777" w:rsidR="00233755" w:rsidRPr="009402EF"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9402EF">
        <w:rPr>
          <w:color w:val="000000" w:themeColor="text1"/>
          <w:sz w:val="16"/>
          <w:szCs w:val="16"/>
        </w:rPr>
        <w:t>Employment associated with defence expenditure in Western Australia increased to 4,600 in 2023</w:t>
      </w:r>
      <w:r w:rsidRPr="009402EF">
        <w:rPr>
          <w:color w:val="000000" w:themeColor="text1"/>
          <w:sz w:val="16"/>
          <w:szCs w:val="16"/>
        </w:rPr>
        <w:noBreakHyphen/>
        <w:t>24.</w:t>
      </w:r>
    </w:p>
    <w:p w14:paraId="0F058F24"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3510B6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5" w:name="_Tourism_and_international"/>
      <w:bookmarkEnd w:id="55"/>
      <w:r w:rsidRPr="008F7AA0">
        <w:rPr>
          <w:bCs/>
          <w:color w:val="004C3D"/>
          <w:sz w:val="24"/>
          <w:szCs w:val="24"/>
        </w:rPr>
        <w:lastRenderedPageBreak/>
        <w:t>Tourism and international education</w:t>
      </w:r>
    </w:p>
    <w:p w14:paraId="372F588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63A196" w14:textId="77777777"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Visitor expenditure</w:t>
      </w:r>
    </w:p>
    <w:p w14:paraId="3F3AC4F8" w14:textId="2B5CB4DA" w:rsidR="00233755" w:rsidRPr="007B1AE5" w:rsidRDefault="005E3577" w:rsidP="00233755">
      <w:r>
        <w:rPr>
          <w:noProof/>
        </w:rPr>
        <w:drawing>
          <wp:inline distT="0" distB="0" distL="0" distR="0" wp14:anchorId="1DCE213A" wp14:editId="01B393E4">
            <wp:extent cx="3420000" cy="2105827"/>
            <wp:effectExtent l="0" t="0" r="9525" b="8890"/>
            <wp:docPr id="168286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4CA330E4" w14:textId="63C421DF" w:rsidR="00233755" w:rsidRPr="00F71595" w:rsidRDefault="00233755" w:rsidP="003A3A20">
      <w:pPr>
        <w:jc w:val="both"/>
        <w:rPr>
          <w:color w:val="000000" w:themeColor="text1"/>
          <w:sz w:val="10"/>
          <w:szCs w:val="10"/>
        </w:rPr>
      </w:pPr>
      <w:r w:rsidRPr="000C0C45">
        <w:rPr>
          <w:sz w:val="10"/>
        </w:rPr>
        <w:t xml:space="preserve">Note – </w:t>
      </w:r>
      <w:r w:rsidRPr="00AF759E">
        <w:rPr>
          <w:sz w:val="10"/>
          <w:szCs w:val="10"/>
        </w:rPr>
        <w:t xml:space="preserve">Current prices. </w:t>
      </w:r>
      <w:r w:rsidRPr="00CE2829">
        <w:rPr>
          <w:sz w:val="10"/>
          <w:szCs w:val="10"/>
        </w:rPr>
        <w:t xml:space="preserve">Original </w:t>
      </w:r>
      <w:r w:rsidRPr="00F71595">
        <w:rPr>
          <w:color w:val="000000" w:themeColor="text1"/>
          <w:sz w:val="10"/>
          <w:szCs w:val="10"/>
        </w:rPr>
        <w:t>series.</w:t>
      </w:r>
      <w:r w:rsidR="00556794" w:rsidRPr="00F71595">
        <w:rPr>
          <w:color w:val="000000" w:themeColor="text1"/>
          <w:sz w:val="10"/>
          <w:szCs w:val="10"/>
        </w:rPr>
        <w:t xml:space="preserve"> </w:t>
      </w:r>
      <w:r w:rsidR="00534195" w:rsidRPr="00F71595">
        <w:rPr>
          <w:color w:val="000000" w:themeColor="text1"/>
          <w:sz w:val="10"/>
          <w:szCs w:val="10"/>
        </w:rPr>
        <w:t>The way domestic visitor data is measured in Australia has changed and this change modified data back to 2019-20.</w:t>
      </w:r>
      <w:r w:rsidR="00FC4320" w:rsidRPr="00F71595">
        <w:rPr>
          <w:color w:val="000000" w:themeColor="text1"/>
          <w:sz w:val="10"/>
          <w:szCs w:val="10"/>
        </w:rPr>
        <w:t xml:space="preserve"> As such, data for the years before 2019</w:t>
      </w:r>
      <w:r w:rsidR="00FC4320" w:rsidRPr="00F71595">
        <w:rPr>
          <w:color w:val="000000" w:themeColor="text1"/>
          <w:sz w:val="10"/>
          <w:szCs w:val="10"/>
        </w:rPr>
        <w:noBreakHyphen/>
        <w:t>20 are not comparable.</w:t>
      </w:r>
      <w:r w:rsidR="00534195" w:rsidRPr="00F71595">
        <w:rPr>
          <w:color w:val="000000" w:themeColor="text1"/>
          <w:sz w:val="10"/>
          <w:szCs w:val="10"/>
        </w:rPr>
        <w:t xml:space="preserve"> </w:t>
      </w:r>
      <w:r w:rsidR="00556794" w:rsidRPr="00F71595">
        <w:rPr>
          <w:color w:val="000000" w:themeColor="text1"/>
          <w:sz w:val="10"/>
          <w:szCs w:val="10"/>
          <w:vertAlign w:val="superscript"/>
        </w:rPr>
        <w:t>1</w:t>
      </w:r>
      <w:r w:rsidR="00556794" w:rsidRPr="00F71595">
        <w:rPr>
          <w:color w:val="000000" w:themeColor="text1"/>
          <w:sz w:val="10"/>
          <w:szCs w:val="10"/>
        </w:rPr>
        <w:t xml:space="preserve"> The indirect effects measure the effect of tourism demand on businesses that provide goods and services to the tourism industry. These effects are calculated by Tourism Research Australia using input</w:t>
      </w:r>
      <w:r w:rsidR="00556794" w:rsidRPr="00F71595">
        <w:rPr>
          <w:color w:val="000000" w:themeColor="text1"/>
          <w:sz w:val="10"/>
          <w:szCs w:val="10"/>
        </w:rPr>
        <w:noBreakHyphen/>
        <w:t>output analysis methods.</w:t>
      </w:r>
    </w:p>
    <w:p w14:paraId="2B9769A7" w14:textId="77777777" w:rsidR="00233755" w:rsidRPr="00AF759E" w:rsidRDefault="00233755" w:rsidP="003A3A20">
      <w:pPr>
        <w:jc w:val="both"/>
        <w:rPr>
          <w:sz w:val="10"/>
          <w:szCs w:val="10"/>
        </w:rPr>
      </w:pPr>
      <w:r w:rsidRPr="00AF759E">
        <w:rPr>
          <w:sz w:val="10"/>
          <w:szCs w:val="10"/>
        </w:rPr>
        <w:t>Source: Tourism Research Australia.</w:t>
      </w:r>
    </w:p>
    <w:p w14:paraId="683605CD" w14:textId="765456AE" w:rsidR="00985365" w:rsidRPr="00F71595"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985365" w:rsidRPr="00F71595">
        <w:rPr>
          <w:color w:val="000000" w:themeColor="text1"/>
          <w:sz w:val="16"/>
          <w:szCs w:val="16"/>
        </w:rPr>
        <w:t>Visitor expenditure in Western Australia grew to a record level in 2023</w:t>
      </w:r>
      <w:r w:rsidR="00534195" w:rsidRPr="00F71595">
        <w:rPr>
          <w:color w:val="000000" w:themeColor="text1"/>
          <w:sz w:val="16"/>
          <w:szCs w:val="16"/>
        </w:rPr>
        <w:t>-24</w:t>
      </w:r>
      <w:r w:rsidR="00985365" w:rsidRPr="00F71595">
        <w:rPr>
          <w:color w:val="000000" w:themeColor="text1"/>
          <w:sz w:val="16"/>
          <w:szCs w:val="16"/>
        </w:rPr>
        <w:t>. While international visitor expenditure continued to grow in 2024</w:t>
      </w:r>
      <w:r w:rsidR="00534195" w:rsidRPr="00F71595">
        <w:rPr>
          <w:color w:val="000000" w:themeColor="text1"/>
          <w:sz w:val="16"/>
          <w:szCs w:val="16"/>
        </w:rPr>
        <w:t>-25</w:t>
      </w:r>
      <w:r w:rsidR="00985365" w:rsidRPr="00F71595">
        <w:rPr>
          <w:color w:val="000000" w:themeColor="text1"/>
          <w:sz w:val="16"/>
          <w:szCs w:val="16"/>
        </w:rPr>
        <w:t>, lower interstate and intrastate visitor expenditure led to a fall in total visitor expenditure</w:t>
      </w:r>
      <w:r w:rsidR="00126B8D" w:rsidRPr="00F71595">
        <w:rPr>
          <w:color w:val="000000" w:themeColor="text1"/>
          <w:sz w:val="16"/>
          <w:szCs w:val="16"/>
        </w:rPr>
        <w:t xml:space="preserve"> in 2024</w:t>
      </w:r>
      <w:r w:rsidR="00534195" w:rsidRPr="00F71595">
        <w:rPr>
          <w:color w:val="000000" w:themeColor="text1"/>
          <w:sz w:val="16"/>
          <w:szCs w:val="16"/>
        </w:rPr>
        <w:t>-25</w:t>
      </w:r>
      <w:r w:rsidR="00985365" w:rsidRPr="00F71595">
        <w:rPr>
          <w:color w:val="000000" w:themeColor="text1"/>
          <w:sz w:val="16"/>
          <w:szCs w:val="16"/>
        </w:rPr>
        <w:t>.</w:t>
      </w:r>
    </w:p>
    <w:p w14:paraId="4B670D22" w14:textId="70B075AA" w:rsidR="00233755" w:rsidRPr="00F71595" w:rsidRDefault="00233755" w:rsidP="00985365">
      <w:pPr>
        <w:pStyle w:val="ListParagraph"/>
        <w:numPr>
          <w:ilvl w:val="0"/>
          <w:numId w:val="9"/>
        </w:numPr>
        <w:spacing w:before="40" w:after="40"/>
        <w:ind w:right="227" w:hanging="357"/>
        <w:contextualSpacing w:val="0"/>
        <w:jc w:val="both"/>
        <w:rPr>
          <w:color w:val="000000" w:themeColor="text1"/>
          <w:sz w:val="16"/>
          <w:szCs w:val="16"/>
        </w:rPr>
      </w:pPr>
      <w:r w:rsidRPr="00F71595">
        <w:rPr>
          <w:color w:val="000000" w:themeColor="text1"/>
          <w:sz w:val="16"/>
          <w:szCs w:val="16"/>
        </w:rPr>
        <w:t>Tourists in Western Australia spent a total of $17.</w:t>
      </w:r>
      <w:r w:rsidR="00534195" w:rsidRPr="00F71595">
        <w:rPr>
          <w:color w:val="000000" w:themeColor="text1"/>
          <w:sz w:val="16"/>
          <w:szCs w:val="16"/>
        </w:rPr>
        <w:t>4</w:t>
      </w:r>
      <w:r w:rsidRPr="00F71595">
        <w:rPr>
          <w:color w:val="000000" w:themeColor="text1"/>
          <w:sz w:val="16"/>
          <w:szCs w:val="16"/>
        </w:rPr>
        <w:t> billion in 2024</w:t>
      </w:r>
      <w:r w:rsidR="00534195" w:rsidRPr="00F71595">
        <w:rPr>
          <w:color w:val="000000" w:themeColor="text1"/>
          <w:sz w:val="16"/>
          <w:szCs w:val="16"/>
        </w:rPr>
        <w:t>-25</w:t>
      </w:r>
      <w:r w:rsidRPr="00F71595">
        <w:rPr>
          <w:color w:val="000000" w:themeColor="text1"/>
          <w:sz w:val="16"/>
          <w:szCs w:val="16"/>
        </w:rPr>
        <w:t xml:space="preserve">, </w:t>
      </w:r>
      <w:r w:rsidR="00534195" w:rsidRPr="00F71595">
        <w:rPr>
          <w:color w:val="000000" w:themeColor="text1"/>
          <w:sz w:val="16"/>
          <w:szCs w:val="16"/>
        </w:rPr>
        <w:t>3.8</w:t>
      </w:r>
      <w:r w:rsidRPr="00F71595">
        <w:rPr>
          <w:color w:val="000000" w:themeColor="text1"/>
          <w:sz w:val="16"/>
          <w:szCs w:val="16"/>
        </w:rPr>
        <w:t>% ($</w:t>
      </w:r>
      <w:r w:rsidR="00534195" w:rsidRPr="00F71595">
        <w:rPr>
          <w:color w:val="000000" w:themeColor="text1"/>
          <w:sz w:val="16"/>
          <w:szCs w:val="16"/>
        </w:rPr>
        <w:t>693</w:t>
      </w:r>
      <w:r w:rsidRPr="00F71595">
        <w:rPr>
          <w:color w:val="000000" w:themeColor="text1"/>
          <w:sz w:val="16"/>
          <w:szCs w:val="16"/>
        </w:rPr>
        <w:t xml:space="preserve"> million) less than in 2023</w:t>
      </w:r>
      <w:r w:rsidR="00534195" w:rsidRPr="00F71595">
        <w:rPr>
          <w:color w:val="000000" w:themeColor="text1"/>
          <w:sz w:val="16"/>
          <w:szCs w:val="16"/>
        </w:rPr>
        <w:t>-24</w:t>
      </w:r>
      <w:r w:rsidRPr="00F71595">
        <w:rPr>
          <w:color w:val="000000" w:themeColor="text1"/>
          <w:sz w:val="16"/>
          <w:szCs w:val="16"/>
        </w:rPr>
        <w:t>.</w:t>
      </w:r>
      <w:r w:rsidR="00985365" w:rsidRPr="00F71595">
        <w:rPr>
          <w:color w:val="000000" w:themeColor="text1"/>
          <w:sz w:val="16"/>
          <w:szCs w:val="16"/>
        </w:rPr>
        <w:t xml:space="preserve"> </w:t>
      </w:r>
      <w:r w:rsidRPr="00F71595">
        <w:rPr>
          <w:color w:val="000000" w:themeColor="text1"/>
          <w:sz w:val="16"/>
          <w:szCs w:val="16"/>
        </w:rPr>
        <w:t>In 2024</w:t>
      </w:r>
      <w:r w:rsidR="00534195" w:rsidRPr="00F71595">
        <w:rPr>
          <w:color w:val="000000" w:themeColor="text1"/>
          <w:sz w:val="16"/>
          <w:szCs w:val="16"/>
        </w:rPr>
        <w:t>-25</w:t>
      </w:r>
      <w:r w:rsidRPr="00F71595">
        <w:rPr>
          <w:color w:val="000000" w:themeColor="text1"/>
          <w:sz w:val="16"/>
          <w:szCs w:val="16"/>
        </w:rPr>
        <w:t>, in Western Australia:</w:t>
      </w:r>
    </w:p>
    <w:p w14:paraId="4B6FB023" w14:textId="268A2A7F" w:rsidR="00233755" w:rsidRPr="00F71595"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F71595">
        <w:rPr>
          <w:color w:val="000000" w:themeColor="text1"/>
          <w:sz w:val="16"/>
          <w:szCs w:val="16"/>
        </w:rPr>
        <w:t xml:space="preserve">intrastate </w:t>
      </w:r>
      <w:proofErr w:type="gramStart"/>
      <w:r w:rsidRPr="00F71595">
        <w:rPr>
          <w:color w:val="000000" w:themeColor="text1"/>
          <w:sz w:val="16"/>
          <w:szCs w:val="16"/>
        </w:rPr>
        <w:t>visitor</w:t>
      </w:r>
      <w:proofErr w:type="gramEnd"/>
      <w:r w:rsidRPr="00F71595">
        <w:rPr>
          <w:color w:val="000000" w:themeColor="text1"/>
          <w:sz w:val="16"/>
          <w:szCs w:val="16"/>
        </w:rPr>
        <w:t xml:space="preserve"> spend (including daytrips) fell </w:t>
      </w:r>
      <w:r w:rsidR="00534195" w:rsidRPr="00F71595">
        <w:rPr>
          <w:color w:val="000000" w:themeColor="text1"/>
          <w:sz w:val="16"/>
          <w:szCs w:val="16"/>
        </w:rPr>
        <w:t>9.8</w:t>
      </w:r>
      <w:r w:rsidRPr="00F71595">
        <w:rPr>
          <w:color w:val="000000" w:themeColor="text1"/>
          <w:sz w:val="16"/>
          <w:szCs w:val="16"/>
        </w:rPr>
        <w:t>% to $11.</w:t>
      </w:r>
      <w:r w:rsidR="00534195" w:rsidRPr="00F71595">
        <w:rPr>
          <w:color w:val="000000" w:themeColor="text1"/>
          <w:sz w:val="16"/>
          <w:szCs w:val="16"/>
        </w:rPr>
        <w:t>2</w:t>
      </w:r>
      <w:r w:rsidRPr="00F71595">
        <w:rPr>
          <w:color w:val="000000" w:themeColor="text1"/>
          <w:sz w:val="16"/>
          <w:szCs w:val="16"/>
        </w:rPr>
        <w:t> billion</w:t>
      </w:r>
    </w:p>
    <w:p w14:paraId="16C4FFF1" w14:textId="42A78045" w:rsidR="00233755" w:rsidRPr="00F71595"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F71595">
        <w:rPr>
          <w:color w:val="000000" w:themeColor="text1"/>
          <w:sz w:val="16"/>
          <w:szCs w:val="16"/>
        </w:rPr>
        <w:t xml:space="preserve">interstate visitor </w:t>
      </w:r>
      <w:proofErr w:type="gramStart"/>
      <w:r w:rsidRPr="00F71595">
        <w:rPr>
          <w:color w:val="000000" w:themeColor="text1"/>
          <w:sz w:val="16"/>
          <w:szCs w:val="16"/>
        </w:rPr>
        <w:t>spend</w:t>
      </w:r>
      <w:proofErr w:type="gramEnd"/>
      <w:r w:rsidRPr="00F71595">
        <w:rPr>
          <w:color w:val="000000" w:themeColor="text1"/>
          <w:sz w:val="16"/>
          <w:szCs w:val="16"/>
        </w:rPr>
        <w:t xml:space="preserve"> fell </w:t>
      </w:r>
      <w:r w:rsidR="00534195" w:rsidRPr="00F71595">
        <w:rPr>
          <w:color w:val="000000" w:themeColor="text1"/>
          <w:sz w:val="16"/>
          <w:szCs w:val="16"/>
        </w:rPr>
        <w:t>16.5</w:t>
      </w:r>
      <w:r w:rsidRPr="00F71595">
        <w:rPr>
          <w:color w:val="000000" w:themeColor="text1"/>
          <w:sz w:val="16"/>
          <w:szCs w:val="16"/>
        </w:rPr>
        <w:t>% to $</w:t>
      </w:r>
      <w:r w:rsidR="00534195" w:rsidRPr="00F71595">
        <w:rPr>
          <w:color w:val="000000" w:themeColor="text1"/>
          <w:sz w:val="16"/>
          <w:szCs w:val="16"/>
        </w:rPr>
        <w:t>2.7</w:t>
      </w:r>
      <w:r w:rsidRPr="00F71595">
        <w:rPr>
          <w:color w:val="000000" w:themeColor="text1"/>
          <w:sz w:val="16"/>
          <w:szCs w:val="16"/>
        </w:rPr>
        <w:t> billion</w:t>
      </w:r>
    </w:p>
    <w:p w14:paraId="1E9B7022" w14:textId="57DDEEB1" w:rsidR="00233755" w:rsidRPr="00F71595"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F71595">
        <w:rPr>
          <w:color w:val="000000" w:themeColor="text1"/>
          <w:sz w:val="16"/>
          <w:szCs w:val="16"/>
        </w:rPr>
        <w:t xml:space="preserve">international visitor </w:t>
      </w:r>
      <w:proofErr w:type="gramStart"/>
      <w:r w:rsidRPr="00F71595">
        <w:rPr>
          <w:color w:val="000000" w:themeColor="text1"/>
          <w:sz w:val="16"/>
          <w:szCs w:val="16"/>
        </w:rPr>
        <w:t>spend</w:t>
      </w:r>
      <w:proofErr w:type="gramEnd"/>
      <w:r w:rsidRPr="00F71595">
        <w:rPr>
          <w:color w:val="000000" w:themeColor="text1"/>
          <w:sz w:val="16"/>
          <w:szCs w:val="16"/>
        </w:rPr>
        <w:t xml:space="preserve"> rose </w:t>
      </w:r>
      <w:r w:rsidR="00534195" w:rsidRPr="00F71595">
        <w:rPr>
          <w:color w:val="000000" w:themeColor="text1"/>
          <w:sz w:val="16"/>
          <w:szCs w:val="16"/>
        </w:rPr>
        <w:t>43.6</w:t>
      </w:r>
      <w:r w:rsidRPr="00F71595">
        <w:rPr>
          <w:color w:val="000000" w:themeColor="text1"/>
          <w:sz w:val="16"/>
          <w:szCs w:val="16"/>
        </w:rPr>
        <w:t>% to $</w:t>
      </w:r>
      <w:r w:rsidR="00534195" w:rsidRPr="00F71595">
        <w:rPr>
          <w:color w:val="000000" w:themeColor="text1"/>
          <w:sz w:val="16"/>
          <w:szCs w:val="16"/>
        </w:rPr>
        <w:t>3.5</w:t>
      </w:r>
      <w:r w:rsidRPr="00F71595">
        <w:rPr>
          <w:color w:val="000000" w:themeColor="text1"/>
          <w:sz w:val="16"/>
          <w:szCs w:val="16"/>
        </w:rPr>
        <w:t> billion.</w:t>
      </w:r>
    </w:p>
    <w:p w14:paraId="497578A5" w14:textId="77777777" w:rsidR="00126B8D" w:rsidRPr="00CE2829" w:rsidRDefault="00126B8D" w:rsidP="006058E8">
      <w:pPr>
        <w:pStyle w:val="ListParagraph"/>
        <w:numPr>
          <w:ilvl w:val="0"/>
          <w:numId w:val="9"/>
        </w:numPr>
        <w:spacing w:before="40" w:after="40"/>
        <w:ind w:right="227" w:hanging="357"/>
        <w:contextualSpacing w:val="0"/>
        <w:jc w:val="both"/>
        <w:rPr>
          <w:sz w:val="16"/>
          <w:szCs w:val="16"/>
        </w:rPr>
      </w:pPr>
      <w:r w:rsidRPr="00CE2829">
        <w:rPr>
          <w:sz w:val="16"/>
          <w:szCs w:val="16"/>
        </w:rPr>
        <w:t>In 2023</w:t>
      </w:r>
      <w:r w:rsidRPr="00CE2829">
        <w:rPr>
          <w:sz w:val="16"/>
          <w:szCs w:val="16"/>
        </w:rPr>
        <w:noBreakHyphen/>
        <w:t>24, the tourism industry made a direct contribution to Western Australia’s GSP of $7.8 billion (5.8% more than 2022</w:t>
      </w:r>
      <w:r w:rsidRPr="00CE2829">
        <w:rPr>
          <w:sz w:val="16"/>
          <w:szCs w:val="16"/>
        </w:rPr>
        <w:noBreakHyphen/>
        <w:t xml:space="preserve">23) and the number of direct </w:t>
      </w:r>
      <w:proofErr w:type="gramStart"/>
      <w:r w:rsidRPr="00CE2829">
        <w:rPr>
          <w:sz w:val="16"/>
          <w:szCs w:val="16"/>
        </w:rPr>
        <w:t>tourism</w:t>
      </w:r>
      <w:proofErr w:type="gramEnd"/>
      <w:r w:rsidRPr="00CE2829">
        <w:rPr>
          <w:sz w:val="16"/>
          <w:szCs w:val="16"/>
        </w:rPr>
        <w:t xml:space="preserve"> filled jobs in Western Australia was 72,700 (4.1% more than 2022</w:t>
      </w:r>
      <w:r w:rsidRPr="00CE2829">
        <w:rPr>
          <w:sz w:val="16"/>
          <w:szCs w:val="16"/>
        </w:rPr>
        <w:noBreakHyphen/>
        <w:t>23).</w:t>
      </w:r>
    </w:p>
    <w:p w14:paraId="438CE386" w14:textId="08ACBFA6" w:rsidR="00126B8D" w:rsidRPr="00741843" w:rsidRDefault="00126B8D" w:rsidP="005506C3">
      <w:pPr>
        <w:pStyle w:val="ListParagraph"/>
        <w:numPr>
          <w:ilvl w:val="1"/>
          <w:numId w:val="9"/>
        </w:numPr>
        <w:spacing w:before="40" w:after="40"/>
        <w:ind w:right="227"/>
        <w:contextualSpacing w:val="0"/>
        <w:jc w:val="both"/>
        <w:rPr>
          <w:color w:val="000000" w:themeColor="text1"/>
          <w:sz w:val="16"/>
          <w:szCs w:val="16"/>
        </w:rPr>
      </w:pPr>
      <w:r w:rsidRPr="00741843">
        <w:rPr>
          <w:color w:val="000000" w:themeColor="text1"/>
          <w:sz w:val="16"/>
          <w:szCs w:val="16"/>
        </w:rPr>
        <w:t>If indirect effects are included</w:t>
      </w:r>
      <w:r w:rsidR="00556794" w:rsidRPr="00741843">
        <w:rPr>
          <w:color w:val="000000" w:themeColor="text1"/>
          <w:sz w:val="16"/>
          <w:szCs w:val="16"/>
          <w:vertAlign w:val="superscript"/>
        </w:rPr>
        <w:t>1</w:t>
      </w:r>
      <w:r w:rsidRPr="00741843">
        <w:rPr>
          <w:color w:val="000000" w:themeColor="text1"/>
          <w:sz w:val="16"/>
          <w:szCs w:val="16"/>
        </w:rPr>
        <w:t>, in 2023</w:t>
      </w:r>
      <w:r w:rsidRPr="00741843">
        <w:rPr>
          <w:color w:val="000000" w:themeColor="text1"/>
          <w:sz w:val="16"/>
          <w:szCs w:val="16"/>
        </w:rPr>
        <w:noBreakHyphen/>
        <w:t xml:space="preserve">24 the contribution to </w:t>
      </w:r>
      <w:r w:rsidR="00556794" w:rsidRPr="00741843">
        <w:rPr>
          <w:color w:val="000000" w:themeColor="text1"/>
          <w:sz w:val="16"/>
          <w:szCs w:val="16"/>
        </w:rPr>
        <w:t xml:space="preserve">Western Australia’s </w:t>
      </w:r>
      <w:r w:rsidRPr="00741843">
        <w:rPr>
          <w:color w:val="000000" w:themeColor="text1"/>
          <w:sz w:val="16"/>
          <w:szCs w:val="16"/>
        </w:rPr>
        <w:t xml:space="preserve">GSP was $15.9 billion and the number of </w:t>
      </w:r>
      <w:proofErr w:type="gramStart"/>
      <w:r w:rsidRPr="00741843">
        <w:rPr>
          <w:color w:val="000000" w:themeColor="text1"/>
          <w:sz w:val="16"/>
          <w:szCs w:val="16"/>
        </w:rPr>
        <w:t>tourism</w:t>
      </w:r>
      <w:proofErr w:type="gramEnd"/>
      <w:r w:rsidRPr="00741843">
        <w:rPr>
          <w:color w:val="000000" w:themeColor="text1"/>
          <w:sz w:val="16"/>
          <w:szCs w:val="16"/>
        </w:rPr>
        <w:t xml:space="preserve"> filled jobs </w:t>
      </w:r>
      <w:r w:rsidR="00556794" w:rsidRPr="00741843">
        <w:rPr>
          <w:color w:val="000000" w:themeColor="text1"/>
          <w:sz w:val="16"/>
          <w:szCs w:val="16"/>
        </w:rPr>
        <w:t xml:space="preserve">in Western Australia </w:t>
      </w:r>
      <w:r w:rsidRPr="00741843">
        <w:rPr>
          <w:color w:val="000000" w:themeColor="text1"/>
          <w:sz w:val="16"/>
          <w:szCs w:val="16"/>
        </w:rPr>
        <w:t>was 120,100.</w:t>
      </w:r>
    </w:p>
    <w:p w14:paraId="70774F0E" w14:textId="77777777" w:rsidR="00233755" w:rsidRPr="00DA18C3" w:rsidRDefault="00233755" w:rsidP="006058E8">
      <w:pPr>
        <w:pStyle w:val="ListParagraph"/>
        <w:numPr>
          <w:ilvl w:val="0"/>
          <w:numId w:val="9"/>
        </w:numPr>
        <w:spacing w:before="40" w:after="40"/>
        <w:ind w:right="227"/>
        <w:rPr>
          <w:sz w:val="16"/>
          <w:szCs w:val="16"/>
        </w:rPr>
        <w:sectPr w:rsidR="00233755" w:rsidRPr="00DA18C3" w:rsidSect="00233755">
          <w:type w:val="continuous"/>
          <w:pgSz w:w="11907" w:h="16840" w:code="9"/>
          <w:pgMar w:top="1701" w:right="425" w:bottom="567" w:left="567" w:header="709" w:footer="709" w:gutter="0"/>
          <w:cols w:num="2" w:space="113"/>
          <w:docGrid w:linePitch="360"/>
        </w:sectPr>
      </w:pPr>
    </w:p>
    <w:p w14:paraId="2C20AD32" w14:textId="42B33158"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Export</w:t>
      </w:r>
      <w:r w:rsidR="003709D4">
        <w:rPr>
          <w:i w:val="0"/>
          <w:iCs w:val="0"/>
          <w:color w:val="00997A"/>
          <w:sz w:val="20"/>
          <w:szCs w:val="20"/>
        </w:rPr>
        <w:t>s</w:t>
      </w:r>
      <w:r w:rsidRPr="00ED7BE7">
        <w:rPr>
          <w:i w:val="0"/>
          <w:iCs w:val="0"/>
          <w:color w:val="00997A"/>
          <w:sz w:val="20"/>
          <w:szCs w:val="20"/>
        </w:rPr>
        <w:t xml:space="preserve"> of education-related travel services</w:t>
      </w:r>
      <w:r w:rsidR="00C30E82">
        <w:rPr>
          <w:i w:val="0"/>
          <w:iCs w:val="0"/>
          <w:color w:val="00997A"/>
          <w:sz w:val="20"/>
          <w:szCs w:val="20"/>
          <w:vertAlign w:val="superscript"/>
        </w:rPr>
        <w:t>1</w:t>
      </w:r>
    </w:p>
    <w:p w14:paraId="7CA11A39" w14:textId="7861BF1F" w:rsidR="00233755" w:rsidRPr="007B1AE5" w:rsidRDefault="00FC79A4" w:rsidP="00233755">
      <w:r>
        <w:rPr>
          <w:noProof/>
        </w:rPr>
        <w:drawing>
          <wp:inline distT="0" distB="0" distL="0" distR="0" wp14:anchorId="5A61486B" wp14:editId="1EAA8643">
            <wp:extent cx="3420000" cy="2112121"/>
            <wp:effectExtent l="0" t="0" r="9525" b="2540"/>
            <wp:docPr id="1874544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B77EC5A" w14:textId="53C51756"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r>
        <w:rPr>
          <w:sz w:val="10"/>
          <w:szCs w:val="10"/>
        </w:rPr>
        <w:t xml:space="preserve"> </w:t>
      </w:r>
      <w:r w:rsidR="003709D4" w:rsidRPr="003709D4">
        <w:rPr>
          <w:sz w:val="10"/>
          <w:szCs w:val="10"/>
          <w:vertAlign w:val="superscript"/>
        </w:rPr>
        <w:t>1</w:t>
      </w:r>
      <w:r>
        <w:rPr>
          <w:sz w:val="10"/>
          <w:szCs w:val="10"/>
        </w:rPr>
        <w:t xml:space="preserve"> The value of education</w:t>
      </w:r>
      <w:r>
        <w:rPr>
          <w:sz w:val="10"/>
          <w:szCs w:val="10"/>
        </w:rPr>
        <w:noBreakHyphen/>
        <w:t>related services exports can include expenditure by international students that is funded from income earned while in Australia.</w:t>
      </w:r>
    </w:p>
    <w:p w14:paraId="52B3050C" w14:textId="77777777" w:rsidR="00233755" w:rsidRPr="00AF759E" w:rsidRDefault="00233755" w:rsidP="003A3A20">
      <w:pPr>
        <w:jc w:val="both"/>
        <w:rPr>
          <w:sz w:val="10"/>
          <w:szCs w:val="10"/>
        </w:rPr>
      </w:pPr>
      <w:r w:rsidRPr="00AF759E">
        <w:rPr>
          <w:sz w:val="10"/>
          <w:szCs w:val="10"/>
        </w:rPr>
        <w:t>Source: Based on ABS data.</w:t>
      </w:r>
    </w:p>
    <w:p w14:paraId="38D57AB9" w14:textId="07C36ECE" w:rsidR="00233755" w:rsidRPr="00CA7474" w:rsidRDefault="00233755" w:rsidP="00FC79A4">
      <w:pPr>
        <w:pStyle w:val="ListParagraph"/>
        <w:numPr>
          <w:ilvl w:val="0"/>
          <w:numId w:val="9"/>
        </w:numPr>
        <w:spacing w:before="40" w:after="40"/>
        <w:ind w:right="227" w:hanging="357"/>
        <w:contextualSpacing w:val="0"/>
        <w:jc w:val="both"/>
        <w:rPr>
          <w:sz w:val="16"/>
          <w:szCs w:val="16"/>
        </w:rPr>
      </w:pPr>
      <w:r w:rsidRPr="007B1AE5">
        <w:br w:type="column"/>
      </w:r>
      <w:r w:rsidRPr="00CA7474">
        <w:rPr>
          <w:sz w:val="16"/>
          <w:szCs w:val="16"/>
        </w:rPr>
        <w:t>The value of education</w:t>
      </w:r>
      <w:r w:rsidRPr="00CA7474">
        <w:rPr>
          <w:sz w:val="16"/>
          <w:szCs w:val="16"/>
        </w:rPr>
        <w:noBreakHyphen/>
        <w:t>related travel services exports provides a measure of the direct economic contribution of the international education sector.</w:t>
      </w:r>
    </w:p>
    <w:p w14:paraId="70D1CB1E" w14:textId="7B96CEEC" w:rsidR="00233755" w:rsidRPr="00CA7474" w:rsidRDefault="00AC3986" w:rsidP="006058E8">
      <w:pPr>
        <w:pStyle w:val="ListParagraph"/>
        <w:numPr>
          <w:ilvl w:val="0"/>
          <w:numId w:val="9"/>
        </w:numPr>
        <w:spacing w:before="40" w:after="40"/>
        <w:ind w:left="357" w:right="227" w:hanging="357"/>
        <w:contextualSpacing w:val="0"/>
        <w:jc w:val="both"/>
        <w:rPr>
          <w:sz w:val="16"/>
          <w:szCs w:val="16"/>
        </w:rPr>
      </w:pPr>
      <w:r w:rsidRPr="00CA7474">
        <w:rPr>
          <w:sz w:val="16"/>
          <w:szCs w:val="16"/>
        </w:rPr>
        <w:t>T</w:t>
      </w:r>
      <w:r w:rsidR="00FE70E8" w:rsidRPr="00CA7474">
        <w:rPr>
          <w:sz w:val="16"/>
          <w:szCs w:val="16"/>
        </w:rPr>
        <w:t>he valu</w:t>
      </w:r>
      <w:r w:rsidRPr="00CA7474">
        <w:rPr>
          <w:sz w:val="16"/>
          <w:szCs w:val="16"/>
        </w:rPr>
        <w:t xml:space="preserve">e of </w:t>
      </w:r>
      <w:r w:rsidR="00501E92" w:rsidRPr="00CA7474">
        <w:rPr>
          <w:sz w:val="16"/>
          <w:szCs w:val="16"/>
        </w:rPr>
        <w:t>Western Australia’s</w:t>
      </w:r>
      <w:r w:rsidR="00233755" w:rsidRPr="00CA7474">
        <w:rPr>
          <w:sz w:val="16"/>
          <w:szCs w:val="16"/>
        </w:rPr>
        <w:t xml:space="preserve"> education</w:t>
      </w:r>
      <w:r w:rsidR="00233755" w:rsidRPr="00CA7474">
        <w:rPr>
          <w:sz w:val="16"/>
          <w:szCs w:val="16"/>
        </w:rPr>
        <w:noBreakHyphen/>
        <w:t xml:space="preserve">related travel services exports </w:t>
      </w:r>
      <w:r w:rsidRPr="00CA7474">
        <w:rPr>
          <w:sz w:val="16"/>
          <w:szCs w:val="16"/>
        </w:rPr>
        <w:t>was</w:t>
      </w:r>
      <w:r w:rsidR="00233755" w:rsidRPr="00CA7474">
        <w:rPr>
          <w:sz w:val="16"/>
          <w:szCs w:val="16"/>
        </w:rPr>
        <w:t xml:space="preserve"> $2.2</w:t>
      </w:r>
      <w:r w:rsidR="005E3577" w:rsidRPr="00CA7474">
        <w:rPr>
          <w:sz w:val="16"/>
          <w:szCs w:val="16"/>
        </w:rPr>
        <w:t> </w:t>
      </w:r>
      <w:r w:rsidR="00233755" w:rsidRPr="00CA7474">
        <w:rPr>
          <w:sz w:val="16"/>
          <w:szCs w:val="16"/>
        </w:rPr>
        <w:t>billion</w:t>
      </w:r>
      <w:r w:rsidRPr="00CA7474">
        <w:rPr>
          <w:sz w:val="16"/>
          <w:szCs w:val="16"/>
        </w:rPr>
        <w:t xml:space="preserve"> in </w:t>
      </w:r>
      <w:r w:rsidR="005236A3" w:rsidRPr="00CA7474">
        <w:rPr>
          <w:sz w:val="16"/>
          <w:szCs w:val="16"/>
        </w:rPr>
        <w:t>2019 but</w:t>
      </w:r>
      <w:r w:rsidRPr="00CA7474">
        <w:rPr>
          <w:sz w:val="16"/>
          <w:szCs w:val="16"/>
        </w:rPr>
        <w:t xml:space="preserve"> then</w:t>
      </w:r>
      <w:r w:rsidR="00233755" w:rsidRPr="00CA7474">
        <w:rPr>
          <w:sz w:val="16"/>
          <w:szCs w:val="16"/>
        </w:rPr>
        <w:t xml:space="preserve"> fell 41% to $1.3 billion between 2019 and 2021, as new international students were restricted from travelling to the State due to the pandemic.</w:t>
      </w:r>
    </w:p>
    <w:p w14:paraId="3B6A3BC7" w14:textId="77777777" w:rsidR="00233755" w:rsidRPr="00CA7474" w:rsidRDefault="00233755" w:rsidP="006058E8">
      <w:pPr>
        <w:pStyle w:val="ListParagraph"/>
        <w:numPr>
          <w:ilvl w:val="0"/>
          <w:numId w:val="9"/>
        </w:numPr>
        <w:spacing w:before="40" w:after="40"/>
        <w:ind w:left="357" w:right="227" w:hanging="357"/>
        <w:contextualSpacing w:val="0"/>
        <w:jc w:val="both"/>
        <w:rPr>
          <w:sz w:val="16"/>
          <w:szCs w:val="16"/>
        </w:rPr>
      </w:pPr>
      <w:r w:rsidRPr="00CA7474">
        <w:rPr>
          <w:sz w:val="16"/>
          <w:szCs w:val="16"/>
        </w:rPr>
        <w:t>The international education sector rebounded as international students returned following the re-opening of the State’s borders in early 2022. Western Australia’s education</w:t>
      </w:r>
      <w:r w:rsidRPr="00CA7474">
        <w:rPr>
          <w:sz w:val="16"/>
          <w:szCs w:val="16"/>
        </w:rPr>
        <w:noBreakHyphen/>
        <w:t>related travel services exports were $3.7 billion in 2024.</w:t>
      </w:r>
    </w:p>
    <w:p w14:paraId="18E5A664" w14:textId="4DD0A98C" w:rsidR="001E361E" w:rsidRPr="00CA7474" w:rsidRDefault="001E361E" w:rsidP="006058E8">
      <w:pPr>
        <w:pStyle w:val="ListParagraph"/>
        <w:numPr>
          <w:ilvl w:val="0"/>
          <w:numId w:val="9"/>
        </w:numPr>
        <w:spacing w:before="40" w:after="40"/>
        <w:ind w:left="357" w:right="227" w:hanging="357"/>
        <w:contextualSpacing w:val="0"/>
        <w:jc w:val="both"/>
        <w:rPr>
          <w:sz w:val="16"/>
          <w:szCs w:val="16"/>
        </w:rPr>
      </w:pPr>
      <w:r w:rsidRPr="00CA7474">
        <w:rPr>
          <w:sz w:val="16"/>
          <w:szCs w:val="16"/>
        </w:rPr>
        <w:t xml:space="preserve">Western Australia’s share </w:t>
      </w:r>
      <w:r w:rsidR="00124C12" w:rsidRPr="00CA7474">
        <w:rPr>
          <w:sz w:val="16"/>
          <w:szCs w:val="16"/>
        </w:rPr>
        <w:t xml:space="preserve">of Australia’s </w:t>
      </w:r>
      <w:r w:rsidR="00361917" w:rsidRPr="00CA7474">
        <w:rPr>
          <w:sz w:val="16"/>
          <w:szCs w:val="16"/>
        </w:rPr>
        <w:t>education</w:t>
      </w:r>
      <w:r w:rsidR="00361917" w:rsidRPr="00CA7474">
        <w:rPr>
          <w:sz w:val="16"/>
          <w:szCs w:val="16"/>
        </w:rPr>
        <w:noBreakHyphen/>
        <w:t xml:space="preserve">related services exports </w:t>
      </w:r>
      <w:r w:rsidR="00C6741E" w:rsidRPr="00CA7474">
        <w:rPr>
          <w:sz w:val="16"/>
          <w:szCs w:val="16"/>
        </w:rPr>
        <w:t>largely tracks its share of international student enrolments, although changes in the composition of</w:t>
      </w:r>
      <w:r w:rsidR="007E797A" w:rsidRPr="00CA7474">
        <w:rPr>
          <w:sz w:val="16"/>
          <w:szCs w:val="16"/>
        </w:rPr>
        <w:t xml:space="preserve"> types of study and source countries </w:t>
      </w:r>
      <w:r w:rsidR="00656D40" w:rsidRPr="00CA7474">
        <w:rPr>
          <w:sz w:val="16"/>
          <w:szCs w:val="16"/>
        </w:rPr>
        <w:t xml:space="preserve">relative to the Australian average </w:t>
      </w:r>
      <w:r w:rsidR="007E797A" w:rsidRPr="00CA7474">
        <w:rPr>
          <w:sz w:val="16"/>
          <w:szCs w:val="16"/>
        </w:rPr>
        <w:t>can</w:t>
      </w:r>
      <w:r w:rsidR="00F54AC0" w:rsidRPr="00CA7474">
        <w:rPr>
          <w:sz w:val="16"/>
          <w:szCs w:val="16"/>
        </w:rPr>
        <w:t xml:space="preserve"> lead to differences in the two shares</w:t>
      </w:r>
      <w:r w:rsidR="00656D40" w:rsidRPr="00CA7474">
        <w:rPr>
          <w:sz w:val="16"/>
          <w:szCs w:val="16"/>
        </w:rPr>
        <w:t>. In 2024, Western Australia accounted for:</w:t>
      </w:r>
    </w:p>
    <w:p w14:paraId="3AF31DA3" w14:textId="6F2A3895" w:rsidR="00656D40" w:rsidRPr="00CA7474" w:rsidRDefault="001B7381" w:rsidP="00656D40">
      <w:pPr>
        <w:pStyle w:val="ListParagraph"/>
        <w:numPr>
          <w:ilvl w:val="1"/>
          <w:numId w:val="9"/>
        </w:numPr>
        <w:spacing w:before="40" w:after="40"/>
        <w:ind w:right="227"/>
        <w:contextualSpacing w:val="0"/>
        <w:jc w:val="both"/>
        <w:rPr>
          <w:sz w:val="16"/>
          <w:szCs w:val="16"/>
        </w:rPr>
      </w:pPr>
      <w:r w:rsidRPr="00CA7474">
        <w:rPr>
          <w:sz w:val="16"/>
          <w:szCs w:val="16"/>
        </w:rPr>
        <w:t>7.2% of Australia’s education</w:t>
      </w:r>
      <w:r w:rsidRPr="00CA7474">
        <w:rPr>
          <w:sz w:val="16"/>
          <w:szCs w:val="16"/>
        </w:rPr>
        <w:noBreakHyphen/>
        <w:t>related services exports</w:t>
      </w:r>
    </w:p>
    <w:p w14:paraId="71B6E11B" w14:textId="65D070F9" w:rsidR="001B7381" w:rsidRPr="00CA7474" w:rsidRDefault="008D7691" w:rsidP="00656D40">
      <w:pPr>
        <w:pStyle w:val="ListParagraph"/>
        <w:numPr>
          <w:ilvl w:val="1"/>
          <w:numId w:val="9"/>
        </w:numPr>
        <w:spacing w:before="40" w:after="40"/>
        <w:ind w:right="227"/>
        <w:contextualSpacing w:val="0"/>
        <w:jc w:val="both"/>
        <w:rPr>
          <w:sz w:val="16"/>
          <w:szCs w:val="16"/>
        </w:rPr>
      </w:pPr>
      <w:r w:rsidRPr="00CA7474">
        <w:rPr>
          <w:sz w:val="16"/>
          <w:szCs w:val="16"/>
        </w:rPr>
        <w:t>8.3% of Australia’s international student enrolments.</w:t>
      </w:r>
    </w:p>
    <w:p w14:paraId="75842120" w14:textId="77777777" w:rsidR="00233755" w:rsidRPr="004F2D89" w:rsidRDefault="00233755" w:rsidP="00656D40">
      <w:pPr>
        <w:pStyle w:val="ListParagraph"/>
        <w:numPr>
          <w:ilvl w:val="1"/>
          <w:numId w:val="9"/>
        </w:numPr>
        <w:spacing w:before="40" w:after="40"/>
        <w:ind w:right="227"/>
        <w:contextualSpacing w:val="0"/>
        <w:jc w:val="both"/>
        <w:rPr>
          <w:sz w:val="16"/>
          <w:szCs w:val="16"/>
        </w:rPr>
        <w:sectPr w:rsidR="00233755" w:rsidRPr="004F2D89" w:rsidSect="00233755">
          <w:type w:val="continuous"/>
          <w:pgSz w:w="11907" w:h="16840" w:code="9"/>
          <w:pgMar w:top="1701" w:right="425" w:bottom="567" w:left="567" w:header="709" w:footer="709" w:gutter="0"/>
          <w:cols w:num="2" w:space="113"/>
          <w:docGrid w:linePitch="360"/>
        </w:sectPr>
      </w:pPr>
    </w:p>
    <w:p w14:paraId="68F7AEAD" w14:textId="51D3281A" w:rsidR="00233755" w:rsidRPr="006A5C44" w:rsidRDefault="00A819C9" w:rsidP="00233755">
      <w:pPr>
        <w:pStyle w:val="Heading4"/>
        <w:rPr>
          <w:i w:val="0"/>
          <w:iCs w:val="0"/>
          <w:color w:val="00997A"/>
          <w:sz w:val="20"/>
          <w:szCs w:val="20"/>
        </w:rPr>
        <w:sectPr w:rsidR="00233755" w:rsidRPr="006A5C44" w:rsidSect="00233755">
          <w:type w:val="continuous"/>
          <w:pgSz w:w="11907" w:h="16840" w:code="9"/>
          <w:pgMar w:top="1701" w:right="425" w:bottom="567" w:left="567" w:header="709" w:footer="709" w:gutter="0"/>
          <w:cols w:space="720"/>
          <w:docGrid w:linePitch="360"/>
        </w:sectPr>
      </w:pPr>
      <w:r>
        <w:rPr>
          <w:i w:val="0"/>
          <w:iCs w:val="0"/>
          <w:color w:val="00997A"/>
          <w:sz w:val="20"/>
          <w:szCs w:val="20"/>
        </w:rPr>
        <w:t xml:space="preserve">Cultural and </w:t>
      </w:r>
      <w:r w:rsidR="003D0AD5">
        <w:rPr>
          <w:i w:val="0"/>
          <w:iCs w:val="0"/>
          <w:color w:val="00997A"/>
          <w:sz w:val="20"/>
          <w:szCs w:val="20"/>
        </w:rPr>
        <w:t xml:space="preserve">creative activity </w:t>
      </w:r>
      <w:r w:rsidR="0089338E">
        <w:rPr>
          <w:i w:val="0"/>
          <w:iCs w:val="0"/>
          <w:color w:val="00997A"/>
          <w:sz w:val="20"/>
          <w:szCs w:val="20"/>
        </w:rPr>
        <w:t>value added</w:t>
      </w:r>
    </w:p>
    <w:p w14:paraId="00F50BFA" w14:textId="3D911BBE" w:rsidR="00233755" w:rsidRPr="007B1AE5" w:rsidRDefault="0048598A" w:rsidP="00233755">
      <w:r>
        <w:rPr>
          <w:noProof/>
        </w:rPr>
        <w:drawing>
          <wp:inline distT="0" distB="0" distL="0" distR="0" wp14:anchorId="6CAD2EEF" wp14:editId="3A6EFE50">
            <wp:extent cx="3420000" cy="2107010"/>
            <wp:effectExtent l="0" t="0" r="9525" b="7620"/>
            <wp:docPr id="1564959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3D9233A" w14:textId="259B1CFB" w:rsidR="00233755" w:rsidRPr="00665CC4" w:rsidRDefault="00233755" w:rsidP="003A3A20">
      <w:pPr>
        <w:jc w:val="both"/>
        <w:rPr>
          <w:sz w:val="10"/>
          <w:szCs w:val="10"/>
        </w:rPr>
      </w:pPr>
      <w:r w:rsidRPr="000C0C45">
        <w:rPr>
          <w:sz w:val="10"/>
        </w:rPr>
        <w:t xml:space="preserve">Note – </w:t>
      </w:r>
      <w:r w:rsidR="00573325">
        <w:rPr>
          <w:sz w:val="10"/>
        </w:rPr>
        <w:t xml:space="preserve">Current prices/ </w:t>
      </w:r>
      <w:r w:rsidRPr="00AF759E">
        <w:rPr>
          <w:sz w:val="10"/>
          <w:szCs w:val="10"/>
        </w:rPr>
        <w:t>Original series</w:t>
      </w:r>
      <w:r w:rsidRPr="00A36AF9">
        <w:rPr>
          <w:sz w:val="10"/>
          <w:szCs w:val="10"/>
        </w:rPr>
        <w:t>.</w:t>
      </w:r>
    </w:p>
    <w:p w14:paraId="4C2944C2" w14:textId="27D6CA5D" w:rsidR="00233755" w:rsidRPr="00AF759E" w:rsidRDefault="00233755" w:rsidP="003A3A20">
      <w:pPr>
        <w:jc w:val="both"/>
        <w:rPr>
          <w:sz w:val="10"/>
          <w:szCs w:val="10"/>
        </w:rPr>
      </w:pPr>
      <w:r w:rsidRPr="00AF759E">
        <w:rPr>
          <w:sz w:val="10"/>
          <w:szCs w:val="10"/>
        </w:rPr>
        <w:t xml:space="preserve">Source: </w:t>
      </w:r>
      <w:r w:rsidR="004C6DB1">
        <w:rPr>
          <w:sz w:val="10"/>
          <w:szCs w:val="10"/>
        </w:rPr>
        <w:t>University of Canberra</w:t>
      </w:r>
      <w:r w:rsidRPr="00AF759E">
        <w:rPr>
          <w:sz w:val="10"/>
          <w:szCs w:val="10"/>
        </w:rPr>
        <w:t>.</w:t>
      </w:r>
    </w:p>
    <w:p w14:paraId="663F9FDD" w14:textId="196E4F7C" w:rsidR="00233755" w:rsidRPr="00CA7474" w:rsidRDefault="00233755" w:rsidP="00212F08">
      <w:pPr>
        <w:pStyle w:val="ListParagraph"/>
        <w:numPr>
          <w:ilvl w:val="0"/>
          <w:numId w:val="9"/>
        </w:numPr>
        <w:spacing w:before="40" w:after="40"/>
        <w:ind w:right="227" w:hanging="357"/>
        <w:contextualSpacing w:val="0"/>
        <w:jc w:val="both"/>
        <w:rPr>
          <w:sz w:val="16"/>
          <w:szCs w:val="16"/>
        </w:rPr>
      </w:pPr>
      <w:r w:rsidRPr="007B1AE5">
        <w:br w:type="column"/>
      </w:r>
      <w:r w:rsidR="00212F08" w:rsidRPr="00CA7474">
        <w:rPr>
          <w:sz w:val="16"/>
          <w:szCs w:val="16"/>
        </w:rPr>
        <w:t>Cultural and</w:t>
      </w:r>
      <w:r w:rsidR="004D49BE" w:rsidRPr="00CA7474">
        <w:rPr>
          <w:sz w:val="16"/>
          <w:szCs w:val="16"/>
        </w:rPr>
        <w:t xml:space="preserve"> creative industries </w:t>
      </w:r>
      <w:r w:rsidR="00554CD5" w:rsidRPr="00CA7474">
        <w:rPr>
          <w:sz w:val="16"/>
          <w:szCs w:val="16"/>
        </w:rPr>
        <w:t>represent a diverse and growing sector of the Western Australian economy</w:t>
      </w:r>
      <w:r w:rsidR="007E20EB" w:rsidRPr="00CA7474">
        <w:rPr>
          <w:sz w:val="16"/>
          <w:szCs w:val="16"/>
        </w:rPr>
        <w:t xml:space="preserve">, including activities such as </w:t>
      </w:r>
      <w:r w:rsidR="00121B7C" w:rsidRPr="00CA7474">
        <w:rPr>
          <w:sz w:val="16"/>
          <w:szCs w:val="16"/>
        </w:rPr>
        <w:t>advertising and promotion, architecture services, internet publishing and broadcasting, print media</w:t>
      </w:r>
      <w:r w:rsidR="00B81358" w:rsidRPr="00CA7474">
        <w:rPr>
          <w:sz w:val="16"/>
          <w:szCs w:val="16"/>
        </w:rPr>
        <w:t xml:space="preserve"> and publishing, and visual arts and crafts.</w:t>
      </w:r>
    </w:p>
    <w:p w14:paraId="31E4D5E0" w14:textId="317554A7" w:rsidR="00233755" w:rsidRPr="00CA7474" w:rsidRDefault="004616CC" w:rsidP="00137526">
      <w:pPr>
        <w:pStyle w:val="ListParagraph"/>
        <w:numPr>
          <w:ilvl w:val="0"/>
          <w:numId w:val="9"/>
        </w:numPr>
        <w:spacing w:before="40" w:after="40"/>
        <w:ind w:right="227" w:hanging="357"/>
        <w:contextualSpacing w:val="0"/>
        <w:jc w:val="both"/>
        <w:rPr>
          <w:sz w:val="16"/>
          <w:szCs w:val="16"/>
        </w:rPr>
      </w:pPr>
      <w:r w:rsidRPr="00CA7474">
        <w:rPr>
          <w:sz w:val="16"/>
          <w:szCs w:val="16"/>
        </w:rPr>
        <w:t>T</w:t>
      </w:r>
      <w:r w:rsidR="00137526" w:rsidRPr="00CA7474">
        <w:rPr>
          <w:sz w:val="16"/>
          <w:szCs w:val="16"/>
        </w:rPr>
        <w:t xml:space="preserve">he </w:t>
      </w:r>
      <w:r w:rsidR="00F83CE9" w:rsidRPr="00CA7474">
        <w:rPr>
          <w:sz w:val="16"/>
          <w:szCs w:val="16"/>
        </w:rPr>
        <w:t xml:space="preserve">value added of cultural and creative activity </w:t>
      </w:r>
      <w:r w:rsidR="00022A04" w:rsidRPr="00CA7474">
        <w:rPr>
          <w:sz w:val="16"/>
          <w:szCs w:val="16"/>
        </w:rPr>
        <w:t xml:space="preserve">in Western Australia </w:t>
      </w:r>
      <w:r w:rsidRPr="00CA7474">
        <w:rPr>
          <w:sz w:val="16"/>
          <w:szCs w:val="16"/>
        </w:rPr>
        <w:t xml:space="preserve">in 2024 </w:t>
      </w:r>
      <w:r w:rsidR="00F83CE9" w:rsidRPr="00CA7474">
        <w:rPr>
          <w:sz w:val="16"/>
          <w:szCs w:val="16"/>
        </w:rPr>
        <w:t xml:space="preserve">was estimated </w:t>
      </w:r>
      <w:r w:rsidR="00FC1324" w:rsidRPr="00CA7474">
        <w:rPr>
          <w:sz w:val="16"/>
          <w:szCs w:val="16"/>
        </w:rPr>
        <w:t xml:space="preserve">at </w:t>
      </w:r>
      <w:r w:rsidR="00F83CE9" w:rsidRPr="00CA7474">
        <w:rPr>
          <w:sz w:val="16"/>
          <w:szCs w:val="16"/>
        </w:rPr>
        <w:t>$6.1 billion.</w:t>
      </w:r>
      <w:r w:rsidR="00175143" w:rsidRPr="00CA7474">
        <w:rPr>
          <w:sz w:val="16"/>
          <w:szCs w:val="16"/>
        </w:rPr>
        <w:t xml:space="preserve"> This </w:t>
      </w:r>
      <w:r w:rsidR="007D5327" w:rsidRPr="00CA7474">
        <w:rPr>
          <w:sz w:val="16"/>
          <w:szCs w:val="16"/>
        </w:rPr>
        <w:t xml:space="preserve">was 48% higher than the </w:t>
      </w:r>
      <w:r w:rsidR="00963197" w:rsidRPr="00CA7474">
        <w:rPr>
          <w:sz w:val="16"/>
          <w:szCs w:val="16"/>
        </w:rPr>
        <w:t xml:space="preserve">estimated </w:t>
      </w:r>
      <w:r w:rsidR="007D5327" w:rsidRPr="00CA7474">
        <w:rPr>
          <w:sz w:val="16"/>
          <w:szCs w:val="16"/>
        </w:rPr>
        <w:t>value added in 2018 ($4.2 billion).</w:t>
      </w:r>
    </w:p>
    <w:p w14:paraId="32EDBE21" w14:textId="73A8636A" w:rsidR="00233755" w:rsidRPr="00CA7474" w:rsidRDefault="002B7A04" w:rsidP="006058E8">
      <w:pPr>
        <w:pStyle w:val="ListParagraph"/>
        <w:numPr>
          <w:ilvl w:val="0"/>
          <w:numId w:val="9"/>
        </w:numPr>
        <w:spacing w:before="40" w:after="40"/>
        <w:ind w:left="357" w:right="227" w:hanging="357"/>
        <w:contextualSpacing w:val="0"/>
        <w:jc w:val="both"/>
        <w:rPr>
          <w:sz w:val="16"/>
          <w:szCs w:val="16"/>
        </w:rPr>
      </w:pPr>
      <w:r w:rsidRPr="00CA7474">
        <w:rPr>
          <w:sz w:val="16"/>
          <w:szCs w:val="16"/>
        </w:rPr>
        <w:t xml:space="preserve">Western Australia accounted for </w:t>
      </w:r>
      <w:r w:rsidR="00881361" w:rsidRPr="00CA7474">
        <w:rPr>
          <w:sz w:val="16"/>
          <w:szCs w:val="16"/>
        </w:rPr>
        <w:t xml:space="preserve">9.3% of the value of cultural and creative activity </w:t>
      </w:r>
      <w:r w:rsidR="00706D08" w:rsidRPr="00CA7474">
        <w:rPr>
          <w:sz w:val="16"/>
          <w:szCs w:val="16"/>
        </w:rPr>
        <w:t>in Australia in 2024, an increase of 0.8 percentage points compared to 2018.</w:t>
      </w:r>
    </w:p>
    <w:p w14:paraId="644E8C94" w14:textId="37464444" w:rsidR="00233755" w:rsidRPr="00CA7474" w:rsidRDefault="00244A66" w:rsidP="006058E8">
      <w:pPr>
        <w:pStyle w:val="ListParagraph"/>
        <w:numPr>
          <w:ilvl w:val="0"/>
          <w:numId w:val="9"/>
        </w:numPr>
        <w:spacing w:before="40" w:after="40"/>
        <w:ind w:left="357" w:right="227" w:hanging="357"/>
        <w:contextualSpacing w:val="0"/>
        <w:jc w:val="both"/>
        <w:rPr>
          <w:sz w:val="16"/>
          <w:szCs w:val="16"/>
        </w:rPr>
      </w:pPr>
      <w:r w:rsidRPr="00CA7474">
        <w:rPr>
          <w:sz w:val="16"/>
          <w:szCs w:val="16"/>
        </w:rPr>
        <w:t>The value added of c</w:t>
      </w:r>
      <w:r w:rsidR="004C1839" w:rsidRPr="00CA7474">
        <w:rPr>
          <w:sz w:val="16"/>
          <w:szCs w:val="16"/>
        </w:rPr>
        <w:t xml:space="preserve">omputer system design </w:t>
      </w:r>
      <w:r w:rsidRPr="00CA7474">
        <w:rPr>
          <w:sz w:val="16"/>
          <w:szCs w:val="16"/>
        </w:rPr>
        <w:t xml:space="preserve">in Western Australia </w:t>
      </w:r>
      <w:r w:rsidR="00C77534" w:rsidRPr="00CA7474">
        <w:rPr>
          <w:sz w:val="16"/>
          <w:szCs w:val="16"/>
        </w:rPr>
        <w:t xml:space="preserve">in 2024 was estimated at $4.3 billion. This was </w:t>
      </w:r>
      <w:r w:rsidR="00963197" w:rsidRPr="00CA7474">
        <w:rPr>
          <w:sz w:val="16"/>
          <w:szCs w:val="16"/>
        </w:rPr>
        <w:t>69% higher than the estimated value added in 2018 ($2.5 billion).</w:t>
      </w:r>
    </w:p>
    <w:p w14:paraId="3473E96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5DCCD905" w14:textId="77777777" w:rsidR="00233755" w:rsidRPr="008F7AA0" w:rsidRDefault="00233755" w:rsidP="00233755">
      <w:pPr>
        <w:pStyle w:val="Heading3"/>
        <w:spacing w:before="600"/>
        <w:rPr>
          <w:bCs/>
          <w:color w:val="004C3D"/>
          <w:sz w:val="24"/>
          <w:szCs w:val="24"/>
        </w:rPr>
        <w:sectPr w:rsidR="00233755" w:rsidRPr="008F7AA0" w:rsidSect="005721D5">
          <w:headerReference w:type="default" r:id="rId98"/>
          <w:pgSz w:w="16840" w:h="11907" w:orient="landscape" w:code="9"/>
          <w:pgMar w:top="567" w:right="425" w:bottom="284" w:left="567" w:header="709" w:footer="709" w:gutter="0"/>
          <w:cols w:space="720"/>
          <w:docGrid w:linePitch="360"/>
        </w:sectPr>
      </w:pPr>
      <w:bookmarkStart w:id="56" w:name="_Regions"/>
      <w:bookmarkEnd w:id="56"/>
      <w:r w:rsidRPr="008F7AA0">
        <w:rPr>
          <w:bCs/>
          <w:color w:val="004C3D"/>
          <w:sz w:val="24"/>
          <w:szCs w:val="24"/>
        </w:rPr>
        <w:lastRenderedPageBreak/>
        <w:t>Regions</w:t>
      </w:r>
    </w:p>
    <w:p w14:paraId="16AE8A28" w14:textId="77777777" w:rsidR="00233755" w:rsidRPr="003E65FF" w:rsidRDefault="00233755" w:rsidP="00233755">
      <w:pPr>
        <w:jc w:val="right"/>
        <w:rPr>
          <w:b/>
          <w:bCs/>
          <w:color w:val="002060"/>
          <w:sz w:val="20"/>
          <w:szCs w:val="20"/>
        </w:rPr>
        <w:sectPr w:rsidR="00233755" w:rsidRPr="003E65FF" w:rsidSect="00233755">
          <w:type w:val="continuous"/>
          <w:pgSz w:w="16840" w:h="11907" w:orient="landscape" w:code="9"/>
          <w:pgMar w:top="567" w:right="1701" w:bottom="425" w:left="567" w:header="709" w:footer="709" w:gutter="0"/>
          <w:cols w:space="720"/>
          <w:docGrid w:linePitch="360"/>
        </w:sectPr>
      </w:pPr>
      <w:hyperlink w:anchor="_Contents_of_economic" w:history="1">
        <w:r w:rsidRPr="003E65FF">
          <w:rPr>
            <w:rStyle w:val="Hyperlink"/>
            <w:b/>
            <w:bCs/>
            <w:sz w:val="16"/>
            <w:szCs w:val="16"/>
          </w:rPr>
          <w:t>Back to contents</w:t>
        </w:r>
      </w:hyperlink>
    </w:p>
    <w:p w14:paraId="40F6E53E" w14:textId="77777777" w:rsidR="00233755" w:rsidRPr="00C30E82" w:rsidRDefault="00233755" w:rsidP="00233755">
      <w:pPr>
        <w:pStyle w:val="Heading4"/>
        <w:spacing w:before="0"/>
        <w:rPr>
          <w:i w:val="0"/>
          <w:iCs w:val="0"/>
          <w:color w:val="00997A"/>
          <w:sz w:val="20"/>
          <w:szCs w:val="20"/>
        </w:rPr>
        <w:sectPr w:rsidR="00233755" w:rsidRPr="00C30E82" w:rsidSect="00233755">
          <w:type w:val="continuous"/>
          <w:pgSz w:w="16840" w:h="11907" w:orient="landscape" w:code="9"/>
          <w:pgMar w:top="567" w:right="425" w:bottom="284" w:left="567" w:header="709" w:footer="709" w:gutter="0"/>
          <w:cols w:space="720"/>
          <w:docGrid w:linePitch="360"/>
        </w:sectPr>
      </w:pPr>
      <w:r w:rsidRPr="00C30E82">
        <w:rPr>
          <w:i w:val="0"/>
          <w:iCs w:val="0"/>
          <w:color w:val="00997A"/>
          <w:sz w:val="20"/>
          <w:szCs w:val="20"/>
        </w:rPr>
        <w:t>Gross state product, population and minerals and petroleum sales by development commission region</w:t>
      </w:r>
    </w:p>
    <w:p w14:paraId="5AC544A7" w14:textId="77777777" w:rsidR="00233755" w:rsidRPr="007B1AE5" w:rsidRDefault="00233755" w:rsidP="00233755">
      <w:r w:rsidRPr="007B1AE5">
        <w:rPr>
          <w:noProof/>
        </w:rPr>
        <mc:AlternateContent>
          <mc:Choice Requires="wps">
            <w:drawing>
              <wp:anchor distT="0" distB="0" distL="114300" distR="114300" simplePos="0" relativeHeight="251658248" behindDoc="0" locked="0" layoutInCell="1" allowOverlap="1" wp14:anchorId="55E4F0D5" wp14:editId="4AF7FEE2">
                <wp:simplePos x="0" y="0"/>
                <wp:positionH relativeFrom="column">
                  <wp:posOffset>446405</wp:posOffset>
                </wp:positionH>
                <wp:positionV relativeFrom="paragraph">
                  <wp:posOffset>2977515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4F0D5" id="_x0000_t202" coordsize="21600,21600" o:spt="202" path="m,l,21600r21600,l21600,xe">
                <v:stroke joinstyle="miter"/>
                <v:path gradientshapeok="t" o:connecttype="rect"/>
              </v:shapetype>
              <v:shape id="Text Box 34" o:spid="_x0000_s1026" type="#_x0000_t202" style="position:absolute;margin-left:35.15pt;margin-top:234.45pt;width:86.5pt;height:16.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" filled="f" stroked="f" strokeweight=".5pt">
                <v:textbo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v:textbox>
              </v:shape>
            </w:pict>
          </mc:Fallback>
        </mc:AlternateContent>
      </w:r>
      <w:r w:rsidRPr="007B1AE5">
        <w:rPr>
          <w:noProof/>
        </w:rPr>
        <mc:AlternateContent>
          <mc:Choice Requires="wps">
            <w:drawing>
              <wp:anchor distT="0" distB="0" distL="114300" distR="114300" simplePos="0" relativeHeight="251658254" behindDoc="0" locked="0" layoutInCell="1" allowOverlap="1" wp14:anchorId="26FA0656" wp14:editId="60D1C9BD">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A0656" id="Text Box 44" o:spid="_x0000_s1027" type="#_x0000_t202" style="position:absolute;margin-left:-.15pt;margin-top:365.65pt;width:86.5pt;height:16.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" filled="f" stroked="f" strokeweight=".5pt">
                <v:textbo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v:textbox>
              </v:shape>
            </w:pict>
          </mc:Fallback>
        </mc:AlternateContent>
      </w:r>
      <w:r w:rsidRPr="007B1AE5">
        <w:rPr>
          <w:noProof/>
        </w:rPr>
        <mc:AlternateContent>
          <mc:Choice Requires="wps">
            <w:drawing>
              <wp:anchor distT="0" distB="0" distL="114300" distR="114300" simplePos="0" relativeHeight="251658257" behindDoc="0" locked="0" layoutInCell="1" allowOverlap="1" wp14:anchorId="6B352FD9" wp14:editId="72799004">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52FD9" id="Text Box 52" o:spid="_x0000_s1028" type="#_x0000_t202" style="position:absolute;margin-left:50.5pt;margin-top:397.75pt;width:86.5pt;height:16.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" filled="f" stroked="f" strokeweight=".5pt">
                <v:textbo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v:textbox>
              </v:shape>
            </w:pict>
          </mc:Fallback>
        </mc:AlternateContent>
      </w:r>
      <w:r w:rsidRPr="007B1AE5">
        <w:rPr>
          <w:noProof/>
        </w:rPr>
        <mc:AlternateContent>
          <mc:Choice Requires="wps">
            <w:drawing>
              <wp:anchor distT="0" distB="0" distL="114300" distR="114300" simplePos="0" relativeHeight="251658255" behindDoc="0" locked="0" layoutInCell="1" allowOverlap="1" wp14:anchorId="3C96D0C8" wp14:editId="00D44EB8">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6D0C8" id="Text Box 45" o:spid="_x0000_s1029" type="#_x0000_t202" style="position:absolute;margin-left:13.55pt;margin-top:269.9pt;width:86.5pt;height:16.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A4vboJGAIAADMEAAAOAAAAAAAAAAAAAAAAAC4CAABkcnMvZTJvRG9jLnhtbFBLAQItABQA&#10;BgAIAAAAIQBCZ8u33wAAAAoBAAAPAAAAAAAAAAAAAAAAAHIEAABkcnMvZG93bnJldi54bWxQSwUG&#10;AAAAAAQABADzAAAAfgUAAAAA&#10;" filled="f" stroked="f" strokeweight=".5pt">
                <v:textbo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v:textbox>
              </v:shape>
            </w:pict>
          </mc:Fallback>
        </mc:AlternateContent>
      </w:r>
      <w:r w:rsidRPr="007B1AE5">
        <w:rPr>
          <w:noProof/>
        </w:rPr>
        <mc:AlternateContent>
          <mc:Choice Requires="wps">
            <w:drawing>
              <wp:anchor distT="0" distB="0" distL="114300" distR="114300" simplePos="0" relativeHeight="251658245" behindDoc="0" locked="0" layoutInCell="1" allowOverlap="1" wp14:anchorId="6BDC95F3" wp14:editId="0871727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C95F3" id="Text Box 12" o:spid="_x0000_s1030" type="#_x0000_t202" style="position:absolute;margin-left:117.75pt;margin-top:59.95pt;width:86.5pt;height:1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Iaox04YAgAAMwQAAA4AAAAAAAAAAAAAAAAALgIAAGRycy9lMm9Eb2MueG1sUEsBAi0A&#10;FAAGAAgAAAAhAE1KBDfhAAAACwEAAA8AAAAAAAAAAAAAAAAAcgQAAGRycy9kb3ducmV2LnhtbFBL&#10;BQYAAAAABAAEAPMAAACABQAAAAA=&#10;" filled="f" stroked="f" strokeweight=".5pt">
                <v:textbo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v:textbox>
              </v:shape>
            </w:pict>
          </mc:Fallback>
        </mc:AlternateContent>
      </w:r>
      <w:r w:rsidRPr="007B1AE5">
        <w:rPr>
          <w:noProof/>
        </w:rPr>
        <mc:AlternateContent>
          <mc:Choice Requires="wps">
            <w:drawing>
              <wp:anchor distT="0" distB="0" distL="114300" distR="114300" simplePos="0" relativeHeight="251658250" behindDoc="0" locked="0" layoutInCell="1" allowOverlap="1" wp14:anchorId="0340B62B" wp14:editId="649943E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0B62B" id="Text Box 28" o:spid="_x0000_s1031" type="#_x0000_t202" style="position:absolute;margin-left:71.85pt;margin-top:110.2pt;width:86.5pt;height:16.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D5GoibGAIAADMEAAAOAAAAAAAAAAAAAAAAAC4CAABkcnMvZTJvRG9jLnhtbFBLAQIt&#10;ABQABgAIAAAAIQDKZoIs4gAAAAsBAAAPAAAAAAAAAAAAAAAAAHIEAABkcnMvZG93bnJldi54bWxQ&#10;SwUGAAAAAAQABADzAAAAgQUAAAAA&#10;" filled="f" stroked="f" strokeweight=".5pt">
                <v:textbo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v:textbox>
              </v:shape>
            </w:pict>
          </mc:Fallback>
        </mc:AlternateContent>
      </w:r>
      <w:r w:rsidRPr="007B1AE5">
        <w:rPr>
          <w:noProof/>
        </w:rPr>
        <mc:AlternateContent>
          <mc:Choice Requires="wps">
            <w:drawing>
              <wp:anchor distT="0" distB="0" distL="114300" distR="114300" simplePos="0" relativeHeight="251658246" behindDoc="0" locked="0" layoutInCell="1" allowOverlap="1" wp14:anchorId="66CF8655" wp14:editId="4261544E">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F8655" id="Text Box 15" o:spid="_x0000_s1032" type="#_x0000_t202" style="position:absolute;margin-left:136.95pt;margin-top:325.4pt;width:86.5pt;height:1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" filled="f" stroked="f" strokeweight=".5pt">
                <v:textbo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v:textbox>
              </v:shape>
            </w:pict>
          </mc:Fallback>
        </mc:AlternateContent>
      </w:r>
      <w:r w:rsidRPr="007B1AE5">
        <w:rPr>
          <w:noProof/>
        </w:rPr>
        <mc:AlternateContent>
          <mc:Choice Requires="wps">
            <w:drawing>
              <wp:anchor distT="0" distB="0" distL="114300" distR="114300" simplePos="0" relativeHeight="251658247" behindDoc="0" locked="0" layoutInCell="1" allowOverlap="1" wp14:anchorId="2AEBFD9E" wp14:editId="3A6D629A">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BFD9E" id="Text Box 21" o:spid="_x0000_s1033" type="#_x0000_t202" style="position:absolute;margin-left:127.4pt;margin-top:373.25pt;width:86.5pt;height:1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" filled="f" stroked="f" strokeweight=".5pt">
                <v:textbo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v:textbox>
              </v:shape>
            </w:pict>
          </mc:Fallback>
        </mc:AlternateContent>
      </w:r>
      <w:r w:rsidRPr="007B1AE5">
        <w:rPr>
          <w:noProof/>
        </w:rPr>
        <mc:AlternateContent>
          <mc:Choice Requires="wps">
            <w:drawing>
              <wp:anchor distT="0" distB="0" distL="114300" distR="114300" simplePos="0" relativeHeight="251658252" behindDoc="0" locked="0" layoutInCell="1" allowOverlap="1" wp14:anchorId="116C7D5F" wp14:editId="0A126DAC">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C7D5F" id="Text Box 39" o:spid="_x0000_s1034" type="#_x0000_t202" style="position:absolute;margin-left:4.15pt;margin-top:361.4pt;width:86.5pt;height:16.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F4dOxGAIAADMEAAAOAAAAAAAAAAAAAAAAAC4CAABkcnMvZTJvRG9jLnhtbFBLAQItABQA&#10;BgAIAAAAIQC615GY3wAAAAkBAAAPAAAAAAAAAAAAAAAAAHIEAABkcnMvZG93bnJldi54bWxQSwUG&#10;AAAAAAQABADzAAAAfgUAAAAA&#10;" filled="f" stroked="f" strokeweight=".5pt">
                <v:textbo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v:textbox>
              </v:shape>
            </w:pict>
          </mc:Fallback>
        </mc:AlternateContent>
      </w:r>
      <w:r w:rsidRPr="007B1AE5">
        <w:rPr>
          <w:noProof/>
        </w:rPr>
        <mc:AlternateContent>
          <mc:Choice Requires="wps">
            <w:drawing>
              <wp:anchor distT="0" distB="0" distL="114300" distR="114300" simplePos="0" relativeHeight="251658259" behindDoc="0" locked="0" layoutInCell="1" allowOverlap="1" wp14:anchorId="00060FE4" wp14:editId="039C5E58">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60FE4" id="Text Box 3" o:spid="_x0000_s1035" type="#_x0000_t202" style="position:absolute;margin-left:43.85pt;margin-top:118.4pt;width:86.5pt;height:16.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DpTnGQYAgAAMwQAAA4AAAAAAAAAAAAAAAAALgIAAGRycy9lMm9Eb2MueG1sUEsBAi0A&#10;FAAGAAgAAAAhAEUXGT7hAAAACgEAAA8AAAAAAAAAAAAAAAAAcgQAAGRycy9kb3ducmV2LnhtbFBL&#10;BQYAAAAABAAEAPMAAACABQAAAAA=&#10;" filled="f" stroked="f" strokeweight=".5pt">
                <v:textbo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v:textbox>
              </v:shape>
            </w:pict>
          </mc:Fallback>
        </mc:AlternateContent>
      </w:r>
      <w:r w:rsidRPr="007B1AE5">
        <w:rPr>
          <w:noProof/>
        </w:rPr>
        <mc:AlternateContent>
          <mc:Choice Requires="wps">
            <w:drawing>
              <wp:anchor distT="0" distB="0" distL="114300" distR="114300" simplePos="0" relativeHeight="251658258" behindDoc="0" locked="0" layoutInCell="1" allowOverlap="1" wp14:anchorId="20DC1882" wp14:editId="36A4FFBF">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C1882" id="Text Box 43" o:spid="_x0000_s1036" type="#_x0000_t202" style="position:absolute;margin-left:0;margin-top:374.95pt;width:86.5pt;height:16.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WWP/jxgCAAA0BAAADgAAAAAAAAAAAAAAAAAuAgAAZHJzL2Uyb0RvYy54bWxQSwECLQAU&#10;AAYACAAAACEAjtBUZ+AAAAAIAQAADwAAAAAAAAAAAAAAAAByBAAAZHJzL2Rvd25yZXYueG1sUEsF&#10;BgAAAAAEAAQA8wAAAH8FAAAAAA==&#10;" filled="f" stroked="f" strokeweight=".5pt">
                <v:textbo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v:textbox>
              </v:shape>
            </w:pict>
          </mc:Fallback>
        </mc:AlternateContent>
      </w:r>
      <w:r w:rsidRPr="007B1AE5">
        <w:rPr>
          <w:noProof/>
        </w:rPr>
        <mc:AlternateContent>
          <mc:Choice Requires="wps">
            <w:drawing>
              <wp:anchor distT="0" distB="0" distL="114300" distR="114300" simplePos="0" relativeHeight="251658256" behindDoc="0" locked="0" layoutInCell="1" allowOverlap="1" wp14:anchorId="72F425D0" wp14:editId="1B5B9E31">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425D0" id="Text Box 42" o:spid="_x0000_s1037" type="#_x0000_t202" style="position:absolute;margin-left:57pt;margin-top:378.95pt;width:86.5pt;height:16.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Ba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50E2UB1wPge99N7ypcImVsyHZ+ZQ&#10;a+wb9zc84SE1YDE4WpTU4H7+7T7mowQYpaTF3Smp/7FjTlCivxsUZzocj+OyJWc8+TJCx11HNtcR&#10;s2vuAddziC/F8mTG/KBPpnTQvOGaL2JVDDHDsXZJw8m8D/1G4zPhYrFISbheloWVWVseoSN5keKX&#10;7o05e9QhoIKPcNoyVryTo8/taV/sAkiVtIpE96we+cfVTGofn1Hc/Ws/ZV0e+/wX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CbRsFoYAgAANAQAAA4AAAAAAAAAAAAAAAAALgIAAGRycy9lMm9Eb2MueG1sUEsBAi0A&#10;FAAGAAgAAAAhAIcnTmbhAAAACwEAAA8AAAAAAAAAAAAAAAAAcgQAAGRycy9kb3ducmV2LnhtbFBL&#10;BQYAAAAABAAEAPMAAACABQAAAAA=&#10;" filled="f" stroked="f" strokeweight=".5pt">
                <v:textbo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v:textbox>
              </v:shape>
            </w:pict>
          </mc:Fallback>
        </mc:AlternateContent>
      </w:r>
      <w:r w:rsidRPr="007B1AE5">
        <w:rPr>
          <w:noProof/>
        </w:rPr>
        <mc:AlternateContent>
          <mc:Choice Requires="wps">
            <w:drawing>
              <wp:anchor distT="0" distB="0" distL="114300" distR="114300" simplePos="0" relativeHeight="251658253" behindDoc="0" locked="0" layoutInCell="1" allowOverlap="1" wp14:anchorId="24D07A92" wp14:editId="6CFAF26D">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7A92" id="Text Box 41" o:spid="_x0000_s1038" type="#_x0000_t202" style="position:absolute;margin-left:.15pt;margin-top:348.85pt;width:83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ClGgIAADQ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" filled="f" stroked="f" strokeweight=".5pt">
                <v:textbo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v:textbox>
              </v:shape>
            </w:pict>
          </mc:Fallback>
        </mc:AlternateContent>
      </w:r>
      <w:r w:rsidRPr="007B1AE5">
        <w:rPr>
          <w:noProof/>
        </w:rPr>
        <mc:AlternateContent>
          <mc:Choice Requires="wps">
            <w:drawing>
              <wp:anchor distT="0" distB="0" distL="114300" distR="114300" simplePos="0" relativeHeight="251658251" behindDoc="0" locked="0" layoutInCell="1" allowOverlap="1" wp14:anchorId="7233330F" wp14:editId="313AC33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330F" id="Text Box 38" o:spid="_x0000_s1039" type="#_x0000_t202" style="position:absolute;margin-left:-.35pt;margin-top:331.85pt;width:82.5pt;height:1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9GQ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BKu+J9GQIAADQEAAAOAAAAAAAAAAAAAAAAAC4CAABkcnMvZTJvRG9jLnhtbFBLAQIt&#10;ABQABgAIAAAAIQA+6Ero4QAAAAkBAAAPAAAAAAAAAAAAAAAAAHMEAABkcnMvZG93bnJldi54bWxQ&#10;SwUGAAAAAAQABADzAAAAgQUAAAAA&#10;" filled="f" stroked="f" strokeweight=".5pt">
                <v:textbo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v:textbox>
              </v:shape>
            </w:pict>
          </mc:Fallback>
        </mc:AlternateContent>
      </w:r>
      <w:r w:rsidRPr="007B1AE5">
        <w:rPr>
          <w:noProof/>
        </w:rPr>
        <mc:AlternateContent>
          <mc:Choice Requires="wps">
            <w:drawing>
              <wp:anchor distT="0" distB="0" distL="114300" distR="114300" simplePos="0" relativeHeight="251658249" behindDoc="0" locked="0" layoutInCell="1" allowOverlap="1" wp14:anchorId="365F8C5D" wp14:editId="0A98A9E6">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F8C5D" id="Text Box 36" o:spid="_x0000_s1040" type="#_x0000_t202" style="position:absolute;margin-left:44pt;margin-top:318.45pt;width:86.5pt;height:16.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" filled="f" stroked="f" strokeweight=".5pt">
                <v:textbo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v:textbox>
              </v:shape>
            </w:pict>
          </mc:Fallback>
        </mc:AlternateContent>
      </w:r>
      <w:r w:rsidRPr="007B1AE5">
        <w:rPr>
          <w:noProof/>
        </w:rPr>
        <mc:AlternateContent>
          <mc:Choice Requires="wps">
            <w:drawing>
              <wp:anchor distT="0" distB="0" distL="114300" distR="114300" simplePos="0" relativeHeight="251658244" behindDoc="0" locked="0" layoutInCell="1" allowOverlap="1" wp14:anchorId="1DBA956D" wp14:editId="1A034B45">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956D" id="Text Box 31" o:spid="_x0000_s1041" type="#_x0000_t202" style="position:absolute;margin-left:144.15pt;margin-top:252.35pt;width:122pt;height:1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v:textbox>
              </v:shape>
            </w:pict>
          </mc:Fallback>
        </mc:AlternateContent>
      </w:r>
      <w:r w:rsidRPr="007B1AE5">
        <w:rPr>
          <w:noProof/>
        </w:rPr>
        <mc:AlternateContent>
          <mc:Choice Requires="wps">
            <w:drawing>
              <wp:anchor distT="0" distB="0" distL="114300" distR="114300" simplePos="0" relativeHeight="251658243" behindDoc="0" locked="0" layoutInCell="1" allowOverlap="1" wp14:anchorId="0B6B5349" wp14:editId="2F66DA5B">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B5349" id="Text Box 24" o:spid="_x0000_s1042" type="#_x0000_t202" style="position:absolute;margin-left:-.5pt;margin-top:186.95pt;width:86.5pt;height:16.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v:textbox>
              </v:shape>
            </w:pict>
          </mc:Fallback>
        </mc:AlternateContent>
      </w:r>
      <w:r w:rsidRPr="007B1AE5">
        <w:rPr>
          <w:noProof/>
        </w:rPr>
        <mc:AlternateContent>
          <mc:Choice Requires="wps">
            <w:drawing>
              <wp:anchor distT="0" distB="0" distL="114300" distR="114300" simplePos="0" relativeHeight="251658242" behindDoc="0" locked="0" layoutInCell="1" allowOverlap="1" wp14:anchorId="17D3AFCD" wp14:editId="2F0BFDAD">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AFCD" id="Text Box 23" o:spid="_x0000_s1043" type="#_x0000_t202" style="position:absolute;margin-left:11.65pt;margin-top:76.35pt;width:127.5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v:textbox>
              </v:shape>
            </w:pict>
          </mc:Fallback>
        </mc:AlternateContent>
      </w:r>
      <w:r w:rsidRPr="007B1AE5">
        <w:rPr>
          <w:noProof/>
        </w:rPr>
        <mc:AlternateContent>
          <mc:Choice Requires="wps">
            <w:drawing>
              <wp:anchor distT="0" distB="0" distL="114300" distR="114300" simplePos="0" relativeHeight="251658241" behindDoc="0" locked="0" layoutInCell="1" allowOverlap="1" wp14:anchorId="7A0FA425" wp14:editId="4519188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FA425" id="Text Box 16" o:spid="_x0000_s1044" type="#_x0000_t202" style="position:absolute;margin-left:114pt;margin-top:128.45pt;width:86.5pt;height: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v:textbox>
              </v:shape>
            </w:pict>
          </mc:Fallback>
        </mc:AlternateContent>
      </w:r>
      <w:r w:rsidRPr="007B1AE5">
        <w:rPr>
          <w:noProof/>
        </w:rPr>
        <mc:AlternateContent>
          <mc:Choice Requires="wps">
            <w:drawing>
              <wp:anchor distT="0" distB="0" distL="114300" distR="114300" simplePos="0" relativeHeight="251658240" behindDoc="0" locked="0" layoutInCell="1" allowOverlap="1" wp14:anchorId="6ECEBAE6" wp14:editId="0BE4EAD1">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EBAE6" id="Text Box 6" o:spid="_x0000_s1045" type="#_x0000_t202" style="position:absolute;margin-left:191.15pt;margin-top:68.85pt;width:86.5pt;height:1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v:textbox>
              </v:shape>
            </w:pict>
          </mc:Fallback>
        </mc:AlternateContent>
      </w:r>
      <w:r w:rsidRPr="007B1AE5">
        <w:object w:dxaOrig="11235" w:dyaOrig="15900" w14:anchorId="328FF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410pt" o:ole="">
            <v:imagedata r:id="rId99" o:title=""/>
          </v:shape>
          <o:OLEObject Type="Embed" ProgID="PBrush" ShapeID="_x0000_i1025" DrawAspect="Content" ObjectID="_1823774686" r:id="rId100"/>
        </w:object>
      </w:r>
    </w:p>
    <w:p w14:paraId="5CE79F4C" w14:textId="77777777" w:rsidR="00233755" w:rsidRPr="00700D3D" w:rsidRDefault="00233755" w:rsidP="00233755">
      <w:pPr>
        <w:pStyle w:val="Heading4"/>
        <w:spacing w:before="0"/>
        <w:rPr>
          <w:b w:val="0"/>
          <w:bCs w:val="0"/>
          <w:i w:val="0"/>
          <w:iCs w:val="0"/>
          <w:color w:val="FFFFFF" w:themeColor="background1"/>
          <w:sz w:val="12"/>
          <w:szCs w:val="12"/>
        </w:rPr>
      </w:pPr>
      <w:r w:rsidRPr="007B1AE5">
        <w:br w:type="column"/>
      </w:r>
    </w:p>
    <w:tbl>
      <w:tblPr>
        <w:tblStyle w:val="GridTable4"/>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gridCol w:w="1417"/>
        <w:gridCol w:w="1134"/>
        <w:gridCol w:w="933"/>
        <w:gridCol w:w="1052"/>
        <w:gridCol w:w="850"/>
      </w:tblGrid>
      <w:tr w:rsidR="00233755" w:rsidRPr="001168DD" w14:paraId="1CB18BF6" w14:textId="77777777" w:rsidTr="00BE7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4C3D"/>
            <w:vAlign w:val="center"/>
          </w:tcPr>
          <w:p w14:paraId="3CD6FE47" w14:textId="77777777" w:rsidR="00233755" w:rsidRPr="001168DD" w:rsidRDefault="00233755" w:rsidP="00C24386">
            <w:pPr>
              <w:rPr>
                <w:rFonts w:cstheme="minorHAnsi"/>
                <w:sz w:val="14"/>
                <w:szCs w:val="14"/>
              </w:rPr>
            </w:pPr>
            <w:r w:rsidRPr="001168DD">
              <w:rPr>
                <w:rFonts w:cstheme="minorHAnsi"/>
                <w:sz w:val="14"/>
                <w:szCs w:val="14"/>
              </w:rPr>
              <w:t>Region</w:t>
            </w:r>
          </w:p>
        </w:tc>
        <w:tc>
          <w:tcPr>
            <w:tcW w:w="2410" w:type="dxa"/>
            <w:gridSpan w:val="2"/>
            <w:shd w:val="clear" w:color="auto" w:fill="004C3D"/>
            <w:vAlign w:val="center"/>
          </w:tcPr>
          <w:p w14:paraId="1EE5B134" w14:textId="77777777" w:rsidR="00233755" w:rsidRPr="004D42E9" w:rsidRDefault="00233755" w:rsidP="00C24386">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Gross regional product 2023-24</w:t>
            </w:r>
          </w:p>
        </w:tc>
        <w:tc>
          <w:tcPr>
            <w:tcW w:w="2067" w:type="dxa"/>
            <w:gridSpan w:val="2"/>
            <w:shd w:val="clear" w:color="auto" w:fill="004C3D"/>
            <w:vAlign w:val="center"/>
          </w:tcPr>
          <w:p w14:paraId="6CCBCF56" w14:textId="77777777" w:rsidR="00233755" w:rsidRPr="004D42E9" w:rsidRDefault="00233755" w:rsidP="00C24386">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Population 2023</w:t>
            </w:r>
            <w:r w:rsidRPr="004D42E9">
              <w:rPr>
                <w:rFonts w:cstheme="minorHAnsi"/>
                <w:sz w:val="14"/>
                <w:szCs w:val="14"/>
              </w:rPr>
              <w:noBreakHyphen/>
              <w:t>24</w:t>
            </w:r>
          </w:p>
        </w:tc>
        <w:tc>
          <w:tcPr>
            <w:tcW w:w="1902" w:type="dxa"/>
            <w:gridSpan w:val="2"/>
            <w:shd w:val="clear" w:color="auto" w:fill="004C3D"/>
            <w:vAlign w:val="center"/>
          </w:tcPr>
          <w:p w14:paraId="61DDFFF7" w14:textId="77777777" w:rsidR="00233755" w:rsidRPr="00700D3D" w:rsidRDefault="00233755" w:rsidP="00C24386">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Mining sales 2024</w:t>
            </w:r>
          </w:p>
        </w:tc>
      </w:tr>
      <w:tr w:rsidR="00233755" w:rsidRPr="001168DD" w14:paraId="729F154B" w14:textId="77777777" w:rsidTr="00BE7B5F">
        <w:tc>
          <w:tcPr>
            <w:cnfStyle w:val="001000000000" w:firstRow="0" w:lastRow="0" w:firstColumn="1" w:lastColumn="0" w:oddVBand="0" w:evenVBand="0" w:oddHBand="0" w:evenHBand="0" w:firstRowFirstColumn="0" w:firstRowLastColumn="0" w:lastRowFirstColumn="0" w:lastRowLastColumn="0"/>
            <w:tcW w:w="1809" w:type="dxa"/>
            <w:vMerge/>
            <w:shd w:val="clear" w:color="auto" w:fill="004C3D"/>
            <w:vAlign w:val="center"/>
          </w:tcPr>
          <w:p w14:paraId="62531F0D" w14:textId="77777777" w:rsidR="00233755" w:rsidRPr="001168DD" w:rsidRDefault="00233755" w:rsidP="00C24386">
            <w:pPr>
              <w:rPr>
                <w:rFonts w:cstheme="minorHAnsi"/>
                <w:sz w:val="14"/>
                <w:szCs w:val="14"/>
              </w:rPr>
            </w:pPr>
          </w:p>
        </w:tc>
        <w:tc>
          <w:tcPr>
            <w:tcW w:w="993" w:type="dxa"/>
            <w:shd w:val="clear" w:color="auto" w:fill="004C3D"/>
            <w:vAlign w:val="center"/>
          </w:tcPr>
          <w:p w14:paraId="29DB28E4" w14:textId="77777777" w:rsidR="00233755" w:rsidRPr="001168D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4C3D"/>
            <w:vAlign w:val="center"/>
          </w:tcPr>
          <w:p w14:paraId="57BC6D45" w14:textId="77777777" w:rsidR="00233755" w:rsidRPr="001168D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4C3D"/>
            <w:vAlign w:val="center"/>
          </w:tcPr>
          <w:p w14:paraId="72B8E3FA" w14:textId="77777777" w:rsidR="00233755" w:rsidRPr="001168D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4C3D"/>
            <w:vAlign w:val="center"/>
          </w:tcPr>
          <w:p w14:paraId="3A0EEDF3" w14:textId="77777777" w:rsidR="00233755" w:rsidRPr="001168D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4C3D"/>
            <w:vAlign w:val="center"/>
          </w:tcPr>
          <w:p w14:paraId="69CB4E21" w14:textId="77777777" w:rsidR="00233755" w:rsidRPr="001168D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4C3D"/>
            <w:vAlign w:val="center"/>
          </w:tcPr>
          <w:p w14:paraId="37813370" w14:textId="77777777" w:rsidR="00233755" w:rsidRPr="001168D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233755" w:rsidRPr="00775345" w14:paraId="696ED41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C00D4A2" w14:textId="77777777" w:rsidR="00233755" w:rsidRPr="00775345" w:rsidRDefault="00233755" w:rsidP="00C24386">
            <w:pPr>
              <w:rPr>
                <w:rFonts w:cstheme="minorHAnsi"/>
                <w:sz w:val="14"/>
                <w:szCs w:val="14"/>
              </w:rPr>
            </w:pPr>
            <w:r w:rsidRPr="00775345">
              <w:rPr>
                <w:rFonts w:cstheme="minorHAnsi"/>
                <w:sz w:val="14"/>
                <w:szCs w:val="14"/>
              </w:rPr>
              <w:t>Perth</w:t>
            </w:r>
          </w:p>
        </w:tc>
        <w:tc>
          <w:tcPr>
            <w:tcW w:w="993" w:type="dxa"/>
            <w:shd w:val="clear" w:color="auto" w:fill="FFFFFF" w:themeFill="background1"/>
          </w:tcPr>
          <w:p w14:paraId="26EA2465"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288.6</w:t>
            </w:r>
          </w:p>
        </w:tc>
        <w:tc>
          <w:tcPr>
            <w:tcW w:w="1417" w:type="dxa"/>
            <w:shd w:val="clear" w:color="auto" w:fill="FFFFFF" w:themeFill="background1"/>
          </w:tcPr>
          <w:p w14:paraId="7F82EC7D"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63.3</w:t>
            </w:r>
          </w:p>
        </w:tc>
        <w:tc>
          <w:tcPr>
            <w:tcW w:w="1134" w:type="dxa"/>
            <w:shd w:val="clear" w:color="auto" w:fill="FFFFFF" w:themeFill="background1"/>
          </w:tcPr>
          <w:p w14:paraId="5CB76148"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2,222,968</w:t>
            </w:r>
          </w:p>
        </w:tc>
        <w:tc>
          <w:tcPr>
            <w:tcW w:w="933" w:type="dxa"/>
            <w:shd w:val="clear" w:color="auto" w:fill="FFFFFF" w:themeFill="background1"/>
          </w:tcPr>
          <w:p w14:paraId="021BFA53"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75.0</w:t>
            </w:r>
          </w:p>
        </w:tc>
        <w:tc>
          <w:tcPr>
            <w:tcW w:w="1052" w:type="dxa"/>
            <w:shd w:val="clear" w:color="auto" w:fill="FFFFFF" w:themeFill="background1"/>
          </w:tcPr>
          <w:p w14:paraId="065EFC9A"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0.1</w:t>
            </w:r>
          </w:p>
        </w:tc>
        <w:tc>
          <w:tcPr>
            <w:tcW w:w="850" w:type="dxa"/>
            <w:shd w:val="clear" w:color="auto" w:fill="FFFFFF" w:themeFill="background1"/>
          </w:tcPr>
          <w:p w14:paraId="050D4724"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0.0</w:t>
            </w:r>
          </w:p>
        </w:tc>
      </w:tr>
      <w:tr w:rsidR="00233755" w:rsidRPr="00775345" w14:paraId="2CBBC1BF"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BCC0EEA" w14:textId="77777777" w:rsidR="00233755" w:rsidRPr="00775345" w:rsidRDefault="00233755" w:rsidP="00C24386">
            <w:pPr>
              <w:rPr>
                <w:rFonts w:cstheme="minorHAnsi"/>
                <w:sz w:val="14"/>
                <w:szCs w:val="14"/>
              </w:rPr>
            </w:pPr>
            <w:r w:rsidRPr="00775345">
              <w:rPr>
                <w:rFonts w:cstheme="minorHAnsi"/>
                <w:sz w:val="14"/>
                <w:szCs w:val="14"/>
              </w:rPr>
              <w:t>Pilbara(a)</w:t>
            </w:r>
          </w:p>
        </w:tc>
        <w:tc>
          <w:tcPr>
            <w:tcW w:w="993" w:type="dxa"/>
            <w:shd w:val="clear" w:color="auto" w:fill="FFFFFF" w:themeFill="background1"/>
          </w:tcPr>
          <w:p w14:paraId="3E650AAA"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89.3</w:t>
            </w:r>
          </w:p>
        </w:tc>
        <w:tc>
          <w:tcPr>
            <w:tcW w:w="1417" w:type="dxa"/>
            <w:shd w:val="clear" w:color="auto" w:fill="FFFFFF" w:themeFill="background1"/>
          </w:tcPr>
          <w:p w14:paraId="4556E590"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19.6</w:t>
            </w:r>
          </w:p>
        </w:tc>
        <w:tc>
          <w:tcPr>
            <w:tcW w:w="1134" w:type="dxa"/>
            <w:shd w:val="clear" w:color="auto" w:fill="FFFFFF" w:themeFill="background1"/>
          </w:tcPr>
          <w:p w14:paraId="31B19BEE"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60,746</w:t>
            </w:r>
          </w:p>
        </w:tc>
        <w:tc>
          <w:tcPr>
            <w:tcW w:w="933" w:type="dxa"/>
            <w:shd w:val="clear" w:color="auto" w:fill="FFFFFF" w:themeFill="background1"/>
          </w:tcPr>
          <w:p w14:paraId="05B7D268"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780F8431"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129.0</w:t>
            </w:r>
          </w:p>
        </w:tc>
        <w:tc>
          <w:tcPr>
            <w:tcW w:w="850" w:type="dxa"/>
            <w:shd w:val="clear" w:color="auto" w:fill="FFFFFF" w:themeFill="background1"/>
          </w:tcPr>
          <w:p w14:paraId="064F56A6"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74.7</w:t>
            </w:r>
          </w:p>
        </w:tc>
      </w:tr>
      <w:tr w:rsidR="00233755" w:rsidRPr="00775345" w14:paraId="5556AAAC"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A049301" w14:textId="77777777" w:rsidR="00233755" w:rsidRPr="00775345" w:rsidRDefault="00233755" w:rsidP="00C24386">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5C88664D"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19.5</w:t>
            </w:r>
          </w:p>
        </w:tc>
        <w:tc>
          <w:tcPr>
            <w:tcW w:w="1417" w:type="dxa"/>
            <w:shd w:val="clear" w:color="auto" w:fill="FFFFFF" w:themeFill="background1"/>
          </w:tcPr>
          <w:p w14:paraId="77C9891C"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4.3</w:t>
            </w:r>
          </w:p>
        </w:tc>
        <w:tc>
          <w:tcPr>
            <w:tcW w:w="1134" w:type="dxa"/>
            <w:shd w:val="clear" w:color="auto" w:fill="FFFFFF" w:themeFill="background1"/>
          </w:tcPr>
          <w:p w14:paraId="099E0205"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201,659</w:t>
            </w:r>
          </w:p>
        </w:tc>
        <w:tc>
          <w:tcPr>
            <w:tcW w:w="933" w:type="dxa"/>
            <w:shd w:val="clear" w:color="auto" w:fill="FFFFFF" w:themeFill="background1"/>
          </w:tcPr>
          <w:p w14:paraId="0DC01D43"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6.8</w:t>
            </w:r>
          </w:p>
        </w:tc>
        <w:tc>
          <w:tcPr>
            <w:tcW w:w="1052" w:type="dxa"/>
            <w:shd w:val="clear" w:color="auto" w:fill="FFFFFF" w:themeFill="background1"/>
          </w:tcPr>
          <w:p w14:paraId="1E2F4399"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2.6</w:t>
            </w:r>
          </w:p>
        </w:tc>
        <w:tc>
          <w:tcPr>
            <w:tcW w:w="850" w:type="dxa"/>
            <w:shd w:val="clear" w:color="auto" w:fill="FFFFFF" w:themeFill="background1"/>
          </w:tcPr>
          <w:p w14:paraId="1640F729"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1.5</w:t>
            </w:r>
          </w:p>
        </w:tc>
      </w:tr>
      <w:tr w:rsidR="00233755" w:rsidRPr="00775345" w14:paraId="7BB7C64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8DE6CF6" w14:textId="34CEC5DC" w:rsidR="00233755" w:rsidRPr="00775345" w:rsidRDefault="00233755" w:rsidP="00C24386">
            <w:pPr>
              <w:rPr>
                <w:rFonts w:cstheme="minorHAnsi"/>
                <w:sz w:val="14"/>
                <w:szCs w:val="14"/>
              </w:rPr>
            </w:pPr>
            <w:r w:rsidRPr="00775345">
              <w:rPr>
                <w:rFonts w:cstheme="minorHAnsi"/>
                <w:sz w:val="14"/>
                <w:szCs w:val="14"/>
              </w:rPr>
              <w:t>Goldfields-Esperance</w:t>
            </w:r>
          </w:p>
        </w:tc>
        <w:tc>
          <w:tcPr>
            <w:tcW w:w="993" w:type="dxa"/>
            <w:shd w:val="clear" w:color="auto" w:fill="FFFFFF" w:themeFill="background1"/>
          </w:tcPr>
          <w:p w14:paraId="08070977"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15.2</w:t>
            </w:r>
          </w:p>
        </w:tc>
        <w:tc>
          <w:tcPr>
            <w:tcW w:w="1417" w:type="dxa"/>
            <w:shd w:val="clear" w:color="auto" w:fill="FFFFFF" w:themeFill="background1"/>
          </w:tcPr>
          <w:p w14:paraId="1102C385"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3.3</w:t>
            </w:r>
          </w:p>
        </w:tc>
        <w:tc>
          <w:tcPr>
            <w:tcW w:w="1134" w:type="dxa"/>
            <w:shd w:val="clear" w:color="auto" w:fill="FFFFFF" w:themeFill="background1"/>
          </w:tcPr>
          <w:p w14:paraId="32137C04"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58,134</w:t>
            </w:r>
          </w:p>
        </w:tc>
        <w:tc>
          <w:tcPr>
            <w:tcW w:w="933" w:type="dxa"/>
            <w:shd w:val="clear" w:color="auto" w:fill="FFFFFF" w:themeFill="background1"/>
          </w:tcPr>
          <w:p w14:paraId="30896FDC"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23950C90"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22.7</w:t>
            </w:r>
          </w:p>
        </w:tc>
        <w:tc>
          <w:tcPr>
            <w:tcW w:w="850" w:type="dxa"/>
            <w:shd w:val="clear" w:color="auto" w:fill="FFFFFF" w:themeFill="background1"/>
          </w:tcPr>
          <w:p w14:paraId="280FA849"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13.1</w:t>
            </w:r>
          </w:p>
        </w:tc>
      </w:tr>
      <w:tr w:rsidR="00233755" w:rsidRPr="00775345" w14:paraId="365AA51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43F19EA" w14:textId="77777777" w:rsidR="00233755" w:rsidRPr="00775345" w:rsidRDefault="00233755" w:rsidP="00C24386">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13D20ACA"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11.1</w:t>
            </w:r>
          </w:p>
        </w:tc>
        <w:tc>
          <w:tcPr>
            <w:tcW w:w="1417" w:type="dxa"/>
            <w:shd w:val="clear" w:color="auto" w:fill="FFFFFF" w:themeFill="background1"/>
          </w:tcPr>
          <w:p w14:paraId="7BF4A69E"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2.4</w:t>
            </w:r>
          </w:p>
        </w:tc>
        <w:tc>
          <w:tcPr>
            <w:tcW w:w="1134" w:type="dxa"/>
            <w:shd w:val="clear" w:color="auto" w:fill="FFFFFF" w:themeFill="background1"/>
          </w:tcPr>
          <w:p w14:paraId="73A90749"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168,461</w:t>
            </w:r>
          </w:p>
        </w:tc>
        <w:tc>
          <w:tcPr>
            <w:tcW w:w="933" w:type="dxa"/>
            <w:shd w:val="clear" w:color="auto" w:fill="FFFFFF" w:themeFill="background1"/>
          </w:tcPr>
          <w:p w14:paraId="36898085"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5.7</w:t>
            </w:r>
          </w:p>
        </w:tc>
        <w:tc>
          <w:tcPr>
            <w:tcW w:w="1052" w:type="dxa"/>
            <w:shd w:val="clear" w:color="auto" w:fill="FFFFFF" w:themeFill="background1"/>
          </w:tcPr>
          <w:p w14:paraId="541431AD"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9.9</w:t>
            </w:r>
          </w:p>
        </w:tc>
        <w:tc>
          <w:tcPr>
            <w:tcW w:w="850" w:type="dxa"/>
            <w:shd w:val="clear" w:color="auto" w:fill="FFFFFF" w:themeFill="background1"/>
          </w:tcPr>
          <w:p w14:paraId="25C29F01"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5.7</w:t>
            </w:r>
          </w:p>
        </w:tc>
      </w:tr>
      <w:tr w:rsidR="00233755" w:rsidRPr="00775345" w14:paraId="7BD1258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E7BE78D" w14:textId="77777777" w:rsidR="00233755" w:rsidRPr="00775345" w:rsidRDefault="00233755" w:rsidP="00C24386">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026EECA9"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9.2</w:t>
            </w:r>
          </w:p>
        </w:tc>
        <w:tc>
          <w:tcPr>
            <w:tcW w:w="1417" w:type="dxa"/>
            <w:shd w:val="clear" w:color="auto" w:fill="FFFFFF" w:themeFill="background1"/>
          </w:tcPr>
          <w:p w14:paraId="7479BA1A"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7CE565D0"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78,517</w:t>
            </w:r>
          </w:p>
        </w:tc>
        <w:tc>
          <w:tcPr>
            <w:tcW w:w="933" w:type="dxa"/>
            <w:shd w:val="clear" w:color="auto" w:fill="FFFFFF" w:themeFill="background1"/>
          </w:tcPr>
          <w:p w14:paraId="077FE2C3"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2.6</w:t>
            </w:r>
          </w:p>
        </w:tc>
        <w:tc>
          <w:tcPr>
            <w:tcW w:w="1052" w:type="dxa"/>
            <w:shd w:val="clear" w:color="auto" w:fill="FFFFFF" w:themeFill="background1"/>
          </w:tcPr>
          <w:p w14:paraId="502B129A"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2.5</w:t>
            </w:r>
          </w:p>
        </w:tc>
        <w:tc>
          <w:tcPr>
            <w:tcW w:w="850" w:type="dxa"/>
            <w:shd w:val="clear" w:color="auto" w:fill="FFFFFF" w:themeFill="background1"/>
          </w:tcPr>
          <w:p w14:paraId="1F758DE4"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1.5</w:t>
            </w:r>
          </w:p>
        </w:tc>
      </w:tr>
      <w:tr w:rsidR="00233755" w:rsidRPr="00775345" w14:paraId="5C911A4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19A0470" w14:textId="77777777" w:rsidR="00233755" w:rsidRPr="00775345" w:rsidRDefault="00233755" w:rsidP="00C24386">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2CA90658"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9.0</w:t>
            </w:r>
          </w:p>
        </w:tc>
        <w:tc>
          <w:tcPr>
            <w:tcW w:w="1417" w:type="dxa"/>
            <w:shd w:val="clear" w:color="auto" w:fill="FFFFFF" w:themeFill="background1"/>
          </w:tcPr>
          <w:p w14:paraId="6B6526A6"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22888F7D"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58,127</w:t>
            </w:r>
          </w:p>
        </w:tc>
        <w:tc>
          <w:tcPr>
            <w:tcW w:w="933" w:type="dxa"/>
            <w:shd w:val="clear" w:color="auto" w:fill="FFFFFF" w:themeFill="background1"/>
          </w:tcPr>
          <w:p w14:paraId="6BF57883"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431D2C15"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5.0</w:t>
            </w:r>
          </w:p>
        </w:tc>
        <w:tc>
          <w:tcPr>
            <w:tcW w:w="850" w:type="dxa"/>
            <w:shd w:val="clear" w:color="auto" w:fill="FFFFFF" w:themeFill="background1"/>
          </w:tcPr>
          <w:p w14:paraId="5130EA15"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2.9</w:t>
            </w:r>
          </w:p>
        </w:tc>
      </w:tr>
      <w:tr w:rsidR="00233755" w:rsidRPr="00775345" w14:paraId="094F0FFA"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5A99F75" w14:textId="77777777" w:rsidR="00233755" w:rsidRPr="00775345" w:rsidRDefault="00233755" w:rsidP="00C24386">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175735E8"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w:t>
            </w:r>
          </w:p>
        </w:tc>
        <w:tc>
          <w:tcPr>
            <w:tcW w:w="1417" w:type="dxa"/>
            <w:shd w:val="clear" w:color="auto" w:fill="FFFFFF" w:themeFill="background1"/>
          </w:tcPr>
          <w:p w14:paraId="07BBB610"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134" w:type="dxa"/>
            <w:shd w:val="clear" w:color="auto" w:fill="FFFFFF" w:themeFill="background1"/>
          </w:tcPr>
          <w:p w14:paraId="474440CE"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66,002</w:t>
            </w:r>
          </w:p>
        </w:tc>
        <w:tc>
          <w:tcPr>
            <w:tcW w:w="933" w:type="dxa"/>
            <w:shd w:val="clear" w:color="auto" w:fill="FFFFFF" w:themeFill="background1"/>
          </w:tcPr>
          <w:p w14:paraId="2076F322"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2.2</w:t>
            </w:r>
          </w:p>
        </w:tc>
        <w:tc>
          <w:tcPr>
            <w:tcW w:w="1052" w:type="dxa"/>
            <w:shd w:val="clear" w:color="auto" w:fill="FFFFFF" w:themeFill="background1"/>
          </w:tcPr>
          <w:p w14:paraId="0E5A2018"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0.0</w:t>
            </w:r>
          </w:p>
        </w:tc>
        <w:tc>
          <w:tcPr>
            <w:tcW w:w="850" w:type="dxa"/>
            <w:shd w:val="clear" w:color="auto" w:fill="FFFFFF" w:themeFill="background1"/>
          </w:tcPr>
          <w:p w14:paraId="328DE9CC"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0.0</w:t>
            </w:r>
          </w:p>
        </w:tc>
      </w:tr>
      <w:tr w:rsidR="00233755" w:rsidRPr="00775345" w14:paraId="1A6D6A4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924ADA2" w14:textId="77777777" w:rsidR="00233755" w:rsidRPr="00775345" w:rsidRDefault="00233755" w:rsidP="00C24386">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4F25E216"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w:t>
            </w:r>
          </w:p>
        </w:tc>
        <w:tc>
          <w:tcPr>
            <w:tcW w:w="1417" w:type="dxa"/>
            <w:shd w:val="clear" w:color="auto" w:fill="FFFFFF" w:themeFill="background1"/>
          </w:tcPr>
          <w:p w14:paraId="7B5F55B5"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w:t>
            </w:r>
          </w:p>
        </w:tc>
        <w:tc>
          <w:tcPr>
            <w:tcW w:w="1134" w:type="dxa"/>
            <w:shd w:val="clear" w:color="auto" w:fill="FFFFFF" w:themeFill="background1"/>
          </w:tcPr>
          <w:p w14:paraId="1367FA4A"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39,934</w:t>
            </w:r>
          </w:p>
        </w:tc>
        <w:tc>
          <w:tcPr>
            <w:tcW w:w="933" w:type="dxa"/>
            <w:shd w:val="clear" w:color="auto" w:fill="FFFFFF" w:themeFill="background1"/>
          </w:tcPr>
          <w:p w14:paraId="16F9B457"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052" w:type="dxa"/>
            <w:shd w:val="clear" w:color="auto" w:fill="FFFFFF" w:themeFill="background1"/>
          </w:tcPr>
          <w:p w14:paraId="04881DB7"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0.6</w:t>
            </w:r>
          </w:p>
        </w:tc>
        <w:tc>
          <w:tcPr>
            <w:tcW w:w="850" w:type="dxa"/>
            <w:shd w:val="clear" w:color="auto" w:fill="FFFFFF" w:themeFill="background1"/>
          </w:tcPr>
          <w:p w14:paraId="74E89A1E"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0.3</w:t>
            </w:r>
          </w:p>
        </w:tc>
      </w:tr>
      <w:tr w:rsidR="00233755" w:rsidRPr="00775345" w14:paraId="45D57833"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2932FE2" w14:textId="77777777" w:rsidR="00233755" w:rsidRPr="00775345" w:rsidRDefault="00233755" w:rsidP="00C24386">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13A0E83E"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1.4</w:t>
            </w:r>
          </w:p>
        </w:tc>
        <w:tc>
          <w:tcPr>
            <w:tcW w:w="1417" w:type="dxa"/>
            <w:shd w:val="clear" w:color="auto" w:fill="FFFFFF" w:themeFill="background1"/>
          </w:tcPr>
          <w:p w14:paraId="1EFA3ECF"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0.3</w:t>
            </w:r>
          </w:p>
        </w:tc>
        <w:tc>
          <w:tcPr>
            <w:tcW w:w="1134" w:type="dxa"/>
            <w:shd w:val="clear" w:color="auto" w:fill="FFFFFF" w:themeFill="background1"/>
          </w:tcPr>
          <w:p w14:paraId="01484C17"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10,530</w:t>
            </w:r>
          </w:p>
        </w:tc>
        <w:tc>
          <w:tcPr>
            <w:tcW w:w="933" w:type="dxa"/>
            <w:shd w:val="clear" w:color="auto" w:fill="FFFFFF" w:themeFill="background1"/>
          </w:tcPr>
          <w:p w14:paraId="4D9BCD5F"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0.4</w:t>
            </w:r>
          </w:p>
        </w:tc>
        <w:tc>
          <w:tcPr>
            <w:tcW w:w="1052" w:type="dxa"/>
            <w:shd w:val="clear" w:color="auto" w:fill="FFFFFF" w:themeFill="background1"/>
          </w:tcPr>
          <w:p w14:paraId="6D228622"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0.3</w:t>
            </w:r>
          </w:p>
        </w:tc>
        <w:tc>
          <w:tcPr>
            <w:tcW w:w="850" w:type="dxa"/>
            <w:shd w:val="clear" w:color="auto" w:fill="FFFFFF" w:themeFill="background1"/>
          </w:tcPr>
          <w:p w14:paraId="6080BCBD"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0.2</w:t>
            </w:r>
          </w:p>
        </w:tc>
      </w:tr>
      <w:tr w:rsidR="00233755" w:rsidRPr="00775345" w14:paraId="7A03F5B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97118B1" w14:textId="77777777" w:rsidR="00233755" w:rsidRPr="00775345" w:rsidRDefault="00233755" w:rsidP="00C24386">
            <w:pPr>
              <w:rPr>
                <w:rFonts w:cstheme="minorHAnsi"/>
                <w:sz w:val="14"/>
                <w:szCs w:val="14"/>
              </w:rPr>
            </w:pPr>
            <w:r w:rsidRPr="00775345">
              <w:rPr>
                <w:rFonts w:cstheme="minorHAnsi"/>
                <w:sz w:val="14"/>
                <w:szCs w:val="14"/>
              </w:rPr>
              <w:t xml:space="preserve">WA </w:t>
            </w:r>
            <w:r w:rsidRPr="004D42E9">
              <w:rPr>
                <w:rFonts w:cstheme="minorHAnsi"/>
                <w:sz w:val="14"/>
                <w:szCs w:val="14"/>
              </w:rPr>
              <w:t>total(b</w:t>
            </w:r>
            <w:r w:rsidRPr="000913C9">
              <w:rPr>
                <w:rFonts w:cstheme="minorHAnsi"/>
                <w:sz w:val="14"/>
                <w:szCs w:val="14"/>
              </w:rPr>
              <w:t>)</w:t>
            </w:r>
          </w:p>
        </w:tc>
        <w:tc>
          <w:tcPr>
            <w:tcW w:w="993" w:type="dxa"/>
            <w:shd w:val="clear" w:color="auto" w:fill="FFFFFF" w:themeFill="background1"/>
          </w:tcPr>
          <w:p w14:paraId="72CD01CF"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455.7</w:t>
            </w:r>
          </w:p>
        </w:tc>
        <w:tc>
          <w:tcPr>
            <w:tcW w:w="1417" w:type="dxa"/>
            <w:shd w:val="clear" w:color="auto" w:fill="FFFFFF" w:themeFill="background1"/>
          </w:tcPr>
          <w:p w14:paraId="3DCB554A"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134" w:type="dxa"/>
            <w:shd w:val="clear" w:color="auto" w:fill="FFFFFF" w:themeFill="background1"/>
          </w:tcPr>
          <w:p w14:paraId="3C93D1B9"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2,965,078</w:t>
            </w:r>
          </w:p>
        </w:tc>
        <w:tc>
          <w:tcPr>
            <w:tcW w:w="933" w:type="dxa"/>
            <w:shd w:val="clear" w:color="auto" w:fill="FFFFFF" w:themeFill="background1"/>
          </w:tcPr>
          <w:p w14:paraId="0DE177E2"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052" w:type="dxa"/>
            <w:shd w:val="clear" w:color="auto" w:fill="FFFFFF" w:themeFill="background1"/>
          </w:tcPr>
          <w:p w14:paraId="1DC0CC21"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172.7</w:t>
            </w:r>
          </w:p>
        </w:tc>
        <w:tc>
          <w:tcPr>
            <w:tcW w:w="850" w:type="dxa"/>
            <w:shd w:val="clear" w:color="auto" w:fill="FFFFFF" w:themeFill="background1"/>
          </w:tcPr>
          <w:p w14:paraId="0863DC38"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100.0</w:t>
            </w:r>
          </w:p>
        </w:tc>
      </w:tr>
    </w:tbl>
    <w:p w14:paraId="04F6F947" w14:textId="77777777" w:rsidR="00233755" w:rsidRPr="009402EF" w:rsidRDefault="00233755" w:rsidP="00233755">
      <w:pPr>
        <w:rPr>
          <w:color w:val="000000" w:themeColor="text1"/>
          <w:sz w:val="10"/>
          <w:szCs w:val="10"/>
        </w:rPr>
      </w:pPr>
      <w:r w:rsidRPr="00665621">
        <w:rPr>
          <w:sz w:val="10"/>
          <w:szCs w:val="10"/>
        </w:rPr>
        <w:t>Note – Original series. Estimated resident population. (a) Includes Offshore Western Australia for mining sales</w:t>
      </w:r>
      <w:r w:rsidRPr="009402EF">
        <w:rPr>
          <w:color w:val="000000" w:themeColor="text1"/>
          <w:sz w:val="10"/>
          <w:szCs w:val="10"/>
        </w:rPr>
        <w:t>. (b) Components do not sum to the total because the total includes Migratory - Offshore - Shipping (WA), Christmas Island LGA and Cocos Islands LGA.</w:t>
      </w:r>
    </w:p>
    <w:p w14:paraId="11C5D377" w14:textId="52E51B73" w:rsidR="00233755" w:rsidRPr="005E7FCB" w:rsidRDefault="00233755" w:rsidP="00233755">
      <w:pPr>
        <w:rPr>
          <w:sz w:val="10"/>
          <w:szCs w:val="10"/>
        </w:rPr>
      </w:pPr>
      <w:r w:rsidRPr="005E7FCB">
        <w:rPr>
          <w:sz w:val="10"/>
          <w:szCs w:val="10"/>
        </w:rPr>
        <w:t xml:space="preserve">Source: WA Department of Primary Industries and Regional Development, </w:t>
      </w:r>
      <w:proofErr w:type="spellStart"/>
      <w:r w:rsidRPr="005E7FCB">
        <w:rPr>
          <w:sz w:val="10"/>
          <w:szCs w:val="10"/>
        </w:rPr>
        <w:t>Remplan</w:t>
      </w:r>
      <w:proofErr w:type="spellEnd"/>
      <w:r w:rsidRPr="005E7FCB">
        <w:rPr>
          <w:sz w:val="10"/>
          <w:szCs w:val="10"/>
        </w:rPr>
        <w:t>; based on ABS data; and WA Department of</w:t>
      </w:r>
      <w:r w:rsidR="006503FE" w:rsidRPr="005E7FCB">
        <w:rPr>
          <w:sz w:val="10"/>
          <w:szCs w:val="10"/>
        </w:rPr>
        <w:t xml:space="preserve"> </w:t>
      </w:r>
      <w:r w:rsidRPr="005E7FCB">
        <w:rPr>
          <w:sz w:val="10"/>
          <w:szCs w:val="10"/>
        </w:rPr>
        <w:t>Mines</w:t>
      </w:r>
      <w:r w:rsidR="006503FE" w:rsidRPr="005E7FCB">
        <w:rPr>
          <w:sz w:val="10"/>
          <w:szCs w:val="10"/>
        </w:rPr>
        <w:t>, Petroleum and Exploration</w:t>
      </w:r>
      <w:r w:rsidRPr="005E7FCB">
        <w:rPr>
          <w:sz w:val="10"/>
          <w:szCs w:val="10"/>
        </w:rPr>
        <w:t>.</w:t>
      </w:r>
    </w:p>
    <w:p w14:paraId="6D4E3852" w14:textId="77777777" w:rsidR="00233755" w:rsidRPr="00225BFB" w:rsidRDefault="00233755" w:rsidP="00233755">
      <w:pPr>
        <w:pStyle w:val="Heading4"/>
        <w:rPr>
          <w:i w:val="0"/>
          <w:iCs w:val="0"/>
          <w:color w:val="00997A"/>
          <w:sz w:val="20"/>
          <w:szCs w:val="20"/>
        </w:rPr>
      </w:pPr>
      <w:r w:rsidRPr="00225BFB">
        <w:rPr>
          <w:i w:val="0"/>
          <w:iCs w:val="0"/>
          <w:color w:val="00997A"/>
          <w:sz w:val="20"/>
          <w:szCs w:val="20"/>
        </w:rPr>
        <w:t>Population growth by broad region and major urban centre: 2003</w:t>
      </w:r>
      <w:r w:rsidRPr="00225BFB">
        <w:rPr>
          <w:i w:val="0"/>
          <w:iCs w:val="0"/>
          <w:color w:val="00997A"/>
          <w:sz w:val="20"/>
          <w:szCs w:val="20"/>
        </w:rPr>
        <w:noBreakHyphen/>
        <w:t>04 to 2023</w:t>
      </w:r>
      <w:r w:rsidRPr="00225BFB">
        <w:rPr>
          <w:i w:val="0"/>
          <w:iCs w:val="0"/>
          <w:color w:val="00997A"/>
          <w:sz w:val="20"/>
          <w:szCs w:val="20"/>
        </w:rPr>
        <w:noBreakHyphen/>
        <w:t>24</w:t>
      </w:r>
    </w:p>
    <w:p w14:paraId="6CD3958D" w14:textId="2130869D" w:rsidR="00233755" w:rsidRPr="007B1AE5" w:rsidRDefault="00D9232C" w:rsidP="00233755">
      <w:r>
        <w:rPr>
          <w:noProof/>
        </w:rPr>
        <w:drawing>
          <wp:inline distT="0" distB="0" distL="0" distR="0" wp14:anchorId="2BAFE4D9" wp14:editId="5CE5CDD8">
            <wp:extent cx="1289685" cy="1535430"/>
            <wp:effectExtent l="0" t="0" r="5715" b="7620"/>
            <wp:docPr id="20988083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89685" cy="1535430"/>
                    </a:xfrm>
                    <a:prstGeom prst="rect">
                      <a:avLst/>
                    </a:prstGeom>
                    <a:noFill/>
                    <a:ln>
                      <a:noFill/>
                    </a:ln>
                  </pic:spPr>
                </pic:pic>
              </a:graphicData>
            </a:graphic>
          </wp:inline>
        </w:drawing>
      </w:r>
      <w:r>
        <w:rPr>
          <w:noProof/>
        </w:rPr>
        <w:drawing>
          <wp:inline distT="0" distB="0" distL="0" distR="0" wp14:anchorId="4EA46B44" wp14:editId="728F1030">
            <wp:extent cx="1282700" cy="1542415"/>
            <wp:effectExtent l="0" t="0" r="0" b="635"/>
            <wp:docPr id="125852248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82700" cy="1542415"/>
                    </a:xfrm>
                    <a:prstGeom prst="rect">
                      <a:avLst/>
                    </a:prstGeom>
                    <a:noFill/>
                    <a:ln>
                      <a:noFill/>
                    </a:ln>
                  </pic:spPr>
                </pic:pic>
              </a:graphicData>
            </a:graphic>
          </wp:inline>
        </w:drawing>
      </w:r>
      <w:r>
        <w:rPr>
          <w:noProof/>
        </w:rPr>
        <w:drawing>
          <wp:inline distT="0" distB="0" distL="0" distR="0" wp14:anchorId="5D858457" wp14:editId="6B79C4F4">
            <wp:extent cx="1276350" cy="1644650"/>
            <wp:effectExtent l="0" t="0" r="0" b="0"/>
            <wp:docPr id="213472740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76350" cy="1644650"/>
                    </a:xfrm>
                    <a:prstGeom prst="rect">
                      <a:avLst/>
                    </a:prstGeom>
                    <a:noFill/>
                    <a:ln>
                      <a:noFill/>
                    </a:ln>
                  </pic:spPr>
                </pic:pic>
              </a:graphicData>
            </a:graphic>
          </wp:inline>
        </w:drawing>
      </w:r>
      <w:r>
        <w:rPr>
          <w:noProof/>
        </w:rPr>
        <w:drawing>
          <wp:inline distT="0" distB="0" distL="0" distR="0" wp14:anchorId="71E15FB6" wp14:editId="194FB070">
            <wp:extent cx="1310005" cy="1644650"/>
            <wp:effectExtent l="0" t="0" r="4445" b="0"/>
            <wp:docPr id="134345283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10005" cy="1644650"/>
                    </a:xfrm>
                    <a:prstGeom prst="rect">
                      <a:avLst/>
                    </a:prstGeom>
                    <a:noFill/>
                    <a:ln>
                      <a:noFill/>
                    </a:ln>
                  </pic:spPr>
                </pic:pic>
              </a:graphicData>
            </a:graphic>
          </wp:inline>
        </w:drawing>
      </w:r>
    </w:p>
    <w:p w14:paraId="0C1D347E" w14:textId="77777777" w:rsidR="00233755" w:rsidRDefault="00233755" w:rsidP="00233755">
      <w:pPr>
        <w:rPr>
          <w:sz w:val="10"/>
          <w:szCs w:val="10"/>
        </w:rPr>
      </w:pPr>
      <w:r w:rsidRPr="00AF759E">
        <w:rPr>
          <w:sz w:val="10"/>
          <w:szCs w:val="10"/>
        </w:rPr>
        <w:t>Original series Estimated resident population. Vertical axis does not start at zero.</w:t>
      </w:r>
      <w:r>
        <w:rPr>
          <w:sz w:val="10"/>
          <w:szCs w:val="10"/>
        </w:rPr>
        <w:t xml:space="preserve"> </w:t>
      </w:r>
      <w:r w:rsidRPr="00AF759E">
        <w:rPr>
          <w:sz w:val="10"/>
          <w:szCs w:val="10"/>
        </w:rPr>
        <w:t>Source: Based on ABS data</w:t>
      </w:r>
    </w:p>
    <w:p w14:paraId="57737966" w14:textId="77777777" w:rsidR="00233755" w:rsidRDefault="00233755" w:rsidP="00233755">
      <w:pPr>
        <w:rPr>
          <w:sz w:val="10"/>
          <w:szCs w:val="10"/>
        </w:rPr>
      </w:pPr>
    </w:p>
    <w:p w14:paraId="04051DAB" w14:textId="59027503" w:rsidR="00233755" w:rsidRDefault="00233755" w:rsidP="00233755">
      <w:pPr>
        <w:spacing w:before="40" w:after="40"/>
        <w:jc w:val="both"/>
        <w:rPr>
          <w:sz w:val="16"/>
          <w:szCs w:val="16"/>
        </w:rPr>
      </w:pPr>
      <w:r w:rsidRPr="00B91EFC">
        <w:rPr>
          <w:sz w:val="16"/>
          <w:szCs w:val="16"/>
        </w:rPr>
        <w:t xml:space="preserve">Western Australia’s population is concentrated in the Perth metropolitan area and most of Western Australia’s gross state product is also allocated to Perth. </w:t>
      </w:r>
      <w:r w:rsidRPr="005E7FCB">
        <w:rPr>
          <w:sz w:val="16"/>
          <w:szCs w:val="16"/>
        </w:rPr>
        <w:t>However, most of the State’s exports originate from production in regional areas. While mining production takes pla</w:t>
      </w:r>
      <w:r w:rsidRPr="00B91EFC">
        <w:rPr>
          <w:sz w:val="16"/>
          <w:szCs w:val="16"/>
        </w:rPr>
        <w:t>ce in most regions, the Pilbara is the dominant mining region, particularly for iron ore and liquefied natural gas.</w:t>
      </w:r>
    </w:p>
    <w:p w14:paraId="534FD3E8" w14:textId="77777777" w:rsidR="00233755" w:rsidRPr="00B91EFC" w:rsidRDefault="00233755" w:rsidP="00233755">
      <w:pPr>
        <w:spacing w:before="40" w:after="40"/>
        <w:jc w:val="both"/>
        <w:rPr>
          <w:sz w:val="16"/>
          <w:szCs w:val="16"/>
        </w:rPr>
      </w:pPr>
      <w:r w:rsidRPr="00B91EFC">
        <w:rPr>
          <w:sz w:val="16"/>
          <w:szCs w:val="16"/>
        </w:rPr>
        <w:t xml:space="preserve">Further </w:t>
      </w:r>
      <w:r>
        <w:rPr>
          <w:sz w:val="16"/>
          <w:szCs w:val="16"/>
        </w:rPr>
        <w:t xml:space="preserve">economic </w:t>
      </w:r>
      <w:r w:rsidRPr="00B91EFC">
        <w:rPr>
          <w:sz w:val="16"/>
          <w:szCs w:val="16"/>
        </w:rPr>
        <w:t xml:space="preserve">information and data </w:t>
      </w:r>
      <w:r>
        <w:rPr>
          <w:sz w:val="16"/>
          <w:szCs w:val="16"/>
        </w:rPr>
        <w:t>on</w:t>
      </w:r>
      <w:r w:rsidRPr="00B91EFC">
        <w:rPr>
          <w:sz w:val="16"/>
          <w:szCs w:val="16"/>
        </w:rPr>
        <w:t xml:space="preserve"> Western Australia’s regions can be found</w:t>
      </w:r>
      <w:r>
        <w:rPr>
          <w:sz w:val="16"/>
          <w:szCs w:val="16"/>
        </w:rPr>
        <w:t xml:space="preserve"> at the </w:t>
      </w:r>
      <w:hyperlink r:id="rId105" w:history="1">
        <w:r w:rsidRPr="0068162E">
          <w:rPr>
            <w:rStyle w:val="Hyperlink"/>
            <w:b/>
            <w:bCs/>
            <w:color w:val="0066FF"/>
            <w:sz w:val="16"/>
            <w:szCs w:val="16"/>
          </w:rPr>
          <w:t>Regi</w:t>
        </w:r>
        <w:r w:rsidRPr="00091D3B">
          <w:rPr>
            <w:rStyle w:val="Hyperlink"/>
            <w:b/>
            <w:bCs/>
            <w:sz w:val="16"/>
            <w:szCs w:val="16"/>
          </w:rPr>
          <w:t>onal WA Data Hub</w:t>
        </w:r>
      </w:hyperlink>
      <w:r>
        <w:rPr>
          <w:b/>
          <w:bCs/>
          <w:sz w:val="16"/>
          <w:szCs w:val="16"/>
        </w:rPr>
        <w:t>.</w:t>
      </w:r>
      <w:r w:rsidRPr="00B91EFC">
        <w:rPr>
          <w:sz w:val="16"/>
          <w:szCs w:val="16"/>
        </w:rPr>
        <w:t xml:space="preserve"> </w:t>
      </w:r>
      <w:r>
        <w:rPr>
          <w:sz w:val="16"/>
          <w:szCs w:val="16"/>
        </w:rPr>
        <w:t>Information on individual regions can be accessed via the links below</w:t>
      </w:r>
      <w:r w:rsidRPr="00B91EFC">
        <w:rPr>
          <w:sz w:val="16"/>
          <w:szCs w:val="16"/>
        </w:rPr>
        <w:t>.</w:t>
      </w:r>
    </w:p>
    <w:tbl>
      <w:tblPr>
        <w:tblStyle w:val="TableGrid"/>
        <w:tblpPr w:leftFromText="180" w:rightFromText="180" w:vertAnchor="text" w:horzAnchor="page" w:tblpX="7690" w:tblpY="33"/>
        <w:tblW w:w="7858" w:type="dxa"/>
        <w:tblLook w:val="0600" w:firstRow="0" w:lastRow="0" w:firstColumn="0" w:lastColumn="0" w:noHBand="1" w:noVBand="1"/>
      </w:tblPr>
      <w:tblGrid>
        <w:gridCol w:w="2835"/>
        <w:gridCol w:w="2835"/>
        <w:gridCol w:w="2188"/>
      </w:tblGrid>
      <w:tr w:rsidR="00233755" w14:paraId="7D075FCD" w14:textId="77777777" w:rsidTr="00C654FB">
        <w:tc>
          <w:tcPr>
            <w:tcW w:w="2835" w:type="dxa"/>
          </w:tcPr>
          <w:p w14:paraId="38813A42" w14:textId="77777777" w:rsidR="00233755" w:rsidRPr="0068162E" w:rsidRDefault="00233755" w:rsidP="00C24386">
            <w:pPr>
              <w:spacing w:before="40" w:after="40"/>
              <w:jc w:val="center"/>
              <w:rPr>
                <w:b/>
                <w:bCs/>
                <w:color w:val="0066FF"/>
                <w:sz w:val="16"/>
                <w:szCs w:val="16"/>
              </w:rPr>
            </w:pPr>
            <w:hyperlink r:id="rId106" w:history="1">
              <w:r w:rsidRPr="0068162E">
                <w:rPr>
                  <w:rStyle w:val="Hyperlink"/>
                  <w:b/>
                  <w:bCs/>
                  <w:color w:val="0066FF"/>
                  <w:sz w:val="16"/>
                  <w:szCs w:val="16"/>
                </w:rPr>
                <w:t>Gascoyne</w:t>
              </w:r>
            </w:hyperlink>
          </w:p>
        </w:tc>
        <w:tc>
          <w:tcPr>
            <w:tcW w:w="2835" w:type="dxa"/>
          </w:tcPr>
          <w:p w14:paraId="50A4BAAF" w14:textId="77777777" w:rsidR="00233755" w:rsidRPr="0068162E" w:rsidRDefault="00233755" w:rsidP="00C24386">
            <w:pPr>
              <w:spacing w:before="40" w:after="40"/>
              <w:jc w:val="center"/>
              <w:rPr>
                <w:b/>
                <w:bCs/>
                <w:color w:val="0066FF"/>
                <w:sz w:val="16"/>
                <w:szCs w:val="16"/>
              </w:rPr>
            </w:pPr>
            <w:hyperlink r:id="rId107" w:history="1">
              <w:r w:rsidRPr="0068162E">
                <w:rPr>
                  <w:rStyle w:val="Hyperlink"/>
                  <w:b/>
                  <w:bCs/>
                  <w:color w:val="0066FF"/>
                  <w:sz w:val="16"/>
                  <w:szCs w:val="16"/>
                </w:rPr>
                <w:t>Kimberley</w:t>
              </w:r>
            </w:hyperlink>
          </w:p>
        </w:tc>
        <w:tc>
          <w:tcPr>
            <w:tcW w:w="2188" w:type="dxa"/>
          </w:tcPr>
          <w:p w14:paraId="5A9ABB11" w14:textId="77777777" w:rsidR="00233755" w:rsidRPr="0068162E" w:rsidRDefault="00233755" w:rsidP="00C24386">
            <w:pPr>
              <w:spacing w:before="40" w:after="40"/>
              <w:jc w:val="center"/>
              <w:rPr>
                <w:b/>
                <w:bCs/>
                <w:color w:val="0066FF"/>
                <w:sz w:val="16"/>
                <w:szCs w:val="16"/>
              </w:rPr>
            </w:pPr>
            <w:hyperlink r:id="rId108" w:history="1">
              <w:r w:rsidRPr="0068162E">
                <w:rPr>
                  <w:rStyle w:val="Hyperlink"/>
                  <w:b/>
                  <w:bCs/>
                  <w:color w:val="0066FF"/>
                  <w:sz w:val="16"/>
                  <w:szCs w:val="16"/>
                </w:rPr>
                <w:t>Pilbara</w:t>
              </w:r>
            </w:hyperlink>
          </w:p>
        </w:tc>
      </w:tr>
      <w:tr w:rsidR="00233755" w14:paraId="400B4C08" w14:textId="77777777" w:rsidTr="00C654FB">
        <w:tc>
          <w:tcPr>
            <w:tcW w:w="2835" w:type="dxa"/>
          </w:tcPr>
          <w:p w14:paraId="1EF33981" w14:textId="77777777" w:rsidR="00233755" w:rsidRPr="0068162E" w:rsidRDefault="00233755" w:rsidP="00C24386">
            <w:pPr>
              <w:spacing w:before="40" w:after="40"/>
              <w:jc w:val="center"/>
              <w:rPr>
                <w:b/>
                <w:bCs/>
                <w:color w:val="0066FF"/>
                <w:sz w:val="16"/>
                <w:szCs w:val="16"/>
              </w:rPr>
            </w:pPr>
            <w:hyperlink r:id="rId109" w:history="1">
              <w:r w:rsidRPr="0068162E">
                <w:rPr>
                  <w:rStyle w:val="Hyperlink"/>
                  <w:b/>
                  <w:bCs/>
                  <w:color w:val="0066FF"/>
                  <w:sz w:val="16"/>
                  <w:szCs w:val="16"/>
                </w:rPr>
                <w:t>Goldfields-Esperance</w:t>
              </w:r>
            </w:hyperlink>
          </w:p>
        </w:tc>
        <w:tc>
          <w:tcPr>
            <w:tcW w:w="2835" w:type="dxa"/>
          </w:tcPr>
          <w:p w14:paraId="73F1D16B" w14:textId="77777777" w:rsidR="00233755" w:rsidRPr="0068162E" w:rsidRDefault="00233755" w:rsidP="00C24386">
            <w:pPr>
              <w:spacing w:before="40" w:after="40"/>
              <w:jc w:val="center"/>
              <w:rPr>
                <w:b/>
                <w:bCs/>
                <w:color w:val="0066FF"/>
                <w:sz w:val="16"/>
                <w:szCs w:val="16"/>
              </w:rPr>
            </w:pPr>
            <w:hyperlink r:id="rId110" w:history="1">
              <w:proofErr w:type="spellStart"/>
              <w:r w:rsidRPr="0068162E">
                <w:rPr>
                  <w:rStyle w:val="Hyperlink"/>
                  <w:b/>
                  <w:bCs/>
                  <w:color w:val="0066FF"/>
                  <w:sz w:val="16"/>
                  <w:szCs w:val="16"/>
                </w:rPr>
                <w:t>Mid West</w:t>
              </w:r>
              <w:proofErr w:type="spellEnd"/>
            </w:hyperlink>
          </w:p>
        </w:tc>
        <w:tc>
          <w:tcPr>
            <w:tcW w:w="2188" w:type="dxa"/>
          </w:tcPr>
          <w:p w14:paraId="1EFBE19F" w14:textId="77777777" w:rsidR="00233755" w:rsidRPr="0068162E" w:rsidRDefault="00233755" w:rsidP="00C24386">
            <w:pPr>
              <w:spacing w:before="40" w:after="40"/>
              <w:jc w:val="center"/>
              <w:rPr>
                <w:b/>
                <w:bCs/>
                <w:color w:val="0066FF"/>
                <w:sz w:val="16"/>
                <w:szCs w:val="16"/>
              </w:rPr>
            </w:pPr>
            <w:hyperlink r:id="rId111" w:history="1">
              <w:proofErr w:type="gramStart"/>
              <w:r w:rsidRPr="0068162E">
                <w:rPr>
                  <w:rStyle w:val="Hyperlink"/>
                  <w:b/>
                  <w:bCs/>
                  <w:color w:val="0066FF"/>
                  <w:sz w:val="16"/>
                  <w:szCs w:val="16"/>
                </w:rPr>
                <w:t>South West</w:t>
              </w:r>
              <w:proofErr w:type="gramEnd"/>
            </w:hyperlink>
          </w:p>
        </w:tc>
      </w:tr>
      <w:tr w:rsidR="00233755" w14:paraId="01730DE1" w14:textId="77777777" w:rsidTr="00C654FB">
        <w:tc>
          <w:tcPr>
            <w:tcW w:w="2835" w:type="dxa"/>
          </w:tcPr>
          <w:p w14:paraId="0C709C63" w14:textId="77777777" w:rsidR="00233755" w:rsidRPr="0068162E" w:rsidRDefault="00233755" w:rsidP="00C24386">
            <w:pPr>
              <w:spacing w:before="40" w:after="40"/>
              <w:jc w:val="center"/>
              <w:rPr>
                <w:b/>
                <w:bCs/>
                <w:color w:val="0066FF"/>
                <w:sz w:val="16"/>
                <w:szCs w:val="16"/>
              </w:rPr>
            </w:pPr>
            <w:hyperlink r:id="rId112" w:history="1">
              <w:r w:rsidRPr="0068162E">
                <w:rPr>
                  <w:rStyle w:val="Hyperlink"/>
                  <w:b/>
                  <w:bCs/>
                  <w:color w:val="0066FF"/>
                  <w:sz w:val="16"/>
                  <w:szCs w:val="16"/>
                </w:rPr>
                <w:t>Great Southern</w:t>
              </w:r>
            </w:hyperlink>
          </w:p>
        </w:tc>
        <w:tc>
          <w:tcPr>
            <w:tcW w:w="2835" w:type="dxa"/>
          </w:tcPr>
          <w:p w14:paraId="572C2E65" w14:textId="77777777" w:rsidR="00233755" w:rsidRPr="0068162E" w:rsidRDefault="00233755" w:rsidP="00C24386">
            <w:pPr>
              <w:spacing w:before="40" w:after="40"/>
              <w:jc w:val="center"/>
              <w:rPr>
                <w:b/>
                <w:bCs/>
                <w:color w:val="0066FF"/>
                <w:sz w:val="16"/>
                <w:szCs w:val="16"/>
              </w:rPr>
            </w:pPr>
            <w:hyperlink r:id="rId113" w:history="1">
              <w:r w:rsidRPr="0068162E">
                <w:rPr>
                  <w:rStyle w:val="Hyperlink"/>
                  <w:b/>
                  <w:bCs/>
                  <w:color w:val="0066FF"/>
                  <w:sz w:val="16"/>
                  <w:szCs w:val="16"/>
                </w:rPr>
                <w:t>Peel</w:t>
              </w:r>
            </w:hyperlink>
          </w:p>
        </w:tc>
        <w:tc>
          <w:tcPr>
            <w:tcW w:w="2188" w:type="dxa"/>
          </w:tcPr>
          <w:p w14:paraId="54FCCDE1" w14:textId="77777777" w:rsidR="00233755" w:rsidRPr="0068162E" w:rsidRDefault="00233755" w:rsidP="00C24386">
            <w:pPr>
              <w:spacing w:before="40" w:after="40"/>
              <w:jc w:val="center"/>
              <w:rPr>
                <w:b/>
                <w:bCs/>
                <w:color w:val="0066FF"/>
                <w:sz w:val="16"/>
                <w:szCs w:val="16"/>
              </w:rPr>
            </w:pPr>
            <w:hyperlink r:id="rId114" w:history="1">
              <w:r w:rsidRPr="0068162E">
                <w:rPr>
                  <w:rStyle w:val="Hyperlink"/>
                  <w:b/>
                  <w:bCs/>
                  <w:color w:val="0066FF"/>
                  <w:sz w:val="16"/>
                  <w:szCs w:val="16"/>
                </w:rPr>
                <w:t>Wheatbelt</w:t>
              </w:r>
            </w:hyperlink>
          </w:p>
        </w:tc>
      </w:tr>
    </w:tbl>
    <w:p w14:paraId="35E81BC0" w14:textId="77777777" w:rsidR="00233755" w:rsidRPr="006B0630" w:rsidRDefault="00233755" w:rsidP="00233755">
      <w:pPr>
        <w:spacing w:before="40" w:after="40"/>
        <w:jc w:val="both"/>
        <w:rPr>
          <w:sz w:val="16"/>
          <w:szCs w:val="16"/>
        </w:rPr>
      </w:pPr>
    </w:p>
    <w:p w14:paraId="247D5245" w14:textId="77777777" w:rsidR="00233755" w:rsidRPr="006B0630" w:rsidRDefault="00233755" w:rsidP="00233755">
      <w:pPr>
        <w:spacing w:before="40" w:after="40"/>
        <w:jc w:val="both"/>
        <w:rPr>
          <w:sz w:val="16"/>
          <w:szCs w:val="16"/>
        </w:rPr>
      </w:pPr>
    </w:p>
    <w:p w14:paraId="76C9E4E0" w14:textId="77777777" w:rsidR="00233755" w:rsidRPr="006B0630" w:rsidRDefault="00233755" w:rsidP="00233755">
      <w:pPr>
        <w:spacing w:before="40" w:after="40"/>
        <w:jc w:val="both"/>
        <w:rPr>
          <w:sz w:val="16"/>
          <w:szCs w:val="16"/>
        </w:rPr>
      </w:pPr>
    </w:p>
    <w:p w14:paraId="3A5E4DFA" w14:textId="77777777" w:rsidR="00233755" w:rsidRDefault="00233755" w:rsidP="00233755">
      <w:pPr>
        <w:rPr>
          <w:sz w:val="10"/>
          <w:szCs w:val="10"/>
        </w:rPr>
        <w:sectPr w:rsidR="00233755" w:rsidSect="00233755">
          <w:type w:val="continuous"/>
          <w:pgSz w:w="16840" w:h="11907" w:orient="landscape" w:code="9"/>
          <w:pgMar w:top="567" w:right="425" w:bottom="284" w:left="567" w:header="709" w:footer="709" w:gutter="0"/>
          <w:cols w:num="2" w:space="113" w:equalWidth="0">
            <w:col w:w="6237" w:space="113"/>
            <w:col w:w="8222"/>
          </w:cols>
          <w:docGrid w:linePitch="360"/>
        </w:sectPr>
      </w:pPr>
    </w:p>
    <w:p w14:paraId="13A584F0" w14:textId="4FE9AD46" w:rsidR="00FA203E" w:rsidRPr="00FD1A9B" w:rsidRDefault="00233755" w:rsidP="00FA203E">
      <w:pPr>
        <w:spacing w:after="240"/>
        <w:ind w:right="-5369"/>
        <w:jc w:val="center"/>
        <w:rPr>
          <w:sz w:val="22"/>
          <w:szCs w:val="22"/>
        </w:rPr>
      </w:pPr>
      <w:r w:rsidRPr="00FD1A9B">
        <w:rPr>
          <w:sz w:val="22"/>
          <w:szCs w:val="22"/>
        </w:rPr>
        <w:lastRenderedPageBreak/>
        <w:t xml:space="preserve">Visit </w:t>
      </w:r>
      <w:hyperlink r:id="rId115" w:history="1">
        <w:r w:rsidRPr="00025568">
          <w:rPr>
            <w:rStyle w:val="Hyperlink"/>
            <w:rFonts w:eastAsiaTheme="majorEastAsia"/>
            <w:b/>
            <w:bCs/>
            <w:sz w:val="22"/>
            <w:szCs w:val="22"/>
          </w:rPr>
          <w:t>Western Australia's economy and international trade (www.wa.gov.au)</w:t>
        </w:r>
      </w:hyperlink>
      <w:r w:rsidRPr="00FD1A9B">
        <w:rPr>
          <w:sz w:val="22"/>
          <w:szCs w:val="22"/>
        </w:rPr>
        <w:t xml:space="preserve"> for more information on Western</w:t>
      </w:r>
      <w:r>
        <w:rPr>
          <w:sz w:val="22"/>
          <w:szCs w:val="22"/>
        </w:rPr>
        <w:t> </w:t>
      </w:r>
      <w:r w:rsidRPr="00FD1A9B">
        <w:rPr>
          <w:sz w:val="22"/>
          <w:szCs w:val="22"/>
        </w:rPr>
        <w:t>Australia’s economy, trade relationships and key export industries.</w:t>
      </w:r>
    </w:p>
    <w:tbl>
      <w:tblPr>
        <w:tblStyle w:val="TableGrid"/>
        <w:tblW w:w="10740" w:type="dxa"/>
        <w:tblLook w:val="04A0" w:firstRow="1" w:lastRow="0" w:firstColumn="1" w:lastColumn="0" w:noHBand="0" w:noVBand="1"/>
      </w:tblPr>
      <w:tblGrid>
        <w:gridCol w:w="5370"/>
        <w:gridCol w:w="5370"/>
      </w:tblGrid>
      <w:tr w:rsidR="00233755" w14:paraId="79892E13" w14:textId="77777777" w:rsidTr="00C654FB">
        <w:tc>
          <w:tcPr>
            <w:tcW w:w="5370" w:type="dxa"/>
          </w:tcPr>
          <w:p w14:paraId="5376279E" w14:textId="6336F807" w:rsidR="00233755" w:rsidRPr="00D5173E" w:rsidRDefault="00233755" w:rsidP="00C24386">
            <w:pPr>
              <w:ind w:right="-5372"/>
              <w:rPr>
                <w:b/>
                <w:bCs/>
                <w:sz w:val="20"/>
                <w:szCs w:val="20"/>
              </w:rPr>
            </w:pPr>
            <w:r>
              <w:rPr>
                <w:b/>
                <w:bCs/>
                <w:sz w:val="20"/>
                <w:szCs w:val="20"/>
              </w:rPr>
              <w:t xml:space="preserve">           </w:t>
            </w:r>
            <w:r w:rsidR="00FA203E">
              <w:rPr>
                <w:b/>
                <w:bCs/>
                <w:sz w:val="20"/>
                <w:szCs w:val="20"/>
              </w:rPr>
              <w:t xml:space="preserve">   </w:t>
            </w:r>
            <w:r>
              <w:rPr>
                <w:b/>
                <w:bCs/>
                <w:sz w:val="20"/>
                <w:szCs w:val="20"/>
              </w:rPr>
              <w:t xml:space="preserve"> </w:t>
            </w:r>
            <w:r w:rsidRPr="00D5173E">
              <w:rPr>
                <w:b/>
                <w:bCs/>
                <w:sz w:val="20"/>
                <w:szCs w:val="20"/>
              </w:rPr>
              <w:t>Western Australia Trade Profile</w:t>
            </w:r>
          </w:p>
          <w:p w14:paraId="76DAC74A" w14:textId="4F14CBBA" w:rsidR="00233755" w:rsidRDefault="00233755" w:rsidP="00C24386">
            <w:pPr>
              <w:ind w:right="-5372"/>
              <w:rPr>
                <w:sz w:val="20"/>
                <w:szCs w:val="20"/>
              </w:rPr>
            </w:pPr>
            <w:r>
              <w:rPr>
                <w:sz w:val="20"/>
                <w:szCs w:val="20"/>
              </w:rPr>
              <w:t xml:space="preserve">    </w:t>
            </w:r>
            <w:r w:rsidR="00B56C0A">
              <w:rPr>
                <w:noProof/>
              </w:rPr>
              <w:drawing>
                <wp:inline distT="0" distB="0" distL="0" distR="0" wp14:anchorId="6BD87E8D" wp14:editId="3FA9EC8E">
                  <wp:extent cx="2376000" cy="3387368"/>
                  <wp:effectExtent l="152400" t="152400" r="367665" b="365760"/>
                  <wp:docPr id="184210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00641" name=""/>
                          <pic:cNvPicPr/>
                        </pic:nvPicPr>
                        <pic:blipFill>
                          <a:blip r:embed="rId116"/>
                          <a:stretch>
                            <a:fillRect/>
                          </a:stretch>
                        </pic:blipFill>
                        <pic:spPr>
                          <a:xfrm>
                            <a:off x="0" y="0"/>
                            <a:ext cx="2376000" cy="338736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1C5B7E" w14:textId="77777777" w:rsidR="00233755" w:rsidRPr="00B56C0A" w:rsidRDefault="00233755" w:rsidP="00C24386">
            <w:pPr>
              <w:ind w:right="-5372"/>
              <w:rPr>
                <w:sz w:val="2"/>
                <w:szCs w:val="2"/>
              </w:rPr>
            </w:pPr>
          </w:p>
        </w:tc>
        <w:tc>
          <w:tcPr>
            <w:tcW w:w="5370" w:type="dxa"/>
          </w:tcPr>
          <w:p w14:paraId="54EEC31E" w14:textId="4ED6117D" w:rsidR="00233755" w:rsidRDefault="00233755" w:rsidP="00C24386">
            <w:pPr>
              <w:ind w:right="-5372"/>
              <w:rPr>
                <w:b/>
                <w:bCs/>
                <w:sz w:val="20"/>
                <w:szCs w:val="20"/>
              </w:rPr>
            </w:pPr>
            <w:r>
              <w:rPr>
                <w:b/>
                <w:bCs/>
                <w:sz w:val="20"/>
                <w:szCs w:val="20"/>
              </w:rPr>
              <w:t xml:space="preserve">            </w:t>
            </w:r>
            <w:r w:rsidR="00FA203E">
              <w:rPr>
                <w:b/>
                <w:bCs/>
                <w:sz w:val="20"/>
                <w:szCs w:val="20"/>
              </w:rPr>
              <w:t xml:space="preserve"> </w:t>
            </w:r>
            <w:r w:rsidRPr="00FD1A9B">
              <w:rPr>
                <w:b/>
                <w:bCs/>
                <w:sz w:val="20"/>
                <w:szCs w:val="20"/>
              </w:rPr>
              <w:t>Western Australia Iron Ore Profile</w:t>
            </w:r>
          </w:p>
          <w:p w14:paraId="66C047A3" w14:textId="19F82405" w:rsidR="00233755" w:rsidRPr="00FD1A9B" w:rsidRDefault="00233755" w:rsidP="00C24386">
            <w:pPr>
              <w:ind w:right="-5372"/>
              <w:rPr>
                <w:b/>
                <w:bCs/>
                <w:sz w:val="20"/>
                <w:szCs w:val="20"/>
              </w:rPr>
            </w:pPr>
            <w:r w:rsidRPr="008610BA">
              <w:rPr>
                <w:sz w:val="20"/>
                <w:szCs w:val="20"/>
              </w:rPr>
              <w:t xml:space="preserve">   </w:t>
            </w:r>
            <w:r>
              <w:rPr>
                <w:sz w:val="20"/>
                <w:szCs w:val="20"/>
              </w:rPr>
              <w:t xml:space="preserve"> </w:t>
            </w:r>
            <w:r w:rsidRPr="008610BA">
              <w:rPr>
                <w:sz w:val="20"/>
                <w:szCs w:val="20"/>
              </w:rPr>
              <w:t xml:space="preserve"> </w:t>
            </w:r>
            <w:r w:rsidR="00B56C0A">
              <w:rPr>
                <w:noProof/>
              </w:rPr>
              <w:drawing>
                <wp:inline distT="0" distB="0" distL="0" distR="0" wp14:anchorId="5F8AA2CA" wp14:editId="5BA9F161">
                  <wp:extent cx="2376000" cy="3408934"/>
                  <wp:effectExtent l="152400" t="152400" r="367665" b="363220"/>
                  <wp:docPr id="1409483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83693" name=""/>
                          <pic:cNvPicPr/>
                        </pic:nvPicPr>
                        <pic:blipFill>
                          <a:blip r:embed="rId117"/>
                          <a:stretch>
                            <a:fillRect/>
                          </a:stretch>
                        </pic:blipFill>
                        <pic:spPr>
                          <a:xfrm>
                            <a:off x="0" y="0"/>
                            <a:ext cx="2376000" cy="340893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233755" w14:paraId="4277E561" w14:textId="77777777" w:rsidTr="00C654FB">
        <w:tc>
          <w:tcPr>
            <w:tcW w:w="5370" w:type="dxa"/>
          </w:tcPr>
          <w:p w14:paraId="1EB98464" w14:textId="1B80D532" w:rsidR="00233755" w:rsidRDefault="00233755" w:rsidP="00C24386">
            <w:pPr>
              <w:ind w:right="-5372"/>
              <w:rPr>
                <w:b/>
                <w:bCs/>
                <w:sz w:val="20"/>
                <w:szCs w:val="20"/>
              </w:rPr>
            </w:pPr>
            <w:r>
              <w:rPr>
                <w:b/>
                <w:bCs/>
                <w:sz w:val="20"/>
                <w:szCs w:val="20"/>
              </w:rPr>
              <w:t xml:space="preserve">             </w:t>
            </w:r>
            <w:r w:rsidR="00FA203E">
              <w:rPr>
                <w:b/>
                <w:bCs/>
                <w:sz w:val="20"/>
                <w:szCs w:val="20"/>
              </w:rPr>
              <w:t xml:space="preserve">   </w:t>
            </w:r>
            <w:r w:rsidRPr="00FD1A9B">
              <w:rPr>
                <w:b/>
                <w:bCs/>
                <w:sz w:val="20"/>
                <w:szCs w:val="20"/>
              </w:rPr>
              <w:t>Western Australia LNG Profile</w:t>
            </w:r>
          </w:p>
          <w:p w14:paraId="4E18C2F9" w14:textId="470EE5A1" w:rsidR="00233755" w:rsidRPr="00FD1A9B" w:rsidRDefault="00233755" w:rsidP="00C24386">
            <w:pPr>
              <w:ind w:right="-5372"/>
              <w:rPr>
                <w:sz w:val="20"/>
                <w:szCs w:val="20"/>
              </w:rPr>
            </w:pPr>
            <w:r w:rsidRPr="00FD1A9B">
              <w:rPr>
                <w:sz w:val="20"/>
                <w:szCs w:val="20"/>
              </w:rPr>
              <w:t xml:space="preserve">    </w:t>
            </w:r>
            <w:r w:rsidR="00B56C0A">
              <w:rPr>
                <w:noProof/>
              </w:rPr>
              <w:drawing>
                <wp:inline distT="0" distB="0" distL="0" distR="0" wp14:anchorId="218C1F91" wp14:editId="193A6B33">
                  <wp:extent cx="2376000" cy="3368016"/>
                  <wp:effectExtent l="152400" t="152400" r="367665" b="366395"/>
                  <wp:docPr id="139431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12064" name=""/>
                          <pic:cNvPicPr/>
                        </pic:nvPicPr>
                        <pic:blipFill>
                          <a:blip r:embed="rId118"/>
                          <a:stretch>
                            <a:fillRect/>
                          </a:stretch>
                        </pic:blipFill>
                        <pic:spPr>
                          <a:xfrm>
                            <a:off x="0" y="0"/>
                            <a:ext cx="2376000" cy="33680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6FCB1B6" w14:textId="77777777" w:rsidR="00233755" w:rsidRPr="00FA203E" w:rsidRDefault="00233755" w:rsidP="00C24386">
            <w:pPr>
              <w:ind w:right="-5372"/>
              <w:rPr>
                <w:b/>
                <w:bCs/>
                <w:sz w:val="12"/>
                <w:szCs w:val="12"/>
              </w:rPr>
            </w:pPr>
          </w:p>
        </w:tc>
        <w:tc>
          <w:tcPr>
            <w:tcW w:w="5370" w:type="dxa"/>
          </w:tcPr>
          <w:p w14:paraId="473A5222" w14:textId="77777777" w:rsidR="00233755" w:rsidRDefault="00233755" w:rsidP="00C24386">
            <w:pPr>
              <w:ind w:right="-5372"/>
              <w:rPr>
                <w:b/>
                <w:bCs/>
                <w:sz w:val="20"/>
                <w:szCs w:val="20"/>
              </w:rPr>
            </w:pPr>
            <w:r w:rsidRPr="00FD1A9B">
              <w:rPr>
                <w:b/>
                <w:bCs/>
                <w:sz w:val="20"/>
                <w:szCs w:val="20"/>
              </w:rPr>
              <w:t>Western Australia Battery and Critical Minerals Profile</w:t>
            </w:r>
          </w:p>
          <w:p w14:paraId="236DB2FA" w14:textId="1BDE1B2A" w:rsidR="00233755" w:rsidRPr="00FD1A9B" w:rsidRDefault="00233755" w:rsidP="00C24386">
            <w:pPr>
              <w:ind w:right="-5372"/>
              <w:rPr>
                <w:b/>
                <w:bCs/>
                <w:sz w:val="20"/>
                <w:szCs w:val="20"/>
              </w:rPr>
            </w:pPr>
            <w:r w:rsidRPr="008610BA">
              <w:rPr>
                <w:noProof/>
              </w:rPr>
              <w:t xml:space="preserve">  </w:t>
            </w:r>
            <w:r>
              <w:rPr>
                <w:noProof/>
              </w:rPr>
              <w:t xml:space="preserve"> </w:t>
            </w:r>
            <w:r w:rsidRPr="008610BA">
              <w:rPr>
                <w:noProof/>
              </w:rPr>
              <w:t xml:space="preserve">  </w:t>
            </w:r>
            <w:r w:rsidR="00FA203E">
              <w:rPr>
                <w:noProof/>
              </w:rPr>
              <w:drawing>
                <wp:inline distT="0" distB="0" distL="0" distR="0" wp14:anchorId="32C4ECAE" wp14:editId="53CF3F10">
                  <wp:extent cx="2376000" cy="3368017"/>
                  <wp:effectExtent l="152400" t="152400" r="367665" b="366395"/>
                  <wp:docPr id="1750054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4376" name=""/>
                          <pic:cNvPicPr/>
                        </pic:nvPicPr>
                        <pic:blipFill>
                          <a:blip r:embed="rId119"/>
                          <a:stretch>
                            <a:fillRect/>
                          </a:stretch>
                        </pic:blipFill>
                        <pic:spPr>
                          <a:xfrm>
                            <a:off x="0" y="0"/>
                            <a:ext cx="2376000" cy="336801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573135F" w14:textId="6BD9D6E9" w:rsidR="00D5173E" w:rsidRPr="00417035" w:rsidRDefault="00417035" w:rsidP="00417035">
      <w:pPr>
        <w:spacing w:before="120"/>
        <w:ind w:right="-5369"/>
        <w:jc w:val="center"/>
        <w:rPr>
          <w:sz w:val="22"/>
          <w:szCs w:val="22"/>
        </w:rPr>
      </w:pPr>
      <w:r w:rsidRPr="00FD1A9B">
        <w:rPr>
          <w:sz w:val="22"/>
          <w:szCs w:val="22"/>
        </w:rPr>
        <w:t xml:space="preserve">For any queries or feedback on these products, please contact us at </w:t>
      </w:r>
      <w:hyperlink r:id="rId120" w:history="1">
        <w:r w:rsidRPr="00025568">
          <w:rPr>
            <w:rStyle w:val="Hyperlink"/>
            <w:b/>
            <w:bCs/>
            <w:sz w:val="22"/>
            <w:szCs w:val="22"/>
          </w:rPr>
          <w:t>economic.analysis@jtsi.wa.gov.au</w:t>
        </w:r>
      </w:hyperlink>
    </w:p>
    <w:sectPr w:rsidR="00D5173E" w:rsidRPr="00417035" w:rsidSect="008628B4">
      <w:headerReference w:type="default" r:id="rId121"/>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26F73" w14:textId="77777777" w:rsidR="006B41BA" w:rsidRDefault="006B41BA" w:rsidP="00A4382C">
      <w:pPr>
        <w:spacing w:line="240" w:lineRule="auto"/>
      </w:pPr>
      <w:r>
        <w:separator/>
      </w:r>
    </w:p>
  </w:endnote>
  <w:endnote w:type="continuationSeparator" w:id="0">
    <w:p w14:paraId="05FB73AD" w14:textId="77777777" w:rsidR="006B41BA" w:rsidRDefault="006B41BA" w:rsidP="00A4382C">
      <w:pPr>
        <w:spacing w:line="240" w:lineRule="auto"/>
      </w:pPr>
      <w:r>
        <w:continuationSeparator/>
      </w:r>
    </w:p>
  </w:endnote>
  <w:endnote w:type="continuationNotice" w:id="1">
    <w:p w14:paraId="567DB51A" w14:textId="77777777" w:rsidR="006B41BA" w:rsidRDefault="006B41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87F8D" w14:textId="787D676D" w:rsidR="00233755" w:rsidRPr="000E0B0F" w:rsidRDefault="007D7240" w:rsidP="00CC5FB3">
    <w:pPr>
      <w:pStyle w:val="Footer"/>
      <w:rPr>
        <w:sz w:val="14"/>
        <w:szCs w:val="14"/>
      </w:rPr>
    </w:pPr>
    <w:r>
      <w:rPr>
        <w:noProof/>
      </w:rPr>
      <w:drawing>
        <wp:anchor distT="0" distB="0" distL="114300" distR="114300" simplePos="0" relativeHeight="251658245" behindDoc="1" locked="0" layoutInCell="1" allowOverlap="1" wp14:anchorId="2B5A8F8B" wp14:editId="6B07D159">
          <wp:simplePos x="0" y="0"/>
          <wp:positionH relativeFrom="column">
            <wp:posOffset>1221740</wp:posOffset>
          </wp:positionH>
          <wp:positionV relativeFrom="paragraph">
            <wp:posOffset>693420</wp:posOffset>
          </wp:positionV>
          <wp:extent cx="6520690" cy="9223621"/>
          <wp:effectExtent l="0" t="0" r="0" b="0"/>
          <wp:wrapNone/>
          <wp:docPr id="1128451046"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20690" cy="9223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CC10956" wp14:editId="33937A2F">
          <wp:simplePos x="0" y="0"/>
          <wp:positionH relativeFrom="column">
            <wp:posOffset>1222375</wp:posOffset>
          </wp:positionH>
          <wp:positionV relativeFrom="paragraph">
            <wp:posOffset>645795</wp:posOffset>
          </wp:positionV>
          <wp:extent cx="7368968" cy="10423525"/>
          <wp:effectExtent l="0" t="0" r="3810" b="0"/>
          <wp:wrapNone/>
          <wp:docPr id="367798648"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8968" cy="1042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741CBEA" wp14:editId="6E068CA3">
          <wp:simplePos x="0" y="0"/>
          <wp:positionH relativeFrom="column">
            <wp:posOffset>1038225</wp:posOffset>
          </wp:positionH>
          <wp:positionV relativeFrom="paragraph">
            <wp:posOffset>628650</wp:posOffset>
          </wp:positionV>
          <wp:extent cx="7759975" cy="10976610"/>
          <wp:effectExtent l="0" t="0" r="0" b="0"/>
          <wp:wrapNone/>
          <wp:docPr id="1341759887"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7A6">
      <w:rPr>
        <w:noProof/>
      </w:rPr>
      <w:drawing>
        <wp:anchor distT="0" distB="0" distL="114300" distR="114300" simplePos="0" relativeHeight="251658242" behindDoc="1" locked="0" layoutInCell="1" allowOverlap="1" wp14:anchorId="39598F6D" wp14:editId="3515FACA">
          <wp:simplePos x="0" y="0"/>
          <wp:positionH relativeFrom="column">
            <wp:posOffset>-111125</wp:posOffset>
          </wp:positionH>
          <wp:positionV relativeFrom="paragraph">
            <wp:posOffset>3359150</wp:posOffset>
          </wp:positionV>
          <wp:extent cx="8379930" cy="11853545"/>
          <wp:effectExtent l="0" t="0" r="2540" b="0"/>
          <wp:wrapNone/>
          <wp:docPr id="194407142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79930" cy="1185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55" w:rsidRPr="000E0B0F">
      <w:rPr>
        <w:sz w:val="14"/>
        <w:szCs w:val="14"/>
      </w:rPr>
      <w:t xml:space="preserve">WA Economic </w:t>
    </w:r>
    <w:r w:rsidR="00233755">
      <w:rPr>
        <w:sz w:val="14"/>
        <w:szCs w:val="14"/>
      </w:rPr>
      <w:t>Profile</w:t>
    </w:r>
    <w:r w:rsidR="00233755" w:rsidRPr="000E0B0F">
      <w:rPr>
        <w:sz w:val="14"/>
        <w:szCs w:val="14"/>
      </w:rPr>
      <w:ptab w:relativeTo="margin" w:alignment="center" w:leader="none"/>
    </w:r>
    <w:r w:rsidR="00233755" w:rsidRPr="000E0B0F">
      <w:rPr>
        <w:sz w:val="14"/>
        <w:szCs w:val="14"/>
      </w:rPr>
      <w:t xml:space="preserve">Page </w:t>
    </w:r>
    <w:r w:rsidR="00233755" w:rsidRPr="000E0B0F">
      <w:rPr>
        <w:sz w:val="14"/>
        <w:szCs w:val="14"/>
      </w:rPr>
      <w:fldChar w:fldCharType="begin"/>
    </w:r>
    <w:r w:rsidR="00233755" w:rsidRPr="000E0B0F">
      <w:rPr>
        <w:sz w:val="14"/>
        <w:szCs w:val="14"/>
      </w:rPr>
      <w:instrText xml:space="preserve"> PAGE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 xml:space="preserve"> of </w:t>
    </w:r>
    <w:r w:rsidR="00233755" w:rsidRPr="000E0B0F">
      <w:rPr>
        <w:sz w:val="14"/>
        <w:szCs w:val="14"/>
      </w:rPr>
      <w:fldChar w:fldCharType="begin"/>
    </w:r>
    <w:r w:rsidR="00233755" w:rsidRPr="000E0B0F">
      <w:rPr>
        <w:sz w:val="14"/>
        <w:szCs w:val="14"/>
      </w:rPr>
      <w:instrText xml:space="preserve"> NUMPAGES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ab/>
    </w:r>
    <w:r w:rsidR="00233755">
      <w:rPr>
        <w:sz w:val="14"/>
        <w:szCs w:val="14"/>
      </w:rPr>
      <w:t xml:space="preserve">                                                                                             </w:t>
    </w:r>
    <w:r w:rsidR="00560C44">
      <w:rPr>
        <w:sz w:val="14"/>
        <w:szCs w:val="14"/>
      </w:rPr>
      <w:t>October</w:t>
    </w:r>
    <w:r w:rsidR="00233755">
      <w:rPr>
        <w:sz w:val="14"/>
        <w:szCs w:val="14"/>
      </w:rPr>
      <w:t> </w:t>
    </w:r>
    <w:r w:rsidR="00233755" w:rsidRPr="000E0B0F">
      <w:rPr>
        <w:sz w:val="14"/>
        <w:szCs w:val="14"/>
      </w:rPr>
      <w:t>202</w:t>
    </w:r>
    <w:r w:rsidR="00233755">
      <w:rPr>
        <w:sz w:val="14"/>
        <w:szCs w:val="14"/>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F44F" w14:textId="761ADDD7" w:rsidR="00233755" w:rsidRPr="0075253D" w:rsidRDefault="00233755" w:rsidP="0075253D">
    <w:pPr>
      <w:pStyle w:val="Footer"/>
      <w:rPr>
        <w:szCs w:val="16"/>
      </w:rPr>
    </w:pPr>
    <w:r>
      <w:rPr>
        <w:szCs w:val="16"/>
      </w:rPr>
      <w:fldChar w:fldCharType="begin"/>
    </w:r>
    <w:r>
      <w:rPr>
        <w:szCs w:val="16"/>
      </w:rPr>
      <w:instrText xml:space="preserve"> FILENAME</w:instrText>
    </w:r>
    <w:r>
      <w:rPr>
        <w:szCs w:val="16"/>
      </w:rPr>
      <w:fldChar w:fldCharType="separate"/>
    </w:r>
    <w:r w:rsidR="00CA0AC8">
      <w:rPr>
        <w:noProof/>
        <w:szCs w:val="16"/>
      </w:rPr>
      <w:t>WA ECONOMIC PROFILE - MASTER</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45C2B" w14:textId="77777777" w:rsidR="006B41BA" w:rsidRDefault="006B41BA" w:rsidP="00A4382C">
      <w:pPr>
        <w:spacing w:line="240" w:lineRule="auto"/>
      </w:pPr>
      <w:r>
        <w:separator/>
      </w:r>
    </w:p>
  </w:footnote>
  <w:footnote w:type="continuationSeparator" w:id="0">
    <w:p w14:paraId="59F722E9" w14:textId="77777777" w:rsidR="006B41BA" w:rsidRDefault="006B41BA" w:rsidP="00A4382C">
      <w:pPr>
        <w:spacing w:line="240" w:lineRule="auto"/>
      </w:pPr>
      <w:r>
        <w:continuationSeparator/>
      </w:r>
    </w:p>
  </w:footnote>
  <w:footnote w:type="continuationNotice" w:id="1">
    <w:p w14:paraId="0859255A" w14:textId="77777777" w:rsidR="006B41BA" w:rsidRDefault="006B41B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273B" w14:textId="792D90A1" w:rsidR="00233755" w:rsidRDefault="008A03C0">
    <w:pPr>
      <w:pStyle w:val="Header"/>
    </w:pPr>
    <w:r>
      <w:rPr>
        <w:noProof/>
      </w:rPr>
      <w:drawing>
        <wp:anchor distT="0" distB="0" distL="114300" distR="114300" simplePos="0" relativeHeight="251658240" behindDoc="1" locked="0" layoutInCell="1" allowOverlap="1" wp14:anchorId="64126D64" wp14:editId="51795453">
          <wp:simplePos x="0" y="0"/>
          <wp:positionH relativeFrom="column">
            <wp:posOffset>-462915</wp:posOffset>
          </wp:positionH>
          <wp:positionV relativeFrom="paragraph">
            <wp:posOffset>-488315</wp:posOffset>
          </wp:positionV>
          <wp:extent cx="7759975" cy="10976610"/>
          <wp:effectExtent l="0" t="0" r="0" b="0"/>
          <wp:wrapNone/>
          <wp:docPr id="913458319"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C8A9" w14:textId="23D325E9" w:rsidR="00233755" w:rsidRDefault="007A19C4" w:rsidP="00025568">
    <w:pPr>
      <w:pStyle w:val="Header"/>
      <w:tabs>
        <w:tab w:val="left" w:pos="3063"/>
      </w:tabs>
    </w:pPr>
    <w:r>
      <w:rPr>
        <w:noProof/>
      </w:rPr>
      <w:drawing>
        <wp:anchor distT="0" distB="0" distL="114300" distR="114300" simplePos="0" relativeHeight="251658241" behindDoc="1" locked="0" layoutInCell="1" allowOverlap="1" wp14:anchorId="766225F8" wp14:editId="374C8B35">
          <wp:simplePos x="0" y="0"/>
          <wp:positionH relativeFrom="column">
            <wp:posOffset>-340995</wp:posOffset>
          </wp:positionH>
          <wp:positionV relativeFrom="paragraph">
            <wp:posOffset>-462915</wp:posOffset>
          </wp:positionV>
          <wp:extent cx="6288368" cy="8897914"/>
          <wp:effectExtent l="0" t="0" r="0" b="0"/>
          <wp:wrapNone/>
          <wp:docPr id="73717639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92513" cy="8903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6A59" w14:textId="455BBA53" w:rsidR="00262B79" w:rsidRDefault="007D7240">
    <w:pPr>
      <w:pStyle w:val="Header"/>
    </w:pPr>
    <w:r>
      <w:rPr>
        <w:noProof/>
      </w:rPr>
      <w:drawing>
        <wp:anchor distT="0" distB="0" distL="114300" distR="114300" simplePos="0" relativeHeight="251658246" behindDoc="1" locked="0" layoutInCell="1" allowOverlap="1" wp14:anchorId="70DCDF5D" wp14:editId="4C054062">
          <wp:simplePos x="0" y="0"/>
          <wp:positionH relativeFrom="column">
            <wp:posOffset>-398145</wp:posOffset>
          </wp:positionH>
          <wp:positionV relativeFrom="paragraph">
            <wp:posOffset>-528824</wp:posOffset>
          </wp:positionV>
          <wp:extent cx="7772400" cy="10994186"/>
          <wp:effectExtent l="0" t="0" r="0" b="0"/>
          <wp:wrapNone/>
          <wp:docPr id="146498464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7260" cy="11001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1"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25956C4F"/>
    <w:multiLevelType w:val="hybridMultilevel"/>
    <w:tmpl w:val="076AAA5C"/>
    <w:lvl w:ilvl="0" w:tplc="110A046C">
      <w:start w:val="1"/>
      <w:numFmt w:val="bullet"/>
      <w:lvlText w:val=""/>
      <w:lvlJc w:val="left"/>
      <w:pPr>
        <w:ind w:left="360" w:hanging="360"/>
      </w:pPr>
      <w:rPr>
        <w:rFonts w:ascii="Symbol" w:hAnsi="Symbol" w:hint="default"/>
        <w:color w:val="auto"/>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4" w15:restartNumberingAfterBreak="0">
    <w:nsid w:val="41B20D18"/>
    <w:multiLevelType w:val="multilevel"/>
    <w:tmpl w:val="C4023126"/>
    <w:numStyleLink w:val="AgencyTableBullets"/>
  </w:abstractNum>
  <w:abstractNum w:abstractNumId="5" w15:restartNumberingAfterBreak="0">
    <w:nsid w:val="4474526F"/>
    <w:multiLevelType w:val="multilevel"/>
    <w:tmpl w:val="D5A4B100"/>
    <w:numStyleLink w:val="AgencyTableNumbers"/>
  </w:abstractNum>
  <w:abstractNum w:abstractNumId="6"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7"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87014136">
    <w:abstractNumId w:val="3"/>
  </w:num>
  <w:num w:numId="2" w16cid:durableId="793717448">
    <w:abstractNumId w:val="6"/>
  </w:num>
  <w:num w:numId="3" w16cid:durableId="265160308">
    <w:abstractNumId w:val="0"/>
  </w:num>
  <w:num w:numId="4" w16cid:durableId="1085804354">
    <w:abstractNumId w:val="1"/>
  </w:num>
  <w:num w:numId="5" w16cid:durableId="1671716161">
    <w:abstractNumId w:val="3"/>
  </w:num>
  <w:num w:numId="6" w16cid:durableId="1480030712">
    <w:abstractNumId w:val="6"/>
  </w:num>
  <w:num w:numId="7" w16cid:durableId="666130236">
    <w:abstractNumId w:val="4"/>
  </w:num>
  <w:num w:numId="8" w16cid:durableId="2112387496">
    <w:abstractNumId w:val="5"/>
  </w:num>
  <w:num w:numId="9" w16cid:durableId="1087112055">
    <w:abstractNumId w:val="2"/>
  </w:num>
  <w:num w:numId="10" w16cid:durableId="1065110254">
    <w:abstractNumId w:val="7"/>
  </w:num>
  <w:num w:numId="11" w16cid:durableId="81619257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567"/>
  <w:drawingGridHorizontalSpacing w:val="110"/>
  <w:drawingGridVerticalSpacing w:val="181"/>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0EE5"/>
    <w:rsid w:val="0000157E"/>
    <w:rsid w:val="00001E89"/>
    <w:rsid w:val="00001EF4"/>
    <w:rsid w:val="000020DA"/>
    <w:rsid w:val="00002873"/>
    <w:rsid w:val="000028B4"/>
    <w:rsid w:val="00002B80"/>
    <w:rsid w:val="0000324C"/>
    <w:rsid w:val="00003B9E"/>
    <w:rsid w:val="0000428B"/>
    <w:rsid w:val="00004369"/>
    <w:rsid w:val="00005285"/>
    <w:rsid w:val="00005C85"/>
    <w:rsid w:val="00005C94"/>
    <w:rsid w:val="00005E7A"/>
    <w:rsid w:val="0000618D"/>
    <w:rsid w:val="00006823"/>
    <w:rsid w:val="0000688F"/>
    <w:rsid w:val="00006955"/>
    <w:rsid w:val="00007E62"/>
    <w:rsid w:val="000105FE"/>
    <w:rsid w:val="00010C08"/>
    <w:rsid w:val="0001173C"/>
    <w:rsid w:val="0001193B"/>
    <w:rsid w:val="0001294D"/>
    <w:rsid w:val="00012F55"/>
    <w:rsid w:val="0001325F"/>
    <w:rsid w:val="000135FC"/>
    <w:rsid w:val="00013643"/>
    <w:rsid w:val="00013EF2"/>
    <w:rsid w:val="00014685"/>
    <w:rsid w:val="00014D4C"/>
    <w:rsid w:val="00015F11"/>
    <w:rsid w:val="00015F12"/>
    <w:rsid w:val="000163B1"/>
    <w:rsid w:val="00016A59"/>
    <w:rsid w:val="0001764F"/>
    <w:rsid w:val="00017B94"/>
    <w:rsid w:val="00017E2C"/>
    <w:rsid w:val="000204CB"/>
    <w:rsid w:val="0002067B"/>
    <w:rsid w:val="000216C4"/>
    <w:rsid w:val="000217C5"/>
    <w:rsid w:val="00021EE6"/>
    <w:rsid w:val="0002225F"/>
    <w:rsid w:val="0002233D"/>
    <w:rsid w:val="00022A04"/>
    <w:rsid w:val="00023616"/>
    <w:rsid w:val="0002363C"/>
    <w:rsid w:val="0002437F"/>
    <w:rsid w:val="00024583"/>
    <w:rsid w:val="0002512F"/>
    <w:rsid w:val="00025568"/>
    <w:rsid w:val="00025C17"/>
    <w:rsid w:val="00026429"/>
    <w:rsid w:val="00026EBD"/>
    <w:rsid w:val="00027DB7"/>
    <w:rsid w:val="00030161"/>
    <w:rsid w:val="000305DE"/>
    <w:rsid w:val="000309D2"/>
    <w:rsid w:val="00030FB3"/>
    <w:rsid w:val="00031725"/>
    <w:rsid w:val="00031876"/>
    <w:rsid w:val="00031986"/>
    <w:rsid w:val="00031C68"/>
    <w:rsid w:val="00031EED"/>
    <w:rsid w:val="00032D96"/>
    <w:rsid w:val="0003392D"/>
    <w:rsid w:val="000341C3"/>
    <w:rsid w:val="0003531E"/>
    <w:rsid w:val="00035C3B"/>
    <w:rsid w:val="0003615C"/>
    <w:rsid w:val="00036AAB"/>
    <w:rsid w:val="00036B5D"/>
    <w:rsid w:val="00036E7D"/>
    <w:rsid w:val="00040439"/>
    <w:rsid w:val="000415F9"/>
    <w:rsid w:val="00041688"/>
    <w:rsid w:val="00042239"/>
    <w:rsid w:val="000422AD"/>
    <w:rsid w:val="000424E5"/>
    <w:rsid w:val="000427A2"/>
    <w:rsid w:val="00042DC2"/>
    <w:rsid w:val="00042E76"/>
    <w:rsid w:val="00042F8E"/>
    <w:rsid w:val="000430F4"/>
    <w:rsid w:val="00043185"/>
    <w:rsid w:val="00043306"/>
    <w:rsid w:val="00043350"/>
    <w:rsid w:val="000435DB"/>
    <w:rsid w:val="000437A6"/>
    <w:rsid w:val="0004481A"/>
    <w:rsid w:val="00044E80"/>
    <w:rsid w:val="000451B7"/>
    <w:rsid w:val="0004524F"/>
    <w:rsid w:val="00045984"/>
    <w:rsid w:val="00045BFA"/>
    <w:rsid w:val="00045CA0"/>
    <w:rsid w:val="00045FED"/>
    <w:rsid w:val="000468AC"/>
    <w:rsid w:val="00047905"/>
    <w:rsid w:val="00047DB8"/>
    <w:rsid w:val="0005007C"/>
    <w:rsid w:val="000507BF"/>
    <w:rsid w:val="000507F8"/>
    <w:rsid w:val="00050B09"/>
    <w:rsid w:val="00050CA8"/>
    <w:rsid w:val="00051324"/>
    <w:rsid w:val="0005177A"/>
    <w:rsid w:val="00051A1B"/>
    <w:rsid w:val="0005207C"/>
    <w:rsid w:val="00052D69"/>
    <w:rsid w:val="00052E38"/>
    <w:rsid w:val="00053DAB"/>
    <w:rsid w:val="00053DF1"/>
    <w:rsid w:val="00053EF7"/>
    <w:rsid w:val="00055024"/>
    <w:rsid w:val="000554C4"/>
    <w:rsid w:val="00055BCE"/>
    <w:rsid w:val="00055F6B"/>
    <w:rsid w:val="00056467"/>
    <w:rsid w:val="000566BF"/>
    <w:rsid w:val="00056D23"/>
    <w:rsid w:val="000578AC"/>
    <w:rsid w:val="00057D1C"/>
    <w:rsid w:val="0006034F"/>
    <w:rsid w:val="0006048A"/>
    <w:rsid w:val="00060FC9"/>
    <w:rsid w:val="00060FEF"/>
    <w:rsid w:val="000610F9"/>
    <w:rsid w:val="000615DE"/>
    <w:rsid w:val="000619D1"/>
    <w:rsid w:val="00061B80"/>
    <w:rsid w:val="000621B0"/>
    <w:rsid w:val="000628DD"/>
    <w:rsid w:val="00062E2A"/>
    <w:rsid w:val="000633F0"/>
    <w:rsid w:val="0006350C"/>
    <w:rsid w:val="00063523"/>
    <w:rsid w:val="00063C75"/>
    <w:rsid w:val="00063C93"/>
    <w:rsid w:val="00063D33"/>
    <w:rsid w:val="00063EB4"/>
    <w:rsid w:val="00063EBF"/>
    <w:rsid w:val="000644AF"/>
    <w:rsid w:val="000645D4"/>
    <w:rsid w:val="0006495D"/>
    <w:rsid w:val="00064E3C"/>
    <w:rsid w:val="00064FB8"/>
    <w:rsid w:val="0006508C"/>
    <w:rsid w:val="00065248"/>
    <w:rsid w:val="00065373"/>
    <w:rsid w:val="0006564C"/>
    <w:rsid w:val="000658F1"/>
    <w:rsid w:val="00065C3B"/>
    <w:rsid w:val="000662B6"/>
    <w:rsid w:val="00066413"/>
    <w:rsid w:val="00066E51"/>
    <w:rsid w:val="000670EE"/>
    <w:rsid w:val="000677DC"/>
    <w:rsid w:val="00067940"/>
    <w:rsid w:val="000679E8"/>
    <w:rsid w:val="00070650"/>
    <w:rsid w:val="00070A4E"/>
    <w:rsid w:val="00071DFB"/>
    <w:rsid w:val="000726EB"/>
    <w:rsid w:val="00072A53"/>
    <w:rsid w:val="0007312D"/>
    <w:rsid w:val="00073310"/>
    <w:rsid w:val="00074217"/>
    <w:rsid w:val="000744EA"/>
    <w:rsid w:val="00074BC2"/>
    <w:rsid w:val="00075306"/>
    <w:rsid w:val="0007567D"/>
    <w:rsid w:val="00075804"/>
    <w:rsid w:val="000758A3"/>
    <w:rsid w:val="00075B13"/>
    <w:rsid w:val="00076D2E"/>
    <w:rsid w:val="00076F55"/>
    <w:rsid w:val="0007755A"/>
    <w:rsid w:val="0008039E"/>
    <w:rsid w:val="00080F6F"/>
    <w:rsid w:val="000812C7"/>
    <w:rsid w:val="0008135C"/>
    <w:rsid w:val="000814BA"/>
    <w:rsid w:val="000815AB"/>
    <w:rsid w:val="0008193C"/>
    <w:rsid w:val="00081DC2"/>
    <w:rsid w:val="00081F4F"/>
    <w:rsid w:val="0008248D"/>
    <w:rsid w:val="00082DED"/>
    <w:rsid w:val="00083D22"/>
    <w:rsid w:val="00084FEC"/>
    <w:rsid w:val="000850AF"/>
    <w:rsid w:val="00085430"/>
    <w:rsid w:val="00085652"/>
    <w:rsid w:val="000856B0"/>
    <w:rsid w:val="00086625"/>
    <w:rsid w:val="00087259"/>
    <w:rsid w:val="000872B4"/>
    <w:rsid w:val="00087373"/>
    <w:rsid w:val="0008771C"/>
    <w:rsid w:val="00087BFF"/>
    <w:rsid w:val="00087D7D"/>
    <w:rsid w:val="00087E7C"/>
    <w:rsid w:val="0009054B"/>
    <w:rsid w:val="00090616"/>
    <w:rsid w:val="00090922"/>
    <w:rsid w:val="0009106C"/>
    <w:rsid w:val="00091469"/>
    <w:rsid w:val="00091CFF"/>
    <w:rsid w:val="00091D3B"/>
    <w:rsid w:val="0009243C"/>
    <w:rsid w:val="00093375"/>
    <w:rsid w:val="0009389E"/>
    <w:rsid w:val="00093A98"/>
    <w:rsid w:val="00093C96"/>
    <w:rsid w:val="0009403D"/>
    <w:rsid w:val="00094380"/>
    <w:rsid w:val="00094DE9"/>
    <w:rsid w:val="00095236"/>
    <w:rsid w:val="00095902"/>
    <w:rsid w:val="0009597C"/>
    <w:rsid w:val="00095FC7"/>
    <w:rsid w:val="00096105"/>
    <w:rsid w:val="0009610F"/>
    <w:rsid w:val="0009626D"/>
    <w:rsid w:val="00096374"/>
    <w:rsid w:val="000973DF"/>
    <w:rsid w:val="000976FE"/>
    <w:rsid w:val="0009772E"/>
    <w:rsid w:val="0009787C"/>
    <w:rsid w:val="000979FB"/>
    <w:rsid w:val="00097F44"/>
    <w:rsid w:val="00097FAF"/>
    <w:rsid w:val="000A0DA8"/>
    <w:rsid w:val="000A1F0E"/>
    <w:rsid w:val="000A2756"/>
    <w:rsid w:val="000A28E3"/>
    <w:rsid w:val="000A373B"/>
    <w:rsid w:val="000A382D"/>
    <w:rsid w:val="000A3C28"/>
    <w:rsid w:val="000A3DF5"/>
    <w:rsid w:val="000A4284"/>
    <w:rsid w:val="000A435B"/>
    <w:rsid w:val="000A5ED0"/>
    <w:rsid w:val="000A642E"/>
    <w:rsid w:val="000A6D40"/>
    <w:rsid w:val="000A6E3B"/>
    <w:rsid w:val="000A762C"/>
    <w:rsid w:val="000A7C95"/>
    <w:rsid w:val="000A7E61"/>
    <w:rsid w:val="000B02E4"/>
    <w:rsid w:val="000B093E"/>
    <w:rsid w:val="000B0F26"/>
    <w:rsid w:val="000B17D9"/>
    <w:rsid w:val="000B1823"/>
    <w:rsid w:val="000B3A12"/>
    <w:rsid w:val="000B437C"/>
    <w:rsid w:val="000B44DB"/>
    <w:rsid w:val="000B489F"/>
    <w:rsid w:val="000B4964"/>
    <w:rsid w:val="000B4BE2"/>
    <w:rsid w:val="000B4DE0"/>
    <w:rsid w:val="000B59AC"/>
    <w:rsid w:val="000B623B"/>
    <w:rsid w:val="000B6430"/>
    <w:rsid w:val="000B675F"/>
    <w:rsid w:val="000B686D"/>
    <w:rsid w:val="000B6C3C"/>
    <w:rsid w:val="000B6D31"/>
    <w:rsid w:val="000B7103"/>
    <w:rsid w:val="000B7B67"/>
    <w:rsid w:val="000C09AB"/>
    <w:rsid w:val="000C0CC8"/>
    <w:rsid w:val="000C1108"/>
    <w:rsid w:val="000C1381"/>
    <w:rsid w:val="000C159B"/>
    <w:rsid w:val="000C1618"/>
    <w:rsid w:val="000C1634"/>
    <w:rsid w:val="000C1F87"/>
    <w:rsid w:val="000C20D8"/>
    <w:rsid w:val="000C2854"/>
    <w:rsid w:val="000C29E0"/>
    <w:rsid w:val="000C2CCF"/>
    <w:rsid w:val="000C2FB3"/>
    <w:rsid w:val="000C40A5"/>
    <w:rsid w:val="000C425A"/>
    <w:rsid w:val="000C481B"/>
    <w:rsid w:val="000C4A8D"/>
    <w:rsid w:val="000C4E1B"/>
    <w:rsid w:val="000C591A"/>
    <w:rsid w:val="000C5AD8"/>
    <w:rsid w:val="000C5C85"/>
    <w:rsid w:val="000C6FD5"/>
    <w:rsid w:val="000C74BD"/>
    <w:rsid w:val="000C763A"/>
    <w:rsid w:val="000C7C58"/>
    <w:rsid w:val="000D027C"/>
    <w:rsid w:val="000D02D9"/>
    <w:rsid w:val="000D03F9"/>
    <w:rsid w:val="000D04DA"/>
    <w:rsid w:val="000D07EF"/>
    <w:rsid w:val="000D0CE7"/>
    <w:rsid w:val="000D104D"/>
    <w:rsid w:val="000D17B8"/>
    <w:rsid w:val="000D1904"/>
    <w:rsid w:val="000D1BFC"/>
    <w:rsid w:val="000D21D3"/>
    <w:rsid w:val="000D27DE"/>
    <w:rsid w:val="000D2816"/>
    <w:rsid w:val="000D2CE3"/>
    <w:rsid w:val="000D2E1A"/>
    <w:rsid w:val="000D3320"/>
    <w:rsid w:val="000D3B1E"/>
    <w:rsid w:val="000D3B8A"/>
    <w:rsid w:val="000D3CD7"/>
    <w:rsid w:val="000D3E1E"/>
    <w:rsid w:val="000D4185"/>
    <w:rsid w:val="000D491D"/>
    <w:rsid w:val="000D6073"/>
    <w:rsid w:val="000D61B6"/>
    <w:rsid w:val="000D6278"/>
    <w:rsid w:val="000D6EF5"/>
    <w:rsid w:val="000D7209"/>
    <w:rsid w:val="000D7379"/>
    <w:rsid w:val="000D75A3"/>
    <w:rsid w:val="000D7F64"/>
    <w:rsid w:val="000E0341"/>
    <w:rsid w:val="000E067A"/>
    <w:rsid w:val="000E07FB"/>
    <w:rsid w:val="000E0B0F"/>
    <w:rsid w:val="000E0F5C"/>
    <w:rsid w:val="000E114E"/>
    <w:rsid w:val="000E116D"/>
    <w:rsid w:val="000E1392"/>
    <w:rsid w:val="000E1422"/>
    <w:rsid w:val="000E1BAB"/>
    <w:rsid w:val="000E1F7B"/>
    <w:rsid w:val="000E24F2"/>
    <w:rsid w:val="000E3548"/>
    <w:rsid w:val="000E3626"/>
    <w:rsid w:val="000E3C09"/>
    <w:rsid w:val="000E4417"/>
    <w:rsid w:val="000E4A89"/>
    <w:rsid w:val="000E4D27"/>
    <w:rsid w:val="000E5273"/>
    <w:rsid w:val="000E5FB3"/>
    <w:rsid w:val="000E6D79"/>
    <w:rsid w:val="000E7F62"/>
    <w:rsid w:val="000F072C"/>
    <w:rsid w:val="000F0AA7"/>
    <w:rsid w:val="000F0FB3"/>
    <w:rsid w:val="000F1B6A"/>
    <w:rsid w:val="000F2582"/>
    <w:rsid w:val="000F26C0"/>
    <w:rsid w:val="000F26D3"/>
    <w:rsid w:val="000F2B8D"/>
    <w:rsid w:val="000F2F46"/>
    <w:rsid w:val="000F35F7"/>
    <w:rsid w:val="000F3FFE"/>
    <w:rsid w:val="000F417A"/>
    <w:rsid w:val="000F41B2"/>
    <w:rsid w:val="000F4B54"/>
    <w:rsid w:val="000F5AF9"/>
    <w:rsid w:val="000F6933"/>
    <w:rsid w:val="000F72AA"/>
    <w:rsid w:val="000F749D"/>
    <w:rsid w:val="000F752C"/>
    <w:rsid w:val="000F767F"/>
    <w:rsid w:val="0010049A"/>
    <w:rsid w:val="00100A9F"/>
    <w:rsid w:val="00100FB9"/>
    <w:rsid w:val="00101813"/>
    <w:rsid w:val="00101A4E"/>
    <w:rsid w:val="00101F1C"/>
    <w:rsid w:val="001027DF"/>
    <w:rsid w:val="001028B7"/>
    <w:rsid w:val="00102C6E"/>
    <w:rsid w:val="00102EFC"/>
    <w:rsid w:val="00103125"/>
    <w:rsid w:val="00103730"/>
    <w:rsid w:val="001037F7"/>
    <w:rsid w:val="00103E1F"/>
    <w:rsid w:val="00104784"/>
    <w:rsid w:val="001048F1"/>
    <w:rsid w:val="00104FFE"/>
    <w:rsid w:val="001053C1"/>
    <w:rsid w:val="001054DB"/>
    <w:rsid w:val="00105887"/>
    <w:rsid w:val="001059CA"/>
    <w:rsid w:val="00105AED"/>
    <w:rsid w:val="00105E33"/>
    <w:rsid w:val="00105F65"/>
    <w:rsid w:val="00106140"/>
    <w:rsid w:val="001063F8"/>
    <w:rsid w:val="0010670E"/>
    <w:rsid w:val="001067D5"/>
    <w:rsid w:val="00106C02"/>
    <w:rsid w:val="001071FD"/>
    <w:rsid w:val="0010743B"/>
    <w:rsid w:val="0010795B"/>
    <w:rsid w:val="00107E8D"/>
    <w:rsid w:val="001102CE"/>
    <w:rsid w:val="00110466"/>
    <w:rsid w:val="0011061C"/>
    <w:rsid w:val="001106B3"/>
    <w:rsid w:val="00110E0B"/>
    <w:rsid w:val="00111C95"/>
    <w:rsid w:val="00111D44"/>
    <w:rsid w:val="00112067"/>
    <w:rsid w:val="0011211E"/>
    <w:rsid w:val="00112737"/>
    <w:rsid w:val="00112FE2"/>
    <w:rsid w:val="00113093"/>
    <w:rsid w:val="00113333"/>
    <w:rsid w:val="001138A7"/>
    <w:rsid w:val="0011402D"/>
    <w:rsid w:val="001142F5"/>
    <w:rsid w:val="00114882"/>
    <w:rsid w:val="00115959"/>
    <w:rsid w:val="001160D7"/>
    <w:rsid w:val="001168DD"/>
    <w:rsid w:val="00116C65"/>
    <w:rsid w:val="00116DB8"/>
    <w:rsid w:val="00117846"/>
    <w:rsid w:val="00120C9F"/>
    <w:rsid w:val="00120FDD"/>
    <w:rsid w:val="0012127E"/>
    <w:rsid w:val="00121421"/>
    <w:rsid w:val="00121672"/>
    <w:rsid w:val="00121B7C"/>
    <w:rsid w:val="001223D2"/>
    <w:rsid w:val="001226D6"/>
    <w:rsid w:val="00122B38"/>
    <w:rsid w:val="001238B8"/>
    <w:rsid w:val="001242FD"/>
    <w:rsid w:val="00124C0C"/>
    <w:rsid w:val="00124C12"/>
    <w:rsid w:val="00124EFC"/>
    <w:rsid w:val="0012550E"/>
    <w:rsid w:val="001258BD"/>
    <w:rsid w:val="00126735"/>
    <w:rsid w:val="0012682B"/>
    <w:rsid w:val="00126895"/>
    <w:rsid w:val="00126A24"/>
    <w:rsid w:val="00126B8D"/>
    <w:rsid w:val="00126EEE"/>
    <w:rsid w:val="001279ED"/>
    <w:rsid w:val="00127A81"/>
    <w:rsid w:val="00127B94"/>
    <w:rsid w:val="001304D3"/>
    <w:rsid w:val="00130B16"/>
    <w:rsid w:val="00130BF4"/>
    <w:rsid w:val="001317FB"/>
    <w:rsid w:val="00131919"/>
    <w:rsid w:val="00131D71"/>
    <w:rsid w:val="001320E4"/>
    <w:rsid w:val="001328B8"/>
    <w:rsid w:val="00132A53"/>
    <w:rsid w:val="00132C3D"/>
    <w:rsid w:val="001336BC"/>
    <w:rsid w:val="00134268"/>
    <w:rsid w:val="001346D1"/>
    <w:rsid w:val="00134742"/>
    <w:rsid w:val="00135137"/>
    <w:rsid w:val="0013525D"/>
    <w:rsid w:val="001354B5"/>
    <w:rsid w:val="0013652F"/>
    <w:rsid w:val="00136745"/>
    <w:rsid w:val="00137526"/>
    <w:rsid w:val="00137615"/>
    <w:rsid w:val="00140EBD"/>
    <w:rsid w:val="001419A8"/>
    <w:rsid w:val="00141C6F"/>
    <w:rsid w:val="00142D05"/>
    <w:rsid w:val="00142D0A"/>
    <w:rsid w:val="001431F3"/>
    <w:rsid w:val="00143324"/>
    <w:rsid w:val="00143820"/>
    <w:rsid w:val="00143879"/>
    <w:rsid w:val="00143ADC"/>
    <w:rsid w:val="00143DC7"/>
    <w:rsid w:val="00143E4F"/>
    <w:rsid w:val="00143ECB"/>
    <w:rsid w:val="00143F90"/>
    <w:rsid w:val="00144F91"/>
    <w:rsid w:val="001457B7"/>
    <w:rsid w:val="0014586E"/>
    <w:rsid w:val="001458DD"/>
    <w:rsid w:val="00145F72"/>
    <w:rsid w:val="0014629D"/>
    <w:rsid w:val="0014638D"/>
    <w:rsid w:val="0014660E"/>
    <w:rsid w:val="0014664E"/>
    <w:rsid w:val="00146D57"/>
    <w:rsid w:val="00146E6E"/>
    <w:rsid w:val="00147C05"/>
    <w:rsid w:val="0015005D"/>
    <w:rsid w:val="001504E1"/>
    <w:rsid w:val="00150607"/>
    <w:rsid w:val="00150890"/>
    <w:rsid w:val="00150D6F"/>
    <w:rsid w:val="00150D90"/>
    <w:rsid w:val="0015151C"/>
    <w:rsid w:val="00151C88"/>
    <w:rsid w:val="00151C97"/>
    <w:rsid w:val="0015239F"/>
    <w:rsid w:val="00152855"/>
    <w:rsid w:val="0015286C"/>
    <w:rsid w:val="00152A7E"/>
    <w:rsid w:val="00152F76"/>
    <w:rsid w:val="0015301D"/>
    <w:rsid w:val="0015302E"/>
    <w:rsid w:val="001533A0"/>
    <w:rsid w:val="001534B4"/>
    <w:rsid w:val="00153AAD"/>
    <w:rsid w:val="00154636"/>
    <w:rsid w:val="001549EE"/>
    <w:rsid w:val="00154F22"/>
    <w:rsid w:val="00154FCF"/>
    <w:rsid w:val="00155129"/>
    <w:rsid w:val="001551AB"/>
    <w:rsid w:val="00155475"/>
    <w:rsid w:val="00155759"/>
    <w:rsid w:val="00155B5C"/>
    <w:rsid w:val="00156435"/>
    <w:rsid w:val="001566FA"/>
    <w:rsid w:val="00156B36"/>
    <w:rsid w:val="00156EFA"/>
    <w:rsid w:val="00157210"/>
    <w:rsid w:val="001579DA"/>
    <w:rsid w:val="00157EC2"/>
    <w:rsid w:val="0016078B"/>
    <w:rsid w:val="001611DC"/>
    <w:rsid w:val="00161BAC"/>
    <w:rsid w:val="00161CA0"/>
    <w:rsid w:val="00163A85"/>
    <w:rsid w:val="00163D88"/>
    <w:rsid w:val="00164438"/>
    <w:rsid w:val="00164644"/>
    <w:rsid w:val="00164C5D"/>
    <w:rsid w:val="00164E5F"/>
    <w:rsid w:val="001650C1"/>
    <w:rsid w:val="001650EF"/>
    <w:rsid w:val="001652E0"/>
    <w:rsid w:val="00165EBE"/>
    <w:rsid w:val="00166037"/>
    <w:rsid w:val="0016660F"/>
    <w:rsid w:val="00166F4F"/>
    <w:rsid w:val="00167E71"/>
    <w:rsid w:val="001707F8"/>
    <w:rsid w:val="00170A05"/>
    <w:rsid w:val="001710E4"/>
    <w:rsid w:val="00171715"/>
    <w:rsid w:val="00171D37"/>
    <w:rsid w:val="00172338"/>
    <w:rsid w:val="001723E2"/>
    <w:rsid w:val="001724A2"/>
    <w:rsid w:val="00172A91"/>
    <w:rsid w:val="001734F3"/>
    <w:rsid w:val="0017376A"/>
    <w:rsid w:val="00173DC3"/>
    <w:rsid w:val="0017460A"/>
    <w:rsid w:val="00174825"/>
    <w:rsid w:val="0017498D"/>
    <w:rsid w:val="00174CC6"/>
    <w:rsid w:val="00175143"/>
    <w:rsid w:val="00175B21"/>
    <w:rsid w:val="00175C74"/>
    <w:rsid w:val="00175F86"/>
    <w:rsid w:val="001764DF"/>
    <w:rsid w:val="001767AA"/>
    <w:rsid w:val="00176F76"/>
    <w:rsid w:val="0017730D"/>
    <w:rsid w:val="001773C2"/>
    <w:rsid w:val="001773DE"/>
    <w:rsid w:val="001803DE"/>
    <w:rsid w:val="00180C33"/>
    <w:rsid w:val="00182033"/>
    <w:rsid w:val="00182318"/>
    <w:rsid w:val="0018240E"/>
    <w:rsid w:val="00182AA1"/>
    <w:rsid w:val="00182DD3"/>
    <w:rsid w:val="001833AC"/>
    <w:rsid w:val="001836EB"/>
    <w:rsid w:val="00183780"/>
    <w:rsid w:val="0018378B"/>
    <w:rsid w:val="00183E53"/>
    <w:rsid w:val="0018464A"/>
    <w:rsid w:val="00184B4B"/>
    <w:rsid w:val="001853E7"/>
    <w:rsid w:val="00185501"/>
    <w:rsid w:val="00187071"/>
    <w:rsid w:val="001876B6"/>
    <w:rsid w:val="00187758"/>
    <w:rsid w:val="001879A7"/>
    <w:rsid w:val="00187AFE"/>
    <w:rsid w:val="0019016E"/>
    <w:rsid w:val="00190D6C"/>
    <w:rsid w:val="0019108A"/>
    <w:rsid w:val="001912E0"/>
    <w:rsid w:val="00192CD0"/>
    <w:rsid w:val="00192DBE"/>
    <w:rsid w:val="00193BC2"/>
    <w:rsid w:val="00194F12"/>
    <w:rsid w:val="001950B1"/>
    <w:rsid w:val="00196015"/>
    <w:rsid w:val="001967DB"/>
    <w:rsid w:val="00196CFF"/>
    <w:rsid w:val="001976D0"/>
    <w:rsid w:val="001A0B0D"/>
    <w:rsid w:val="001A0F63"/>
    <w:rsid w:val="001A1107"/>
    <w:rsid w:val="001A1204"/>
    <w:rsid w:val="001A127C"/>
    <w:rsid w:val="001A143B"/>
    <w:rsid w:val="001A1A71"/>
    <w:rsid w:val="001A21E0"/>
    <w:rsid w:val="001A2453"/>
    <w:rsid w:val="001A2EF3"/>
    <w:rsid w:val="001A3C33"/>
    <w:rsid w:val="001A40A2"/>
    <w:rsid w:val="001A46E1"/>
    <w:rsid w:val="001A4D25"/>
    <w:rsid w:val="001A5B0B"/>
    <w:rsid w:val="001A6A89"/>
    <w:rsid w:val="001A7004"/>
    <w:rsid w:val="001A7443"/>
    <w:rsid w:val="001A7472"/>
    <w:rsid w:val="001A7650"/>
    <w:rsid w:val="001B0837"/>
    <w:rsid w:val="001B0D8F"/>
    <w:rsid w:val="001B1DBB"/>
    <w:rsid w:val="001B2027"/>
    <w:rsid w:val="001B21C1"/>
    <w:rsid w:val="001B2E1D"/>
    <w:rsid w:val="001B3609"/>
    <w:rsid w:val="001B37D1"/>
    <w:rsid w:val="001B3949"/>
    <w:rsid w:val="001B3FB6"/>
    <w:rsid w:val="001B4080"/>
    <w:rsid w:val="001B4134"/>
    <w:rsid w:val="001B41F7"/>
    <w:rsid w:val="001B444A"/>
    <w:rsid w:val="001B46BA"/>
    <w:rsid w:val="001B482D"/>
    <w:rsid w:val="001B495E"/>
    <w:rsid w:val="001B4A75"/>
    <w:rsid w:val="001B4BC7"/>
    <w:rsid w:val="001B4E1E"/>
    <w:rsid w:val="001B5112"/>
    <w:rsid w:val="001B5E3C"/>
    <w:rsid w:val="001B607A"/>
    <w:rsid w:val="001B643B"/>
    <w:rsid w:val="001B662A"/>
    <w:rsid w:val="001B6866"/>
    <w:rsid w:val="001B7381"/>
    <w:rsid w:val="001C02CF"/>
    <w:rsid w:val="001C03D8"/>
    <w:rsid w:val="001C0886"/>
    <w:rsid w:val="001C138D"/>
    <w:rsid w:val="001C1683"/>
    <w:rsid w:val="001C174E"/>
    <w:rsid w:val="001C316F"/>
    <w:rsid w:val="001C3307"/>
    <w:rsid w:val="001C34D4"/>
    <w:rsid w:val="001C3B4F"/>
    <w:rsid w:val="001C4019"/>
    <w:rsid w:val="001C4612"/>
    <w:rsid w:val="001C5073"/>
    <w:rsid w:val="001C54DB"/>
    <w:rsid w:val="001C5965"/>
    <w:rsid w:val="001C5993"/>
    <w:rsid w:val="001C5BE9"/>
    <w:rsid w:val="001C5E23"/>
    <w:rsid w:val="001C632C"/>
    <w:rsid w:val="001C692F"/>
    <w:rsid w:val="001C6C0A"/>
    <w:rsid w:val="001C7076"/>
    <w:rsid w:val="001C78ED"/>
    <w:rsid w:val="001C7D2C"/>
    <w:rsid w:val="001C7E0C"/>
    <w:rsid w:val="001D0170"/>
    <w:rsid w:val="001D02B1"/>
    <w:rsid w:val="001D075F"/>
    <w:rsid w:val="001D0C9A"/>
    <w:rsid w:val="001D1324"/>
    <w:rsid w:val="001D1B33"/>
    <w:rsid w:val="001D1CF4"/>
    <w:rsid w:val="001D22C6"/>
    <w:rsid w:val="001D2548"/>
    <w:rsid w:val="001D2EB0"/>
    <w:rsid w:val="001D35EC"/>
    <w:rsid w:val="001D380D"/>
    <w:rsid w:val="001D447B"/>
    <w:rsid w:val="001D47A0"/>
    <w:rsid w:val="001D4DA0"/>
    <w:rsid w:val="001D5191"/>
    <w:rsid w:val="001D52D1"/>
    <w:rsid w:val="001D540F"/>
    <w:rsid w:val="001D5620"/>
    <w:rsid w:val="001D5CF7"/>
    <w:rsid w:val="001D5E4B"/>
    <w:rsid w:val="001D612C"/>
    <w:rsid w:val="001D6935"/>
    <w:rsid w:val="001D6BF1"/>
    <w:rsid w:val="001D6D5D"/>
    <w:rsid w:val="001D7934"/>
    <w:rsid w:val="001D7D29"/>
    <w:rsid w:val="001E0648"/>
    <w:rsid w:val="001E06AD"/>
    <w:rsid w:val="001E0A20"/>
    <w:rsid w:val="001E10B1"/>
    <w:rsid w:val="001E18D5"/>
    <w:rsid w:val="001E2398"/>
    <w:rsid w:val="001E2632"/>
    <w:rsid w:val="001E28CF"/>
    <w:rsid w:val="001E2A4E"/>
    <w:rsid w:val="001E361E"/>
    <w:rsid w:val="001E38AF"/>
    <w:rsid w:val="001E3EF8"/>
    <w:rsid w:val="001E4019"/>
    <w:rsid w:val="001E4304"/>
    <w:rsid w:val="001E58BF"/>
    <w:rsid w:val="001E5C9D"/>
    <w:rsid w:val="001E6659"/>
    <w:rsid w:val="001E6A7B"/>
    <w:rsid w:val="001E733A"/>
    <w:rsid w:val="001E7953"/>
    <w:rsid w:val="001F015D"/>
    <w:rsid w:val="001F023E"/>
    <w:rsid w:val="001F064D"/>
    <w:rsid w:val="001F0D3C"/>
    <w:rsid w:val="001F1168"/>
    <w:rsid w:val="001F12FE"/>
    <w:rsid w:val="001F1B14"/>
    <w:rsid w:val="001F1CD3"/>
    <w:rsid w:val="001F217E"/>
    <w:rsid w:val="001F26CE"/>
    <w:rsid w:val="001F31D9"/>
    <w:rsid w:val="001F340F"/>
    <w:rsid w:val="001F3E09"/>
    <w:rsid w:val="001F3FD5"/>
    <w:rsid w:val="001F40B1"/>
    <w:rsid w:val="001F4689"/>
    <w:rsid w:val="001F488B"/>
    <w:rsid w:val="001F49BC"/>
    <w:rsid w:val="001F4B08"/>
    <w:rsid w:val="001F584D"/>
    <w:rsid w:val="001F5C0E"/>
    <w:rsid w:val="001F5CF4"/>
    <w:rsid w:val="001F5F6A"/>
    <w:rsid w:val="001F6013"/>
    <w:rsid w:val="001F639E"/>
    <w:rsid w:val="001F6F3C"/>
    <w:rsid w:val="001F7153"/>
    <w:rsid w:val="001F7855"/>
    <w:rsid w:val="001F7A41"/>
    <w:rsid w:val="001F7A4E"/>
    <w:rsid w:val="001F7ADB"/>
    <w:rsid w:val="001F7E11"/>
    <w:rsid w:val="002005DE"/>
    <w:rsid w:val="002008E2"/>
    <w:rsid w:val="002008E7"/>
    <w:rsid w:val="00200DC9"/>
    <w:rsid w:val="0020115E"/>
    <w:rsid w:val="002012DD"/>
    <w:rsid w:val="002019D1"/>
    <w:rsid w:val="00202317"/>
    <w:rsid w:val="0020240B"/>
    <w:rsid w:val="00202880"/>
    <w:rsid w:val="00203267"/>
    <w:rsid w:val="002034A3"/>
    <w:rsid w:val="002035CF"/>
    <w:rsid w:val="0020397B"/>
    <w:rsid w:val="00203C5F"/>
    <w:rsid w:val="0020429F"/>
    <w:rsid w:val="00204453"/>
    <w:rsid w:val="00204924"/>
    <w:rsid w:val="002056D1"/>
    <w:rsid w:val="0020594A"/>
    <w:rsid w:val="00205B1C"/>
    <w:rsid w:val="00206A8C"/>
    <w:rsid w:val="00206C4E"/>
    <w:rsid w:val="002071FC"/>
    <w:rsid w:val="00207329"/>
    <w:rsid w:val="00207459"/>
    <w:rsid w:val="00210492"/>
    <w:rsid w:val="00210C6B"/>
    <w:rsid w:val="002112DE"/>
    <w:rsid w:val="002120B5"/>
    <w:rsid w:val="002126C4"/>
    <w:rsid w:val="00212F08"/>
    <w:rsid w:val="0021319C"/>
    <w:rsid w:val="00213572"/>
    <w:rsid w:val="002146ED"/>
    <w:rsid w:val="00214817"/>
    <w:rsid w:val="00214E9F"/>
    <w:rsid w:val="002156F1"/>
    <w:rsid w:val="00215903"/>
    <w:rsid w:val="00215B3E"/>
    <w:rsid w:val="0021649D"/>
    <w:rsid w:val="00216764"/>
    <w:rsid w:val="00216907"/>
    <w:rsid w:val="00216C92"/>
    <w:rsid w:val="00217131"/>
    <w:rsid w:val="002173B9"/>
    <w:rsid w:val="00217B9F"/>
    <w:rsid w:val="00217BF0"/>
    <w:rsid w:val="0022029C"/>
    <w:rsid w:val="002202DB"/>
    <w:rsid w:val="00220AD9"/>
    <w:rsid w:val="002220F3"/>
    <w:rsid w:val="00222319"/>
    <w:rsid w:val="00222C84"/>
    <w:rsid w:val="00222E8B"/>
    <w:rsid w:val="00223031"/>
    <w:rsid w:val="00223137"/>
    <w:rsid w:val="002235FA"/>
    <w:rsid w:val="00223710"/>
    <w:rsid w:val="00223BEC"/>
    <w:rsid w:val="00224549"/>
    <w:rsid w:val="0022511B"/>
    <w:rsid w:val="002254FB"/>
    <w:rsid w:val="0022551B"/>
    <w:rsid w:val="00225BFB"/>
    <w:rsid w:val="002262C5"/>
    <w:rsid w:val="002267D5"/>
    <w:rsid w:val="00227208"/>
    <w:rsid w:val="00230487"/>
    <w:rsid w:val="00230C00"/>
    <w:rsid w:val="00230C3A"/>
    <w:rsid w:val="00232085"/>
    <w:rsid w:val="00232452"/>
    <w:rsid w:val="00232515"/>
    <w:rsid w:val="00232D31"/>
    <w:rsid w:val="00232FE7"/>
    <w:rsid w:val="002331B3"/>
    <w:rsid w:val="00233755"/>
    <w:rsid w:val="0023381F"/>
    <w:rsid w:val="00234088"/>
    <w:rsid w:val="00234D23"/>
    <w:rsid w:val="00234DF2"/>
    <w:rsid w:val="0023576D"/>
    <w:rsid w:val="00235BE8"/>
    <w:rsid w:val="00235FD4"/>
    <w:rsid w:val="00236B07"/>
    <w:rsid w:val="002375B1"/>
    <w:rsid w:val="002378A7"/>
    <w:rsid w:val="00237A2B"/>
    <w:rsid w:val="00237BFA"/>
    <w:rsid w:val="002407D9"/>
    <w:rsid w:val="00240A5F"/>
    <w:rsid w:val="00241025"/>
    <w:rsid w:val="00241B12"/>
    <w:rsid w:val="00242077"/>
    <w:rsid w:val="0024215C"/>
    <w:rsid w:val="00242464"/>
    <w:rsid w:val="00242D2D"/>
    <w:rsid w:val="00242D68"/>
    <w:rsid w:val="0024308B"/>
    <w:rsid w:val="00243CBF"/>
    <w:rsid w:val="00244687"/>
    <w:rsid w:val="00244A66"/>
    <w:rsid w:val="00245A0A"/>
    <w:rsid w:val="00245D05"/>
    <w:rsid w:val="00245EF8"/>
    <w:rsid w:val="00246321"/>
    <w:rsid w:val="00246529"/>
    <w:rsid w:val="00247242"/>
    <w:rsid w:val="0024750F"/>
    <w:rsid w:val="0024769F"/>
    <w:rsid w:val="00247A35"/>
    <w:rsid w:val="002506B7"/>
    <w:rsid w:val="00250703"/>
    <w:rsid w:val="00250BE7"/>
    <w:rsid w:val="00250F2F"/>
    <w:rsid w:val="002514EE"/>
    <w:rsid w:val="00251DE1"/>
    <w:rsid w:val="002526BC"/>
    <w:rsid w:val="00253195"/>
    <w:rsid w:val="002531E3"/>
    <w:rsid w:val="002535EF"/>
    <w:rsid w:val="002536B2"/>
    <w:rsid w:val="002536FE"/>
    <w:rsid w:val="00253F0B"/>
    <w:rsid w:val="002548A9"/>
    <w:rsid w:val="002549B2"/>
    <w:rsid w:val="00254FD3"/>
    <w:rsid w:val="00255146"/>
    <w:rsid w:val="00255543"/>
    <w:rsid w:val="00255665"/>
    <w:rsid w:val="0025586D"/>
    <w:rsid w:val="00255899"/>
    <w:rsid w:val="00255EF4"/>
    <w:rsid w:val="0025670A"/>
    <w:rsid w:val="00256B09"/>
    <w:rsid w:val="00256FC4"/>
    <w:rsid w:val="002571C4"/>
    <w:rsid w:val="002577A7"/>
    <w:rsid w:val="002579F6"/>
    <w:rsid w:val="00260052"/>
    <w:rsid w:val="00260326"/>
    <w:rsid w:val="0026057C"/>
    <w:rsid w:val="00260EC8"/>
    <w:rsid w:val="00261A27"/>
    <w:rsid w:val="00261D91"/>
    <w:rsid w:val="0026207D"/>
    <w:rsid w:val="002620C7"/>
    <w:rsid w:val="00262823"/>
    <w:rsid w:val="0026293A"/>
    <w:rsid w:val="00262B79"/>
    <w:rsid w:val="00262F16"/>
    <w:rsid w:val="0026344A"/>
    <w:rsid w:val="00263CF3"/>
    <w:rsid w:val="00263D40"/>
    <w:rsid w:val="00263E34"/>
    <w:rsid w:val="00263FD2"/>
    <w:rsid w:val="0026425A"/>
    <w:rsid w:val="0026459B"/>
    <w:rsid w:val="00264713"/>
    <w:rsid w:val="00265BDA"/>
    <w:rsid w:val="00266577"/>
    <w:rsid w:val="00266ECF"/>
    <w:rsid w:val="002673DE"/>
    <w:rsid w:val="0026741A"/>
    <w:rsid w:val="00267B62"/>
    <w:rsid w:val="00267E22"/>
    <w:rsid w:val="00267EA6"/>
    <w:rsid w:val="002702A1"/>
    <w:rsid w:val="0027095F"/>
    <w:rsid w:val="00270F8E"/>
    <w:rsid w:val="00271F41"/>
    <w:rsid w:val="002720F9"/>
    <w:rsid w:val="00272CAB"/>
    <w:rsid w:val="00272E75"/>
    <w:rsid w:val="00273906"/>
    <w:rsid w:val="00273A11"/>
    <w:rsid w:val="00273B89"/>
    <w:rsid w:val="00273C5E"/>
    <w:rsid w:val="00273D8E"/>
    <w:rsid w:val="00274038"/>
    <w:rsid w:val="00274525"/>
    <w:rsid w:val="00274D29"/>
    <w:rsid w:val="00275A90"/>
    <w:rsid w:val="00275D0F"/>
    <w:rsid w:val="00275F6B"/>
    <w:rsid w:val="002760CB"/>
    <w:rsid w:val="00276405"/>
    <w:rsid w:val="00276F61"/>
    <w:rsid w:val="00277300"/>
    <w:rsid w:val="00277649"/>
    <w:rsid w:val="00277B0E"/>
    <w:rsid w:val="00277DFB"/>
    <w:rsid w:val="002816A3"/>
    <w:rsid w:val="00282129"/>
    <w:rsid w:val="00282729"/>
    <w:rsid w:val="0028277F"/>
    <w:rsid w:val="00282BAF"/>
    <w:rsid w:val="00282C34"/>
    <w:rsid w:val="00283614"/>
    <w:rsid w:val="00283B18"/>
    <w:rsid w:val="00283B40"/>
    <w:rsid w:val="00283C42"/>
    <w:rsid w:val="00284264"/>
    <w:rsid w:val="002858DB"/>
    <w:rsid w:val="00285D41"/>
    <w:rsid w:val="00285E49"/>
    <w:rsid w:val="00286513"/>
    <w:rsid w:val="00286F0F"/>
    <w:rsid w:val="0028736E"/>
    <w:rsid w:val="0028762B"/>
    <w:rsid w:val="00287C3E"/>
    <w:rsid w:val="002900F3"/>
    <w:rsid w:val="00290296"/>
    <w:rsid w:val="00291C04"/>
    <w:rsid w:val="00291CB4"/>
    <w:rsid w:val="00291E63"/>
    <w:rsid w:val="00291FE4"/>
    <w:rsid w:val="00292239"/>
    <w:rsid w:val="0029255F"/>
    <w:rsid w:val="0029280E"/>
    <w:rsid w:val="00294D6D"/>
    <w:rsid w:val="00295F72"/>
    <w:rsid w:val="0029601B"/>
    <w:rsid w:val="002968AE"/>
    <w:rsid w:val="00296CDE"/>
    <w:rsid w:val="00296F9C"/>
    <w:rsid w:val="002970A3"/>
    <w:rsid w:val="00297A89"/>
    <w:rsid w:val="00297BE6"/>
    <w:rsid w:val="00297FD2"/>
    <w:rsid w:val="002A0280"/>
    <w:rsid w:val="002A041D"/>
    <w:rsid w:val="002A1512"/>
    <w:rsid w:val="002A19C5"/>
    <w:rsid w:val="002A2B95"/>
    <w:rsid w:val="002A2E25"/>
    <w:rsid w:val="002A36CB"/>
    <w:rsid w:val="002A427F"/>
    <w:rsid w:val="002A4456"/>
    <w:rsid w:val="002A455B"/>
    <w:rsid w:val="002A4BD8"/>
    <w:rsid w:val="002A5031"/>
    <w:rsid w:val="002A609E"/>
    <w:rsid w:val="002A6500"/>
    <w:rsid w:val="002A65BF"/>
    <w:rsid w:val="002A66AF"/>
    <w:rsid w:val="002A6840"/>
    <w:rsid w:val="002A6900"/>
    <w:rsid w:val="002A7CFA"/>
    <w:rsid w:val="002A7D23"/>
    <w:rsid w:val="002B0227"/>
    <w:rsid w:val="002B0839"/>
    <w:rsid w:val="002B0A0A"/>
    <w:rsid w:val="002B0BBB"/>
    <w:rsid w:val="002B0BF4"/>
    <w:rsid w:val="002B169D"/>
    <w:rsid w:val="002B1797"/>
    <w:rsid w:val="002B1ACF"/>
    <w:rsid w:val="002B27D2"/>
    <w:rsid w:val="002B2C27"/>
    <w:rsid w:val="002B2E8A"/>
    <w:rsid w:val="002B359D"/>
    <w:rsid w:val="002B3DF5"/>
    <w:rsid w:val="002B3E7D"/>
    <w:rsid w:val="002B4575"/>
    <w:rsid w:val="002B4AF8"/>
    <w:rsid w:val="002B4D7A"/>
    <w:rsid w:val="002B5739"/>
    <w:rsid w:val="002B592A"/>
    <w:rsid w:val="002B5BC1"/>
    <w:rsid w:val="002B62E6"/>
    <w:rsid w:val="002B6630"/>
    <w:rsid w:val="002B7444"/>
    <w:rsid w:val="002B74EC"/>
    <w:rsid w:val="002B763D"/>
    <w:rsid w:val="002B7890"/>
    <w:rsid w:val="002B789F"/>
    <w:rsid w:val="002B7A04"/>
    <w:rsid w:val="002B7A19"/>
    <w:rsid w:val="002B7B6A"/>
    <w:rsid w:val="002B7C5D"/>
    <w:rsid w:val="002B7FB0"/>
    <w:rsid w:val="002C08D7"/>
    <w:rsid w:val="002C1BE1"/>
    <w:rsid w:val="002C1E17"/>
    <w:rsid w:val="002C2525"/>
    <w:rsid w:val="002C2719"/>
    <w:rsid w:val="002C2B0F"/>
    <w:rsid w:val="002C2B11"/>
    <w:rsid w:val="002C2CFA"/>
    <w:rsid w:val="002C31F5"/>
    <w:rsid w:val="002C3565"/>
    <w:rsid w:val="002C3BE4"/>
    <w:rsid w:val="002C440C"/>
    <w:rsid w:val="002C58F0"/>
    <w:rsid w:val="002C5BF1"/>
    <w:rsid w:val="002C5C7A"/>
    <w:rsid w:val="002C5D2C"/>
    <w:rsid w:val="002C5EE3"/>
    <w:rsid w:val="002C6928"/>
    <w:rsid w:val="002C72CC"/>
    <w:rsid w:val="002C77C4"/>
    <w:rsid w:val="002C7CC0"/>
    <w:rsid w:val="002D000F"/>
    <w:rsid w:val="002D03C1"/>
    <w:rsid w:val="002D03F7"/>
    <w:rsid w:val="002D046B"/>
    <w:rsid w:val="002D06F3"/>
    <w:rsid w:val="002D0D6A"/>
    <w:rsid w:val="002D0E66"/>
    <w:rsid w:val="002D13CB"/>
    <w:rsid w:val="002D1F2E"/>
    <w:rsid w:val="002D23BF"/>
    <w:rsid w:val="002D2544"/>
    <w:rsid w:val="002D260E"/>
    <w:rsid w:val="002D2AF5"/>
    <w:rsid w:val="002D34F9"/>
    <w:rsid w:val="002D3762"/>
    <w:rsid w:val="002D3903"/>
    <w:rsid w:val="002D3937"/>
    <w:rsid w:val="002D3975"/>
    <w:rsid w:val="002D3D6C"/>
    <w:rsid w:val="002D4021"/>
    <w:rsid w:val="002D4198"/>
    <w:rsid w:val="002D4377"/>
    <w:rsid w:val="002D439A"/>
    <w:rsid w:val="002D4783"/>
    <w:rsid w:val="002D49F7"/>
    <w:rsid w:val="002D4A62"/>
    <w:rsid w:val="002D5248"/>
    <w:rsid w:val="002D618B"/>
    <w:rsid w:val="002D640C"/>
    <w:rsid w:val="002D6A15"/>
    <w:rsid w:val="002D6DB7"/>
    <w:rsid w:val="002D6EF4"/>
    <w:rsid w:val="002D6F99"/>
    <w:rsid w:val="002D746B"/>
    <w:rsid w:val="002D7B5E"/>
    <w:rsid w:val="002D7F30"/>
    <w:rsid w:val="002E09F9"/>
    <w:rsid w:val="002E1054"/>
    <w:rsid w:val="002E1A34"/>
    <w:rsid w:val="002E23AD"/>
    <w:rsid w:val="002E2914"/>
    <w:rsid w:val="002E2991"/>
    <w:rsid w:val="002E323C"/>
    <w:rsid w:val="002E38C9"/>
    <w:rsid w:val="002E392B"/>
    <w:rsid w:val="002E4282"/>
    <w:rsid w:val="002E4BC4"/>
    <w:rsid w:val="002E4ECD"/>
    <w:rsid w:val="002E5090"/>
    <w:rsid w:val="002E596A"/>
    <w:rsid w:val="002E5B58"/>
    <w:rsid w:val="002E67AC"/>
    <w:rsid w:val="002E6F8E"/>
    <w:rsid w:val="002E78AE"/>
    <w:rsid w:val="002E7D71"/>
    <w:rsid w:val="002E7DD3"/>
    <w:rsid w:val="002F05D9"/>
    <w:rsid w:val="002F076E"/>
    <w:rsid w:val="002F0A48"/>
    <w:rsid w:val="002F0DD4"/>
    <w:rsid w:val="002F122E"/>
    <w:rsid w:val="002F126D"/>
    <w:rsid w:val="002F1314"/>
    <w:rsid w:val="002F15A4"/>
    <w:rsid w:val="002F1651"/>
    <w:rsid w:val="002F1973"/>
    <w:rsid w:val="002F1BA6"/>
    <w:rsid w:val="002F1D3E"/>
    <w:rsid w:val="002F1F54"/>
    <w:rsid w:val="002F3040"/>
    <w:rsid w:val="002F3330"/>
    <w:rsid w:val="002F35C8"/>
    <w:rsid w:val="002F37AD"/>
    <w:rsid w:val="002F391C"/>
    <w:rsid w:val="002F4105"/>
    <w:rsid w:val="002F47B6"/>
    <w:rsid w:val="002F47DF"/>
    <w:rsid w:val="002F5037"/>
    <w:rsid w:val="002F525F"/>
    <w:rsid w:val="002F57FF"/>
    <w:rsid w:val="002F595C"/>
    <w:rsid w:val="002F5BBA"/>
    <w:rsid w:val="002F65B6"/>
    <w:rsid w:val="002F6AFC"/>
    <w:rsid w:val="002F7848"/>
    <w:rsid w:val="002F7F60"/>
    <w:rsid w:val="0030021C"/>
    <w:rsid w:val="00300839"/>
    <w:rsid w:val="003009D1"/>
    <w:rsid w:val="00300D54"/>
    <w:rsid w:val="00300F54"/>
    <w:rsid w:val="00301186"/>
    <w:rsid w:val="003020E2"/>
    <w:rsid w:val="00302B73"/>
    <w:rsid w:val="00303126"/>
    <w:rsid w:val="00303187"/>
    <w:rsid w:val="003034C5"/>
    <w:rsid w:val="00303A22"/>
    <w:rsid w:val="00303A8C"/>
    <w:rsid w:val="00303B16"/>
    <w:rsid w:val="00304106"/>
    <w:rsid w:val="00306435"/>
    <w:rsid w:val="0030666C"/>
    <w:rsid w:val="003067A9"/>
    <w:rsid w:val="003068FD"/>
    <w:rsid w:val="00306A22"/>
    <w:rsid w:val="00306FAF"/>
    <w:rsid w:val="003071FB"/>
    <w:rsid w:val="0030775B"/>
    <w:rsid w:val="00307B64"/>
    <w:rsid w:val="00307C34"/>
    <w:rsid w:val="00307FA9"/>
    <w:rsid w:val="003103C1"/>
    <w:rsid w:val="003109E7"/>
    <w:rsid w:val="00310F7B"/>
    <w:rsid w:val="00311744"/>
    <w:rsid w:val="00311AD2"/>
    <w:rsid w:val="00311CF1"/>
    <w:rsid w:val="00313BE3"/>
    <w:rsid w:val="00313ECA"/>
    <w:rsid w:val="00313F8E"/>
    <w:rsid w:val="00314098"/>
    <w:rsid w:val="0031421F"/>
    <w:rsid w:val="003142DA"/>
    <w:rsid w:val="0031454D"/>
    <w:rsid w:val="00314713"/>
    <w:rsid w:val="00314C06"/>
    <w:rsid w:val="00314F79"/>
    <w:rsid w:val="00315DFC"/>
    <w:rsid w:val="00315E53"/>
    <w:rsid w:val="003161CD"/>
    <w:rsid w:val="00316310"/>
    <w:rsid w:val="003164AE"/>
    <w:rsid w:val="0031667D"/>
    <w:rsid w:val="003170CD"/>
    <w:rsid w:val="003174AA"/>
    <w:rsid w:val="00317662"/>
    <w:rsid w:val="00317B21"/>
    <w:rsid w:val="0032054D"/>
    <w:rsid w:val="003208EE"/>
    <w:rsid w:val="00320950"/>
    <w:rsid w:val="00320D8E"/>
    <w:rsid w:val="003212A7"/>
    <w:rsid w:val="003212CC"/>
    <w:rsid w:val="00321317"/>
    <w:rsid w:val="003217ED"/>
    <w:rsid w:val="00321862"/>
    <w:rsid w:val="00321C39"/>
    <w:rsid w:val="00322803"/>
    <w:rsid w:val="00322B76"/>
    <w:rsid w:val="00322D63"/>
    <w:rsid w:val="003231E4"/>
    <w:rsid w:val="003235F8"/>
    <w:rsid w:val="00323659"/>
    <w:rsid w:val="00323EA3"/>
    <w:rsid w:val="0032475C"/>
    <w:rsid w:val="00324CFB"/>
    <w:rsid w:val="00325415"/>
    <w:rsid w:val="00325C9C"/>
    <w:rsid w:val="00326A2B"/>
    <w:rsid w:val="00326A5B"/>
    <w:rsid w:val="00326FD1"/>
    <w:rsid w:val="003270BC"/>
    <w:rsid w:val="00327765"/>
    <w:rsid w:val="00327AE6"/>
    <w:rsid w:val="00327D01"/>
    <w:rsid w:val="003301E4"/>
    <w:rsid w:val="0033042D"/>
    <w:rsid w:val="003306DE"/>
    <w:rsid w:val="00331428"/>
    <w:rsid w:val="0033198E"/>
    <w:rsid w:val="003320A3"/>
    <w:rsid w:val="0033283D"/>
    <w:rsid w:val="00332C91"/>
    <w:rsid w:val="00332FCC"/>
    <w:rsid w:val="003336EB"/>
    <w:rsid w:val="003339CE"/>
    <w:rsid w:val="0033401D"/>
    <w:rsid w:val="00334462"/>
    <w:rsid w:val="00334AA4"/>
    <w:rsid w:val="00334E55"/>
    <w:rsid w:val="0033502C"/>
    <w:rsid w:val="00335140"/>
    <w:rsid w:val="00335B74"/>
    <w:rsid w:val="00336296"/>
    <w:rsid w:val="003366C8"/>
    <w:rsid w:val="00337744"/>
    <w:rsid w:val="003405A6"/>
    <w:rsid w:val="003409D1"/>
    <w:rsid w:val="00340F3E"/>
    <w:rsid w:val="00341104"/>
    <w:rsid w:val="00341196"/>
    <w:rsid w:val="00342E7B"/>
    <w:rsid w:val="00343B3F"/>
    <w:rsid w:val="003441B2"/>
    <w:rsid w:val="003449C7"/>
    <w:rsid w:val="00344C34"/>
    <w:rsid w:val="00345213"/>
    <w:rsid w:val="00345340"/>
    <w:rsid w:val="00345D9C"/>
    <w:rsid w:val="00345F78"/>
    <w:rsid w:val="003462A2"/>
    <w:rsid w:val="00346593"/>
    <w:rsid w:val="00346641"/>
    <w:rsid w:val="00346C8E"/>
    <w:rsid w:val="00346CDD"/>
    <w:rsid w:val="00347151"/>
    <w:rsid w:val="003471AE"/>
    <w:rsid w:val="0034720A"/>
    <w:rsid w:val="00347567"/>
    <w:rsid w:val="00347764"/>
    <w:rsid w:val="0034793A"/>
    <w:rsid w:val="00347A2C"/>
    <w:rsid w:val="00347AAE"/>
    <w:rsid w:val="003508E5"/>
    <w:rsid w:val="00351882"/>
    <w:rsid w:val="0035212B"/>
    <w:rsid w:val="003522D3"/>
    <w:rsid w:val="003536E6"/>
    <w:rsid w:val="0035370B"/>
    <w:rsid w:val="00354267"/>
    <w:rsid w:val="003546A8"/>
    <w:rsid w:val="003548EE"/>
    <w:rsid w:val="00354F34"/>
    <w:rsid w:val="0035595B"/>
    <w:rsid w:val="00355ACF"/>
    <w:rsid w:val="00355AF6"/>
    <w:rsid w:val="00356A9B"/>
    <w:rsid w:val="00357079"/>
    <w:rsid w:val="00357FEB"/>
    <w:rsid w:val="00360913"/>
    <w:rsid w:val="00360F6B"/>
    <w:rsid w:val="0036116B"/>
    <w:rsid w:val="0036137D"/>
    <w:rsid w:val="00361917"/>
    <w:rsid w:val="0036225B"/>
    <w:rsid w:val="00362562"/>
    <w:rsid w:val="00362EAF"/>
    <w:rsid w:val="00363093"/>
    <w:rsid w:val="0036321E"/>
    <w:rsid w:val="0036381E"/>
    <w:rsid w:val="003639B9"/>
    <w:rsid w:val="00363D48"/>
    <w:rsid w:val="003641BF"/>
    <w:rsid w:val="0036435F"/>
    <w:rsid w:val="003646E9"/>
    <w:rsid w:val="00364C82"/>
    <w:rsid w:val="00364DD8"/>
    <w:rsid w:val="00365274"/>
    <w:rsid w:val="00366190"/>
    <w:rsid w:val="0036660C"/>
    <w:rsid w:val="003666FC"/>
    <w:rsid w:val="00366DAE"/>
    <w:rsid w:val="003709D4"/>
    <w:rsid w:val="00371070"/>
    <w:rsid w:val="003711BD"/>
    <w:rsid w:val="00371D17"/>
    <w:rsid w:val="00371FB3"/>
    <w:rsid w:val="003722DD"/>
    <w:rsid w:val="003730EB"/>
    <w:rsid w:val="003738DA"/>
    <w:rsid w:val="0037408F"/>
    <w:rsid w:val="0037422E"/>
    <w:rsid w:val="00374347"/>
    <w:rsid w:val="00374351"/>
    <w:rsid w:val="00374EA3"/>
    <w:rsid w:val="0037519D"/>
    <w:rsid w:val="00375984"/>
    <w:rsid w:val="003764B0"/>
    <w:rsid w:val="003767A8"/>
    <w:rsid w:val="00376FF2"/>
    <w:rsid w:val="00377543"/>
    <w:rsid w:val="003800FF"/>
    <w:rsid w:val="00380DB9"/>
    <w:rsid w:val="00381007"/>
    <w:rsid w:val="00381D09"/>
    <w:rsid w:val="00381D15"/>
    <w:rsid w:val="00381E7F"/>
    <w:rsid w:val="00382632"/>
    <w:rsid w:val="00382B18"/>
    <w:rsid w:val="00382CE6"/>
    <w:rsid w:val="0038356A"/>
    <w:rsid w:val="003839F9"/>
    <w:rsid w:val="00383FDD"/>
    <w:rsid w:val="003844E2"/>
    <w:rsid w:val="003846E7"/>
    <w:rsid w:val="00384802"/>
    <w:rsid w:val="00384A48"/>
    <w:rsid w:val="00384FBA"/>
    <w:rsid w:val="00385218"/>
    <w:rsid w:val="00386403"/>
    <w:rsid w:val="003864ED"/>
    <w:rsid w:val="00386A52"/>
    <w:rsid w:val="00386BEA"/>
    <w:rsid w:val="0038701F"/>
    <w:rsid w:val="00387406"/>
    <w:rsid w:val="00390202"/>
    <w:rsid w:val="0039034E"/>
    <w:rsid w:val="0039119E"/>
    <w:rsid w:val="00391638"/>
    <w:rsid w:val="00391643"/>
    <w:rsid w:val="00391696"/>
    <w:rsid w:val="0039173F"/>
    <w:rsid w:val="0039244D"/>
    <w:rsid w:val="00392AF2"/>
    <w:rsid w:val="00392FC8"/>
    <w:rsid w:val="00393B82"/>
    <w:rsid w:val="00393EB3"/>
    <w:rsid w:val="00394CA4"/>
    <w:rsid w:val="003950F3"/>
    <w:rsid w:val="003957C6"/>
    <w:rsid w:val="0039609D"/>
    <w:rsid w:val="00396A36"/>
    <w:rsid w:val="00396CB2"/>
    <w:rsid w:val="0039735C"/>
    <w:rsid w:val="003974F0"/>
    <w:rsid w:val="00397F0B"/>
    <w:rsid w:val="003A0215"/>
    <w:rsid w:val="003A0534"/>
    <w:rsid w:val="003A08A2"/>
    <w:rsid w:val="003A08E7"/>
    <w:rsid w:val="003A11C3"/>
    <w:rsid w:val="003A187C"/>
    <w:rsid w:val="003A2033"/>
    <w:rsid w:val="003A2309"/>
    <w:rsid w:val="003A3A20"/>
    <w:rsid w:val="003A3FB6"/>
    <w:rsid w:val="003A4D0D"/>
    <w:rsid w:val="003A6386"/>
    <w:rsid w:val="003A649B"/>
    <w:rsid w:val="003A6765"/>
    <w:rsid w:val="003A69F5"/>
    <w:rsid w:val="003A6EFB"/>
    <w:rsid w:val="003B03AE"/>
    <w:rsid w:val="003B049B"/>
    <w:rsid w:val="003B096A"/>
    <w:rsid w:val="003B0BE7"/>
    <w:rsid w:val="003B0CD9"/>
    <w:rsid w:val="003B15C9"/>
    <w:rsid w:val="003B1DD4"/>
    <w:rsid w:val="003B21B0"/>
    <w:rsid w:val="003B2425"/>
    <w:rsid w:val="003B28A0"/>
    <w:rsid w:val="003B299E"/>
    <w:rsid w:val="003B2C5F"/>
    <w:rsid w:val="003B2C82"/>
    <w:rsid w:val="003B3AB5"/>
    <w:rsid w:val="003B3D7E"/>
    <w:rsid w:val="003B43AB"/>
    <w:rsid w:val="003B4A9C"/>
    <w:rsid w:val="003B4FD7"/>
    <w:rsid w:val="003B501F"/>
    <w:rsid w:val="003B51D1"/>
    <w:rsid w:val="003B57B0"/>
    <w:rsid w:val="003B68D0"/>
    <w:rsid w:val="003B6A6C"/>
    <w:rsid w:val="003B71CA"/>
    <w:rsid w:val="003B7578"/>
    <w:rsid w:val="003C015D"/>
    <w:rsid w:val="003C0241"/>
    <w:rsid w:val="003C1718"/>
    <w:rsid w:val="003C191A"/>
    <w:rsid w:val="003C1D65"/>
    <w:rsid w:val="003C22CA"/>
    <w:rsid w:val="003C241A"/>
    <w:rsid w:val="003C2468"/>
    <w:rsid w:val="003C2E87"/>
    <w:rsid w:val="003C36C9"/>
    <w:rsid w:val="003C3CC5"/>
    <w:rsid w:val="003C3E11"/>
    <w:rsid w:val="003C4DCF"/>
    <w:rsid w:val="003C5D82"/>
    <w:rsid w:val="003C60E3"/>
    <w:rsid w:val="003C617F"/>
    <w:rsid w:val="003C6582"/>
    <w:rsid w:val="003C67B5"/>
    <w:rsid w:val="003C6961"/>
    <w:rsid w:val="003C6DDF"/>
    <w:rsid w:val="003C758D"/>
    <w:rsid w:val="003C7A5E"/>
    <w:rsid w:val="003C7C7A"/>
    <w:rsid w:val="003C7ECD"/>
    <w:rsid w:val="003D018A"/>
    <w:rsid w:val="003D0457"/>
    <w:rsid w:val="003D0AD5"/>
    <w:rsid w:val="003D1CD9"/>
    <w:rsid w:val="003D2C95"/>
    <w:rsid w:val="003D2F72"/>
    <w:rsid w:val="003D3247"/>
    <w:rsid w:val="003D3B0E"/>
    <w:rsid w:val="003D3B43"/>
    <w:rsid w:val="003D41B1"/>
    <w:rsid w:val="003D4F5F"/>
    <w:rsid w:val="003D523C"/>
    <w:rsid w:val="003D5D4E"/>
    <w:rsid w:val="003D60C9"/>
    <w:rsid w:val="003D6A4C"/>
    <w:rsid w:val="003D6F49"/>
    <w:rsid w:val="003D78F6"/>
    <w:rsid w:val="003D7A40"/>
    <w:rsid w:val="003E02C5"/>
    <w:rsid w:val="003E0544"/>
    <w:rsid w:val="003E074E"/>
    <w:rsid w:val="003E10E1"/>
    <w:rsid w:val="003E12D3"/>
    <w:rsid w:val="003E13D6"/>
    <w:rsid w:val="003E1847"/>
    <w:rsid w:val="003E1C49"/>
    <w:rsid w:val="003E2B92"/>
    <w:rsid w:val="003E2C8D"/>
    <w:rsid w:val="003E3097"/>
    <w:rsid w:val="003E30C0"/>
    <w:rsid w:val="003E33BA"/>
    <w:rsid w:val="003E4E21"/>
    <w:rsid w:val="003E4E9C"/>
    <w:rsid w:val="003E512A"/>
    <w:rsid w:val="003E59B3"/>
    <w:rsid w:val="003E654F"/>
    <w:rsid w:val="003E65FF"/>
    <w:rsid w:val="003E753B"/>
    <w:rsid w:val="003E7672"/>
    <w:rsid w:val="003E7939"/>
    <w:rsid w:val="003F042C"/>
    <w:rsid w:val="003F04B1"/>
    <w:rsid w:val="003F0883"/>
    <w:rsid w:val="003F0B01"/>
    <w:rsid w:val="003F1054"/>
    <w:rsid w:val="003F1391"/>
    <w:rsid w:val="003F14EC"/>
    <w:rsid w:val="003F17D8"/>
    <w:rsid w:val="003F1868"/>
    <w:rsid w:val="003F2185"/>
    <w:rsid w:val="003F27F7"/>
    <w:rsid w:val="003F2DDE"/>
    <w:rsid w:val="003F2FBD"/>
    <w:rsid w:val="003F304B"/>
    <w:rsid w:val="003F3473"/>
    <w:rsid w:val="003F4077"/>
    <w:rsid w:val="003F4681"/>
    <w:rsid w:val="003F4E8C"/>
    <w:rsid w:val="003F5194"/>
    <w:rsid w:val="003F5D57"/>
    <w:rsid w:val="003F60F7"/>
    <w:rsid w:val="003F61D7"/>
    <w:rsid w:val="003F68F5"/>
    <w:rsid w:val="003F6AD2"/>
    <w:rsid w:val="003F7D47"/>
    <w:rsid w:val="003F7F13"/>
    <w:rsid w:val="0040022D"/>
    <w:rsid w:val="004002BF"/>
    <w:rsid w:val="00400674"/>
    <w:rsid w:val="00400CE2"/>
    <w:rsid w:val="00401048"/>
    <w:rsid w:val="00401C93"/>
    <w:rsid w:val="004020B7"/>
    <w:rsid w:val="0040228E"/>
    <w:rsid w:val="00403383"/>
    <w:rsid w:val="004034C6"/>
    <w:rsid w:val="004039F3"/>
    <w:rsid w:val="00403ED6"/>
    <w:rsid w:val="004047BB"/>
    <w:rsid w:val="004048ED"/>
    <w:rsid w:val="004049D9"/>
    <w:rsid w:val="00404CF2"/>
    <w:rsid w:val="00405065"/>
    <w:rsid w:val="0040576A"/>
    <w:rsid w:val="00406269"/>
    <w:rsid w:val="00406449"/>
    <w:rsid w:val="004064F7"/>
    <w:rsid w:val="00406C5A"/>
    <w:rsid w:val="00406F1A"/>
    <w:rsid w:val="00407270"/>
    <w:rsid w:val="00407D4B"/>
    <w:rsid w:val="00407D9C"/>
    <w:rsid w:val="0041030C"/>
    <w:rsid w:val="0041087D"/>
    <w:rsid w:val="004108AE"/>
    <w:rsid w:val="004113E4"/>
    <w:rsid w:val="004115E1"/>
    <w:rsid w:val="00411E11"/>
    <w:rsid w:val="00412416"/>
    <w:rsid w:val="00412786"/>
    <w:rsid w:val="00412EE9"/>
    <w:rsid w:val="00413516"/>
    <w:rsid w:val="0041382E"/>
    <w:rsid w:val="0041389C"/>
    <w:rsid w:val="00413B73"/>
    <w:rsid w:val="0041463E"/>
    <w:rsid w:val="00414AEB"/>
    <w:rsid w:val="00415243"/>
    <w:rsid w:val="00415784"/>
    <w:rsid w:val="00415818"/>
    <w:rsid w:val="00415985"/>
    <w:rsid w:val="00417035"/>
    <w:rsid w:val="004173D9"/>
    <w:rsid w:val="0041775E"/>
    <w:rsid w:val="00417ACB"/>
    <w:rsid w:val="00417B16"/>
    <w:rsid w:val="00417BCF"/>
    <w:rsid w:val="00421178"/>
    <w:rsid w:val="0042133D"/>
    <w:rsid w:val="0042190B"/>
    <w:rsid w:val="00422FBC"/>
    <w:rsid w:val="0042358D"/>
    <w:rsid w:val="00424075"/>
    <w:rsid w:val="00424652"/>
    <w:rsid w:val="00424725"/>
    <w:rsid w:val="004249BC"/>
    <w:rsid w:val="00425118"/>
    <w:rsid w:val="00425C0D"/>
    <w:rsid w:val="00425F10"/>
    <w:rsid w:val="00426978"/>
    <w:rsid w:val="004269A7"/>
    <w:rsid w:val="00426B61"/>
    <w:rsid w:val="00426CC9"/>
    <w:rsid w:val="00426E27"/>
    <w:rsid w:val="00430381"/>
    <w:rsid w:val="004309EC"/>
    <w:rsid w:val="0043143F"/>
    <w:rsid w:val="004315BA"/>
    <w:rsid w:val="004316E0"/>
    <w:rsid w:val="00431785"/>
    <w:rsid w:val="004325A2"/>
    <w:rsid w:val="004325AE"/>
    <w:rsid w:val="00432D23"/>
    <w:rsid w:val="00432DA4"/>
    <w:rsid w:val="00433105"/>
    <w:rsid w:val="0043314A"/>
    <w:rsid w:val="00433294"/>
    <w:rsid w:val="004336E5"/>
    <w:rsid w:val="0043383A"/>
    <w:rsid w:val="00433CD9"/>
    <w:rsid w:val="00433FA4"/>
    <w:rsid w:val="00433FC0"/>
    <w:rsid w:val="00434537"/>
    <w:rsid w:val="0043455F"/>
    <w:rsid w:val="004352AB"/>
    <w:rsid w:val="004358FD"/>
    <w:rsid w:val="00435919"/>
    <w:rsid w:val="00435C91"/>
    <w:rsid w:val="004364F5"/>
    <w:rsid w:val="00436855"/>
    <w:rsid w:val="00436932"/>
    <w:rsid w:val="00437535"/>
    <w:rsid w:val="00437FF9"/>
    <w:rsid w:val="00440A01"/>
    <w:rsid w:val="00440D1B"/>
    <w:rsid w:val="00440DF2"/>
    <w:rsid w:val="004417F2"/>
    <w:rsid w:val="00441C8E"/>
    <w:rsid w:val="004420D6"/>
    <w:rsid w:val="004422C2"/>
    <w:rsid w:val="0044256D"/>
    <w:rsid w:val="00442585"/>
    <w:rsid w:val="004425F8"/>
    <w:rsid w:val="00442A1D"/>
    <w:rsid w:val="00443017"/>
    <w:rsid w:val="00443BB5"/>
    <w:rsid w:val="00443FCB"/>
    <w:rsid w:val="0044464D"/>
    <w:rsid w:val="004446D5"/>
    <w:rsid w:val="00444741"/>
    <w:rsid w:val="00444841"/>
    <w:rsid w:val="00444F11"/>
    <w:rsid w:val="00444F96"/>
    <w:rsid w:val="00444FF5"/>
    <w:rsid w:val="0044589E"/>
    <w:rsid w:val="00445BD5"/>
    <w:rsid w:val="00445D08"/>
    <w:rsid w:val="00446751"/>
    <w:rsid w:val="0044693C"/>
    <w:rsid w:val="004469E0"/>
    <w:rsid w:val="00446BD1"/>
    <w:rsid w:val="00446EA0"/>
    <w:rsid w:val="00447161"/>
    <w:rsid w:val="00447426"/>
    <w:rsid w:val="00450B71"/>
    <w:rsid w:val="00450D72"/>
    <w:rsid w:val="00451408"/>
    <w:rsid w:val="00451D4D"/>
    <w:rsid w:val="00451E6E"/>
    <w:rsid w:val="00452532"/>
    <w:rsid w:val="00452ABB"/>
    <w:rsid w:val="00452F6C"/>
    <w:rsid w:val="0045363F"/>
    <w:rsid w:val="0045397B"/>
    <w:rsid w:val="00453A6B"/>
    <w:rsid w:val="004540A4"/>
    <w:rsid w:val="0045458C"/>
    <w:rsid w:val="004546B5"/>
    <w:rsid w:val="004549EB"/>
    <w:rsid w:val="00455179"/>
    <w:rsid w:val="004556CA"/>
    <w:rsid w:val="004568FC"/>
    <w:rsid w:val="004579E7"/>
    <w:rsid w:val="00457C1D"/>
    <w:rsid w:val="00461338"/>
    <w:rsid w:val="004615E7"/>
    <w:rsid w:val="004616CC"/>
    <w:rsid w:val="00461B1B"/>
    <w:rsid w:val="00461ED8"/>
    <w:rsid w:val="00462556"/>
    <w:rsid w:val="004626ED"/>
    <w:rsid w:val="00462BA1"/>
    <w:rsid w:val="00462D6E"/>
    <w:rsid w:val="0046310A"/>
    <w:rsid w:val="00463622"/>
    <w:rsid w:val="00463DBD"/>
    <w:rsid w:val="00464D4B"/>
    <w:rsid w:val="00465178"/>
    <w:rsid w:val="00465482"/>
    <w:rsid w:val="00465669"/>
    <w:rsid w:val="004656D0"/>
    <w:rsid w:val="00465884"/>
    <w:rsid w:val="00465E6A"/>
    <w:rsid w:val="00465EA5"/>
    <w:rsid w:val="00466658"/>
    <w:rsid w:val="00467857"/>
    <w:rsid w:val="00467AA0"/>
    <w:rsid w:val="0047002A"/>
    <w:rsid w:val="004703B4"/>
    <w:rsid w:val="00470A21"/>
    <w:rsid w:val="00470D6B"/>
    <w:rsid w:val="00471016"/>
    <w:rsid w:val="00471891"/>
    <w:rsid w:val="0047193A"/>
    <w:rsid w:val="00471CDE"/>
    <w:rsid w:val="00471DC1"/>
    <w:rsid w:val="00471E1C"/>
    <w:rsid w:val="00471EE1"/>
    <w:rsid w:val="00472036"/>
    <w:rsid w:val="0047294B"/>
    <w:rsid w:val="00472A4D"/>
    <w:rsid w:val="00472CA1"/>
    <w:rsid w:val="00475081"/>
    <w:rsid w:val="0047543E"/>
    <w:rsid w:val="004759B3"/>
    <w:rsid w:val="00475C76"/>
    <w:rsid w:val="00475C7B"/>
    <w:rsid w:val="00475EF4"/>
    <w:rsid w:val="00476448"/>
    <w:rsid w:val="004767F8"/>
    <w:rsid w:val="00476975"/>
    <w:rsid w:val="00480729"/>
    <w:rsid w:val="00480E92"/>
    <w:rsid w:val="00481CA1"/>
    <w:rsid w:val="004822E1"/>
    <w:rsid w:val="00482899"/>
    <w:rsid w:val="00482962"/>
    <w:rsid w:val="00482B17"/>
    <w:rsid w:val="00482DEB"/>
    <w:rsid w:val="0048318A"/>
    <w:rsid w:val="00483C75"/>
    <w:rsid w:val="00483C8C"/>
    <w:rsid w:val="00483DBA"/>
    <w:rsid w:val="0048427B"/>
    <w:rsid w:val="00484464"/>
    <w:rsid w:val="004849F9"/>
    <w:rsid w:val="00484C97"/>
    <w:rsid w:val="00484CDB"/>
    <w:rsid w:val="004856EE"/>
    <w:rsid w:val="0048598A"/>
    <w:rsid w:val="00485DE5"/>
    <w:rsid w:val="004862AA"/>
    <w:rsid w:val="00486606"/>
    <w:rsid w:val="00486A6F"/>
    <w:rsid w:val="00486C54"/>
    <w:rsid w:val="004871D9"/>
    <w:rsid w:val="00490548"/>
    <w:rsid w:val="0049055E"/>
    <w:rsid w:val="00490D59"/>
    <w:rsid w:val="00490E73"/>
    <w:rsid w:val="00491026"/>
    <w:rsid w:val="004912F7"/>
    <w:rsid w:val="00491417"/>
    <w:rsid w:val="00492A21"/>
    <w:rsid w:val="00492DF5"/>
    <w:rsid w:val="00493100"/>
    <w:rsid w:val="00493441"/>
    <w:rsid w:val="00493ADB"/>
    <w:rsid w:val="00493EBD"/>
    <w:rsid w:val="00494111"/>
    <w:rsid w:val="00494728"/>
    <w:rsid w:val="0049554F"/>
    <w:rsid w:val="00496146"/>
    <w:rsid w:val="00496890"/>
    <w:rsid w:val="00496D4A"/>
    <w:rsid w:val="004A0372"/>
    <w:rsid w:val="004A1CE7"/>
    <w:rsid w:val="004A1E85"/>
    <w:rsid w:val="004A1F5A"/>
    <w:rsid w:val="004A256A"/>
    <w:rsid w:val="004A2643"/>
    <w:rsid w:val="004A28A0"/>
    <w:rsid w:val="004A32EF"/>
    <w:rsid w:val="004A357A"/>
    <w:rsid w:val="004A3A12"/>
    <w:rsid w:val="004A49E8"/>
    <w:rsid w:val="004A4A1E"/>
    <w:rsid w:val="004A4AFE"/>
    <w:rsid w:val="004A4C12"/>
    <w:rsid w:val="004A5452"/>
    <w:rsid w:val="004A5ED8"/>
    <w:rsid w:val="004A6C59"/>
    <w:rsid w:val="004A6DFC"/>
    <w:rsid w:val="004A733C"/>
    <w:rsid w:val="004A7389"/>
    <w:rsid w:val="004B01A6"/>
    <w:rsid w:val="004B0508"/>
    <w:rsid w:val="004B060F"/>
    <w:rsid w:val="004B0FA0"/>
    <w:rsid w:val="004B1044"/>
    <w:rsid w:val="004B1DD3"/>
    <w:rsid w:val="004B1F6A"/>
    <w:rsid w:val="004B1FBE"/>
    <w:rsid w:val="004B26B7"/>
    <w:rsid w:val="004B28BA"/>
    <w:rsid w:val="004B2A4E"/>
    <w:rsid w:val="004B3404"/>
    <w:rsid w:val="004B379B"/>
    <w:rsid w:val="004B39F6"/>
    <w:rsid w:val="004B3A6A"/>
    <w:rsid w:val="004B3A91"/>
    <w:rsid w:val="004B4443"/>
    <w:rsid w:val="004B485A"/>
    <w:rsid w:val="004B5170"/>
    <w:rsid w:val="004B54C1"/>
    <w:rsid w:val="004B5617"/>
    <w:rsid w:val="004B5B3A"/>
    <w:rsid w:val="004B5DEC"/>
    <w:rsid w:val="004B61DD"/>
    <w:rsid w:val="004B696D"/>
    <w:rsid w:val="004B6E5B"/>
    <w:rsid w:val="004B716D"/>
    <w:rsid w:val="004B751F"/>
    <w:rsid w:val="004B7693"/>
    <w:rsid w:val="004B791F"/>
    <w:rsid w:val="004C00DB"/>
    <w:rsid w:val="004C08A9"/>
    <w:rsid w:val="004C08DF"/>
    <w:rsid w:val="004C0E0F"/>
    <w:rsid w:val="004C12D6"/>
    <w:rsid w:val="004C1839"/>
    <w:rsid w:val="004C3011"/>
    <w:rsid w:val="004C31F2"/>
    <w:rsid w:val="004C349A"/>
    <w:rsid w:val="004C374F"/>
    <w:rsid w:val="004C3B9E"/>
    <w:rsid w:val="004C3CEB"/>
    <w:rsid w:val="004C40A7"/>
    <w:rsid w:val="004C473D"/>
    <w:rsid w:val="004C48B2"/>
    <w:rsid w:val="004C49F9"/>
    <w:rsid w:val="004C4AE2"/>
    <w:rsid w:val="004C5089"/>
    <w:rsid w:val="004C536C"/>
    <w:rsid w:val="004C5B17"/>
    <w:rsid w:val="004C5FFA"/>
    <w:rsid w:val="004C62C9"/>
    <w:rsid w:val="004C630E"/>
    <w:rsid w:val="004C6DB1"/>
    <w:rsid w:val="004C7B85"/>
    <w:rsid w:val="004D0188"/>
    <w:rsid w:val="004D0863"/>
    <w:rsid w:val="004D0A23"/>
    <w:rsid w:val="004D0DFB"/>
    <w:rsid w:val="004D1410"/>
    <w:rsid w:val="004D18E5"/>
    <w:rsid w:val="004D1A7B"/>
    <w:rsid w:val="004D1BD1"/>
    <w:rsid w:val="004D2AA8"/>
    <w:rsid w:val="004D2CC8"/>
    <w:rsid w:val="004D354F"/>
    <w:rsid w:val="004D42E9"/>
    <w:rsid w:val="004D42FD"/>
    <w:rsid w:val="004D449D"/>
    <w:rsid w:val="004D49BE"/>
    <w:rsid w:val="004D4A71"/>
    <w:rsid w:val="004D4CE7"/>
    <w:rsid w:val="004D53BA"/>
    <w:rsid w:val="004D61FB"/>
    <w:rsid w:val="004D635E"/>
    <w:rsid w:val="004D6F1F"/>
    <w:rsid w:val="004D7014"/>
    <w:rsid w:val="004D7071"/>
    <w:rsid w:val="004D714C"/>
    <w:rsid w:val="004E0DE5"/>
    <w:rsid w:val="004E145D"/>
    <w:rsid w:val="004E1A19"/>
    <w:rsid w:val="004E2061"/>
    <w:rsid w:val="004E2CFE"/>
    <w:rsid w:val="004E327B"/>
    <w:rsid w:val="004E3BA8"/>
    <w:rsid w:val="004E3FD7"/>
    <w:rsid w:val="004E4285"/>
    <w:rsid w:val="004E46E9"/>
    <w:rsid w:val="004E4ACA"/>
    <w:rsid w:val="004E4BFF"/>
    <w:rsid w:val="004E4EF7"/>
    <w:rsid w:val="004E5385"/>
    <w:rsid w:val="004E5D91"/>
    <w:rsid w:val="004E5E8B"/>
    <w:rsid w:val="004E606B"/>
    <w:rsid w:val="004E6D9E"/>
    <w:rsid w:val="004E6E33"/>
    <w:rsid w:val="004F0243"/>
    <w:rsid w:val="004F05F8"/>
    <w:rsid w:val="004F0761"/>
    <w:rsid w:val="004F0ABF"/>
    <w:rsid w:val="004F0C06"/>
    <w:rsid w:val="004F1C3A"/>
    <w:rsid w:val="004F2122"/>
    <w:rsid w:val="004F28A5"/>
    <w:rsid w:val="004F2959"/>
    <w:rsid w:val="004F2A41"/>
    <w:rsid w:val="004F2AB6"/>
    <w:rsid w:val="004F2D89"/>
    <w:rsid w:val="004F3342"/>
    <w:rsid w:val="004F3529"/>
    <w:rsid w:val="004F377C"/>
    <w:rsid w:val="004F392A"/>
    <w:rsid w:val="004F399B"/>
    <w:rsid w:val="004F3DC9"/>
    <w:rsid w:val="004F4057"/>
    <w:rsid w:val="004F42DE"/>
    <w:rsid w:val="004F47BB"/>
    <w:rsid w:val="004F4FCB"/>
    <w:rsid w:val="004F56DF"/>
    <w:rsid w:val="004F57CD"/>
    <w:rsid w:val="004F584D"/>
    <w:rsid w:val="004F5D84"/>
    <w:rsid w:val="004F5F0A"/>
    <w:rsid w:val="004F688C"/>
    <w:rsid w:val="004F6AB4"/>
    <w:rsid w:val="004F6ED9"/>
    <w:rsid w:val="004F6F75"/>
    <w:rsid w:val="004F7472"/>
    <w:rsid w:val="004F74CD"/>
    <w:rsid w:val="004F7590"/>
    <w:rsid w:val="004F7B47"/>
    <w:rsid w:val="005008CB"/>
    <w:rsid w:val="00500ED0"/>
    <w:rsid w:val="005012D6"/>
    <w:rsid w:val="005019AD"/>
    <w:rsid w:val="00501A57"/>
    <w:rsid w:val="00501E92"/>
    <w:rsid w:val="00502172"/>
    <w:rsid w:val="0050241C"/>
    <w:rsid w:val="00502E60"/>
    <w:rsid w:val="00502FFE"/>
    <w:rsid w:val="0050362F"/>
    <w:rsid w:val="00503DBD"/>
    <w:rsid w:val="005040BE"/>
    <w:rsid w:val="00504517"/>
    <w:rsid w:val="00504B83"/>
    <w:rsid w:val="00505196"/>
    <w:rsid w:val="0050535B"/>
    <w:rsid w:val="00505A7E"/>
    <w:rsid w:val="00505AC4"/>
    <w:rsid w:val="00506267"/>
    <w:rsid w:val="005064AE"/>
    <w:rsid w:val="00506CB8"/>
    <w:rsid w:val="00507387"/>
    <w:rsid w:val="00507E84"/>
    <w:rsid w:val="005106B0"/>
    <w:rsid w:val="005107BB"/>
    <w:rsid w:val="00510C3F"/>
    <w:rsid w:val="00510C5D"/>
    <w:rsid w:val="00510D58"/>
    <w:rsid w:val="005114BC"/>
    <w:rsid w:val="005114FC"/>
    <w:rsid w:val="00511616"/>
    <w:rsid w:val="00511754"/>
    <w:rsid w:val="00511C7F"/>
    <w:rsid w:val="00511E7F"/>
    <w:rsid w:val="00511EA2"/>
    <w:rsid w:val="00511FE4"/>
    <w:rsid w:val="005121A3"/>
    <w:rsid w:val="0051262B"/>
    <w:rsid w:val="00512781"/>
    <w:rsid w:val="00513572"/>
    <w:rsid w:val="00513C19"/>
    <w:rsid w:val="005141EB"/>
    <w:rsid w:val="005142CF"/>
    <w:rsid w:val="00514502"/>
    <w:rsid w:val="00514974"/>
    <w:rsid w:val="00514AA3"/>
    <w:rsid w:val="00514F31"/>
    <w:rsid w:val="00515A5E"/>
    <w:rsid w:val="00516663"/>
    <w:rsid w:val="005169AA"/>
    <w:rsid w:val="00516B0D"/>
    <w:rsid w:val="0051717E"/>
    <w:rsid w:val="005173A7"/>
    <w:rsid w:val="00517982"/>
    <w:rsid w:val="00517B50"/>
    <w:rsid w:val="00517BF6"/>
    <w:rsid w:val="0052018F"/>
    <w:rsid w:val="005207F9"/>
    <w:rsid w:val="00521819"/>
    <w:rsid w:val="00521A65"/>
    <w:rsid w:val="00521A7A"/>
    <w:rsid w:val="00521A88"/>
    <w:rsid w:val="00521B09"/>
    <w:rsid w:val="0052252E"/>
    <w:rsid w:val="005234D6"/>
    <w:rsid w:val="005236A3"/>
    <w:rsid w:val="00523DD8"/>
    <w:rsid w:val="00523E44"/>
    <w:rsid w:val="0052449D"/>
    <w:rsid w:val="005246D2"/>
    <w:rsid w:val="00524929"/>
    <w:rsid w:val="0052524B"/>
    <w:rsid w:val="00525441"/>
    <w:rsid w:val="005259BF"/>
    <w:rsid w:val="00525D7F"/>
    <w:rsid w:val="00525FAC"/>
    <w:rsid w:val="0052602C"/>
    <w:rsid w:val="0052673A"/>
    <w:rsid w:val="00526F8B"/>
    <w:rsid w:val="005275C8"/>
    <w:rsid w:val="00527AA9"/>
    <w:rsid w:val="00527C67"/>
    <w:rsid w:val="00527CDF"/>
    <w:rsid w:val="00531334"/>
    <w:rsid w:val="00531480"/>
    <w:rsid w:val="005315CB"/>
    <w:rsid w:val="005317B9"/>
    <w:rsid w:val="005319A3"/>
    <w:rsid w:val="005319C0"/>
    <w:rsid w:val="0053242F"/>
    <w:rsid w:val="005335B4"/>
    <w:rsid w:val="00533E56"/>
    <w:rsid w:val="00534195"/>
    <w:rsid w:val="00534295"/>
    <w:rsid w:val="005343FA"/>
    <w:rsid w:val="00535002"/>
    <w:rsid w:val="005358C1"/>
    <w:rsid w:val="00535FB1"/>
    <w:rsid w:val="0053619C"/>
    <w:rsid w:val="00536651"/>
    <w:rsid w:val="00536729"/>
    <w:rsid w:val="00536854"/>
    <w:rsid w:val="00536881"/>
    <w:rsid w:val="00536DA1"/>
    <w:rsid w:val="00536FFF"/>
    <w:rsid w:val="00537552"/>
    <w:rsid w:val="005375EB"/>
    <w:rsid w:val="00537E6B"/>
    <w:rsid w:val="0054010D"/>
    <w:rsid w:val="0054038D"/>
    <w:rsid w:val="005404FC"/>
    <w:rsid w:val="00540F56"/>
    <w:rsid w:val="00541033"/>
    <w:rsid w:val="005412D3"/>
    <w:rsid w:val="00541961"/>
    <w:rsid w:val="00542959"/>
    <w:rsid w:val="00542DC7"/>
    <w:rsid w:val="00542EBD"/>
    <w:rsid w:val="005432B3"/>
    <w:rsid w:val="0054391C"/>
    <w:rsid w:val="00543A22"/>
    <w:rsid w:val="005442B9"/>
    <w:rsid w:val="00545016"/>
    <w:rsid w:val="00545455"/>
    <w:rsid w:val="00545768"/>
    <w:rsid w:val="00545ED5"/>
    <w:rsid w:val="00546366"/>
    <w:rsid w:val="005466C7"/>
    <w:rsid w:val="00546775"/>
    <w:rsid w:val="00546E23"/>
    <w:rsid w:val="00547353"/>
    <w:rsid w:val="00547B9C"/>
    <w:rsid w:val="00547C08"/>
    <w:rsid w:val="005506C3"/>
    <w:rsid w:val="00550D4A"/>
    <w:rsid w:val="00550F67"/>
    <w:rsid w:val="00551296"/>
    <w:rsid w:val="005513B0"/>
    <w:rsid w:val="005513B5"/>
    <w:rsid w:val="0055190D"/>
    <w:rsid w:val="00551DD2"/>
    <w:rsid w:val="00551F6E"/>
    <w:rsid w:val="00552315"/>
    <w:rsid w:val="00552E3D"/>
    <w:rsid w:val="0055360E"/>
    <w:rsid w:val="005539B9"/>
    <w:rsid w:val="00553FCE"/>
    <w:rsid w:val="0055484B"/>
    <w:rsid w:val="00554CD5"/>
    <w:rsid w:val="00554D9B"/>
    <w:rsid w:val="00554DF4"/>
    <w:rsid w:val="0055571D"/>
    <w:rsid w:val="0055583C"/>
    <w:rsid w:val="00555A48"/>
    <w:rsid w:val="00555AF8"/>
    <w:rsid w:val="00555B73"/>
    <w:rsid w:val="0055602D"/>
    <w:rsid w:val="00556039"/>
    <w:rsid w:val="00556201"/>
    <w:rsid w:val="00556794"/>
    <w:rsid w:val="005568F1"/>
    <w:rsid w:val="00556A5A"/>
    <w:rsid w:val="00556CD6"/>
    <w:rsid w:val="0055734C"/>
    <w:rsid w:val="00557535"/>
    <w:rsid w:val="0055780D"/>
    <w:rsid w:val="00557DEA"/>
    <w:rsid w:val="0056034A"/>
    <w:rsid w:val="0056053B"/>
    <w:rsid w:val="0056080F"/>
    <w:rsid w:val="00560994"/>
    <w:rsid w:val="00560A1B"/>
    <w:rsid w:val="00560C44"/>
    <w:rsid w:val="00561281"/>
    <w:rsid w:val="005612C0"/>
    <w:rsid w:val="005612DA"/>
    <w:rsid w:val="005614CB"/>
    <w:rsid w:val="00561BFE"/>
    <w:rsid w:val="00561D0A"/>
    <w:rsid w:val="005621A3"/>
    <w:rsid w:val="00562755"/>
    <w:rsid w:val="00563548"/>
    <w:rsid w:val="0056396E"/>
    <w:rsid w:val="00564088"/>
    <w:rsid w:val="005649DE"/>
    <w:rsid w:val="005668A2"/>
    <w:rsid w:val="00566E89"/>
    <w:rsid w:val="00566EAD"/>
    <w:rsid w:val="00566FDF"/>
    <w:rsid w:val="00567061"/>
    <w:rsid w:val="0056748A"/>
    <w:rsid w:val="005677B3"/>
    <w:rsid w:val="005706FC"/>
    <w:rsid w:val="0057109B"/>
    <w:rsid w:val="0057155E"/>
    <w:rsid w:val="00571840"/>
    <w:rsid w:val="00571F5D"/>
    <w:rsid w:val="005720EE"/>
    <w:rsid w:val="005721D5"/>
    <w:rsid w:val="00572251"/>
    <w:rsid w:val="00572982"/>
    <w:rsid w:val="00572B53"/>
    <w:rsid w:val="00572F00"/>
    <w:rsid w:val="00573325"/>
    <w:rsid w:val="005737CA"/>
    <w:rsid w:val="0057386E"/>
    <w:rsid w:val="005739EB"/>
    <w:rsid w:val="00574787"/>
    <w:rsid w:val="00574825"/>
    <w:rsid w:val="0057490B"/>
    <w:rsid w:val="0057500E"/>
    <w:rsid w:val="0057506E"/>
    <w:rsid w:val="00575414"/>
    <w:rsid w:val="00575D73"/>
    <w:rsid w:val="00575EC6"/>
    <w:rsid w:val="00575F39"/>
    <w:rsid w:val="00576010"/>
    <w:rsid w:val="005764EA"/>
    <w:rsid w:val="0057650B"/>
    <w:rsid w:val="005767E0"/>
    <w:rsid w:val="0057770B"/>
    <w:rsid w:val="00577733"/>
    <w:rsid w:val="00580808"/>
    <w:rsid w:val="00581590"/>
    <w:rsid w:val="00581EEA"/>
    <w:rsid w:val="00582746"/>
    <w:rsid w:val="00582C8E"/>
    <w:rsid w:val="005834A0"/>
    <w:rsid w:val="005838CA"/>
    <w:rsid w:val="00583A5B"/>
    <w:rsid w:val="00583B4E"/>
    <w:rsid w:val="0058420F"/>
    <w:rsid w:val="00584247"/>
    <w:rsid w:val="00584C78"/>
    <w:rsid w:val="00584D88"/>
    <w:rsid w:val="00585D0A"/>
    <w:rsid w:val="00586188"/>
    <w:rsid w:val="00586A00"/>
    <w:rsid w:val="00586ADE"/>
    <w:rsid w:val="00586CBA"/>
    <w:rsid w:val="00587081"/>
    <w:rsid w:val="005874E6"/>
    <w:rsid w:val="00587952"/>
    <w:rsid w:val="00587A7F"/>
    <w:rsid w:val="00587A9A"/>
    <w:rsid w:val="00587FA2"/>
    <w:rsid w:val="0059028F"/>
    <w:rsid w:val="00590783"/>
    <w:rsid w:val="00590CD3"/>
    <w:rsid w:val="00590CD5"/>
    <w:rsid w:val="00590E3F"/>
    <w:rsid w:val="00591B1E"/>
    <w:rsid w:val="00592787"/>
    <w:rsid w:val="00592BCC"/>
    <w:rsid w:val="005931F7"/>
    <w:rsid w:val="0059337E"/>
    <w:rsid w:val="00593BCE"/>
    <w:rsid w:val="005941E0"/>
    <w:rsid w:val="005944E3"/>
    <w:rsid w:val="00594BA5"/>
    <w:rsid w:val="00594C00"/>
    <w:rsid w:val="0059500D"/>
    <w:rsid w:val="005950A9"/>
    <w:rsid w:val="0059541D"/>
    <w:rsid w:val="00595656"/>
    <w:rsid w:val="005962B8"/>
    <w:rsid w:val="0059654A"/>
    <w:rsid w:val="00596B8D"/>
    <w:rsid w:val="00596FFA"/>
    <w:rsid w:val="005972AC"/>
    <w:rsid w:val="00597D8A"/>
    <w:rsid w:val="005A0047"/>
    <w:rsid w:val="005A04A7"/>
    <w:rsid w:val="005A04BE"/>
    <w:rsid w:val="005A175D"/>
    <w:rsid w:val="005A1CB4"/>
    <w:rsid w:val="005A1F2E"/>
    <w:rsid w:val="005A2482"/>
    <w:rsid w:val="005A27EB"/>
    <w:rsid w:val="005A3377"/>
    <w:rsid w:val="005A33C7"/>
    <w:rsid w:val="005A3771"/>
    <w:rsid w:val="005A3F7F"/>
    <w:rsid w:val="005A43CA"/>
    <w:rsid w:val="005A4E0B"/>
    <w:rsid w:val="005A526C"/>
    <w:rsid w:val="005A547E"/>
    <w:rsid w:val="005A57BE"/>
    <w:rsid w:val="005A5F24"/>
    <w:rsid w:val="005A6329"/>
    <w:rsid w:val="005A721F"/>
    <w:rsid w:val="005A75E1"/>
    <w:rsid w:val="005A7AD4"/>
    <w:rsid w:val="005A7AF4"/>
    <w:rsid w:val="005A7B6E"/>
    <w:rsid w:val="005A7F5D"/>
    <w:rsid w:val="005B0300"/>
    <w:rsid w:val="005B0DC9"/>
    <w:rsid w:val="005B146D"/>
    <w:rsid w:val="005B1557"/>
    <w:rsid w:val="005B1C23"/>
    <w:rsid w:val="005B1E68"/>
    <w:rsid w:val="005B2F5D"/>
    <w:rsid w:val="005B333F"/>
    <w:rsid w:val="005B3572"/>
    <w:rsid w:val="005B3F0E"/>
    <w:rsid w:val="005B44FB"/>
    <w:rsid w:val="005B4694"/>
    <w:rsid w:val="005B5071"/>
    <w:rsid w:val="005B58F5"/>
    <w:rsid w:val="005B76C1"/>
    <w:rsid w:val="005B7D30"/>
    <w:rsid w:val="005C040C"/>
    <w:rsid w:val="005C08FC"/>
    <w:rsid w:val="005C1D7D"/>
    <w:rsid w:val="005C2242"/>
    <w:rsid w:val="005C235B"/>
    <w:rsid w:val="005C2835"/>
    <w:rsid w:val="005C3976"/>
    <w:rsid w:val="005C39C9"/>
    <w:rsid w:val="005C3CA4"/>
    <w:rsid w:val="005C448D"/>
    <w:rsid w:val="005C4636"/>
    <w:rsid w:val="005C4744"/>
    <w:rsid w:val="005C49A6"/>
    <w:rsid w:val="005C5510"/>
    <w:rsid w:val="005C60BB"/>
    <w:rsid w:val="005C6310"/>
    <w:rsid w:val="005C6A41"/>
    <w:rsid w:val="005C714F"/>
    <w:rsid w:val="005C7163"/>
    <w:rsid w:val="005C71D4"/>
    <w:rsid w:val="005C77E9"/>
    <w:rsid w:val="005C7A9F"/>
    <w:rsid w:val="005C7CB9"/>
    <w:rsid w:val="005C7D4F"/>
    <w:rsid w:val="005C7F45"/>
    <w:rsid w:val="005D1348"/>
    <w:rsid w:val="005D1957"/>
    <w:rsid w:val="005D20A9"/>
    <w:rsid w:val="005D231D"/>
    <w:rsid w:val="005D30C8"/>
    <w:rsid w:val="005D32E0"/>
    <w:rsid w:val="005D3315"/>
    <w:rsid w:val="005D43A4"/>
    <w:rsid w:val="005D52FC"/>
    <w:rsid w:val="005D5A5D"/>
    <w:rsid w:val="005D5AAA"/>
    <w:rsid w:val="005D5DF2"/>
    <w:rsid w:val="005D6093"/>
    <w:rsid w:val="005D66A4"/>
    <w:rsid w:val="005D6756"/>
    <w:rsid w:val="005D680D"/>
    <w:rsid w:val="005D6CD5"/>
    <w:rsid w:val="005D6E92"/>
    <w:rsid w:val="005D702E"/>
    <w:rsid w:val="005D75FC"/>
    <w:rsid w:val="005D7B3C"/>
    <w:rsid w:val="005D7E32"/>
    <w:rsid w:val="005D7EF6"/>
    <w:rsid w:val="005E069B"/>
    <w:rsid w:val="005E101F"/>
    <w:rsid w:val="005E13EE"/>
    <w:rsid w:val="005E1D0F"/>
    <w:rsid w:val="005E2CAC"/>
    <w:rsid w:val="005E2D10"/>
    <w:rsid w:val="005E3577"/>
    <w:rsid w:val="005E374C"/>
    <w:rsid w:val="005E40B2"/>
    <w:rsid w:val="005E412E"/>
    <w:rsid w:val="005E4450"/>
    <w:rsid w:val="005E4810"/>
    <w:rsid w:val="005E5034"/>
    <w:rsid w:val="005E552C"/>
    <w:rsid w:val="005E59AB"/>
    <w:rsid w:val="005E5DDF"/>
    <w:rsid w:val="005E6D25"/>
    <w:rsid w:val="005E78B7"/>
    <w:rsid w:val="005E7C48"/>
    <w:rsid w:val="005E7FCB"/>
    <w:rsid w:val="005F0145"/>
    <w:rsid w:val="005F044A"/>
    <w:rsid w:val="005F0977"/>
    <w:rsid w:val="005F0AA1"/>
    <w:rsid w:val="005F0AF0"/>
    <w:rsid w:val="005F1213"/>
    <w:rsid w:val="005F1242"/>
    <w:rsid w:val="005F1DB7"/>
    <w:rsid w:val="005F230C"/>
    <w:rsid w:val="005F2B93"/>
    <w:rsid w:val="005F2C39"/>
    <w:rsid w:val="005F2D86"/>
    <w:rsid w:val="005F348A"/>
    <w:rsid w:val="005F3BC3"/>
    <w:rsid w:val="005F410F"/>
    <w:rsid w:val="005F4911"/>
    <w:rsid w:val="005F518E"/>
    <w:rsid w:val="005F6D5B"/>
    <w:rsid w:val="005F7369"/>
    <w:rsid w:val="005F74CC"/>
    <w:rsid w:val="005F75AE"/>
    <w:rsid w:val="005F78EC"/>
    <w:rsid w:val="005F7E5C"/>
    <w:rsid w:val="005F7F9C"/>
    <w:rsid w:val="0060019E"/>
    <w:rsid w:val="00600223"/>
    <w:rsid w:val="00600353"/>
    <w:rsid w:val="0060088E"/>
    <w:rsid w:val="0060188B"/>
    <w:rsid w:val="006020F5"/>
    <w:rsid w:val="0060234F"/>
    <w:rsid w:val="006024A2"/>
    <w:rsid w:val="006026DF"/>
    <w:rsid w:val="00602745"/>
    <w:rsid w:val="00603019"/>
    <w:rsid w:val="0060307D"/>
    <w:rsid w:val="006039D5"/>
    <w:rsid w:val="00603C13"/>
    <w:rsid w:val="00603D32"/>
    <w:rsid w:val="00604409"/>
    <w:rsid w:val="0060468E"/>
    <w:rsid w:val="006047D0"/>
    <w:rsid w:val="00604AAB"/>
    <w:rsid w:val="00605547"/>
    <w:rsid w:val="006055C7"/>
    <w:rsid w:val="00605722"/>
    <w:rsid w:val="006058E8"/>
    <w:rsid w:val="006059D2"/>
    <w:rsid w:val="00605DC0"/>
    <w:rsid w:val="00605F88"/>
    <w:rsid w:val="00606214"/>
    <w:rsid w:val="006066C2"/>
    <w:rsid w:val="006066E3"/>
    <w:rsid w:val="00606D0D"/>
    <w:rsid w:val="00610395"/>
    <w:rsid w:val="00610E1B"/>
    <w:rsid w:val="00610ED4"/>
    <w:rsid w:val="0061131A"/>
    <w:rsid w:val="00611C55"/>
    <w:rsid w:val="00611CC3"/>
    <w:rsid w:val="00611F0C"/>
    <w:rsid w:val="00611FC5"/>
    <w:rsid w:val="00612440"/>
    <w:rsid w:val="00612565"/>
    <w:rsid w:val="00612DDC"/>
    <w:rsid w:val="00613252"/>
    <w:rsid w:val="006133B4"/>
    <w:rsid w:val="00613A91"/>
    <w:rsid w:val="00613BE0"/>
    <w:rsid w:val="0061471B"/>
    <w:rsid w:val="00614996"/>
    <w:rsid w:val="00614CB9"/>
    <w:rsid w:val="00614EF0"/>
    <w:rsid w:val="006150C6"/>
    <w:rsid w:val="00615A13"/>
    <w:rsid w:val="00615A54"/>
    <w:rsid w:val="00615AAB"/>
    <w:rsid w:val="00615D7F"/>
    <w:rsid w:val="00616C5F"/>
    <w:rsid w:val="00617BC1"/>
    <w:rsid w:val="00620197"/>
    <w:rsid w:val="00620B15"/>
    <w:rsid w:val="006211A3"/>
    <w:rsid w:val="006212BA"/>
    <w:rsid w:val="00621C21"/>
    <w:rsid w:val="00622CE4"/>
    <w:rsid w:val="006234E3"/>
    <w:rsid w:val="00623BF4"/>
    <w:rsid w:val="00623FBC"/>
    <w:rsid w:val="006242DA"/>
    <w:rsid w:val="00624873"/>
    <w:rsid w:val="006248A8"/>
    <w:rsid w:val="00624C48"/>
    <w:rsid w:val="006252A9"/>
    <w:rsid w:val="0062566D"/>
    <w:rsid w:val="00625EBB"/>
    <w:rsid w:val="00625F8B"/>
    <w:rsid w:val="006264C5"/>
    <w:rsid w:val="00626536"/>
    <w:rsid w:val="0062664A"/>
    <w:rsid w:val="00626968"/>
    <w:rsid w:val="00626BA4"/>
    <w:rsid w:val="00626C16"/>
    <w:rsid w:val="00626CE1"/>
    <w:rsid w:val="00626E22"/>
    <w:rsid w:val="00626EDC"/>
    <w:rsid w:val="00627677"/>
    <w:rsid w:val="0062794F"/>
    <w:rsid w:val="00627B12"/>
    <w:rsid w:val="00627B9C"/>
    <w:rsid w:val="00627E84"/>
    <w:rsid w:val="00630559"/>
    <w:rsid w:val="00630CC4"/>
    <w:rsid w:val="00630DB8"/>
    <w:rsid w:val="00631181"/>
    <w:rsid w:val="0063160B"/>
    <w:rsid w:val="00631853"/>
    <w:rsid w:val="006318A4"/>
    <w:rsid w:val="00631A89"/>
    <w:rsid w:val="00631D9C"/>
    <w:rsid w:val="00632366"/>
    <w:rsid w:val="0063281A"/>
    <w:rsid w:val="00632CA8"/>
    <w:rsid w:val="0063300F"/>
    <w:rsid w:val="00633709"/>
    <w:rsid w:val="006338A9"/>
    <w:rsid w:val="00633B3C"/>
    <w:rsid w:val="00633DBD"/>
    <w:rsid w:val="006346A1"/>
    <w:rsid w:val="00635848"/>
    <w:rsid w:val="00635BE2"/>
    <w:rsid w:val="00635C58"/>
    <w:rsid w:val="00635E0E"/>
    <w:rsid w:val="0063616E"/>
    <w:rsid w:val="00636415"/>
    <w:rsid w:val="00636D98"/>
    <w:rsid w:val="006375F4"/>
    <w:rsid w:val="006378F1"/>
    <w:rsid w:val="00637E22"/>
    <w:rsid w:val="0064046B"/>
    <w:rsid w:val="00640867"/>
    <w:rsid w:val="00640FD7"/>
    <w:rsid w:val="006413D4"/>
    <w:rsid w:val="00641808"/>
    <w:rsid w:val="006424D5"/>
    <w:rsid w:val="006426AB"/>
    <w:rsid w:val="006433F5"/>
    <w:rsid w:val="006435B1"/>
    <w:rsid w:val="00643C1E"/>
    <w:rsid w:val="00644735"/>
    <w:rsid w:val="00644C11"/>
    <w:rsid w:val="00645638"/>
    <w:rsid w:val="00645703"/>
    <w:rsid w:val="00645AC0"/>
    <w:rsid w:val="00645C90"/>
    <w:rsid w:val="0064615C"/>
    <w:rsid w:val="006462B8"/>
    <w:rsid w:val="00647BAF"/>
    <w:rsid w:val="006503FE"/>
    <w:rsid w:val="0065044A"/>
    <w:rsid w:val="006504F6"/>
    <w:rsid w:val="006508AF"/>
    <w:rsid w:val="00650CE0"/>
    <w:rsid w:val="0065113A"/>
    <w:rsid w:val="0065164E"/>
    <w:rsid w:val="00651F93"/>
    <w:rsid w:val="00652683"/>
    <w:rsid w:val="00652A2D"/>
    <w:rsid w:val="0065347C"/>
    <w:rsid w:val="0065387B"/>
    <w:rsid w:val="00653DE8"/>
    <w:rsid w:val="00654289"/>
    <w:rsid w:val="00654602"/>
    <w:rsid w:val="00654A10"/>
    <w:rsid w:val="00654CCF"/>
    <w:rsid w:val="00654E22"/>
    <w:rsid w:val="00655596"/>
    <w:rsid w:val="006558E5"/>
    <w:rsid w:val="006561B9"/>
    <w:rsid w:val="00656C2E"/>
    <w:rsid w:val="00656D40"/>
    <w:rsid w:val="006572CA"/>
    <w:rsid w:val="0065749F"/>
    <w:rsid w:val="006577FB"/>
    <w:rsid w:val="006577FF"/>
    <w:rsid w:val="006579F2"/>
    <w:rsid w:val="00657B60"/>
    <w:rsid w:val="00657CF1"/>
    <w:rsid w:val="006600FD"/>
    <w:rsid w:val="006601B5"/>
    <w:rsid w:val="0066031B"/>
    <w:rsid w:val="006607B3"/>
    <w:rsid w:val="006610BF"/>
    <w:rsid w:val="006610C1"/>
    <w:rsid w:val="006614D1"/>
    <w:rsid w:val="00662E4F"/>
    <w:rsid w:val="00662F68"/>
    <w:rsid w:val="00663178"/>
    <w:rsid w:val="00663743"/>
    <w:rsid w:val="0066414C"/>
    <w:rsid w:val="006643BA"/>
    <w:rsid w:val="00664592"/>
    <w:rsid w:val="0066487C"/>
    <w:rsid w:val="00664B55"/>
    <w:rsid w:val="0066521F"/>
    <w:rsid w:val="00665555"/>
    <w:rsid w:val="00665621"/>
    <w:rsid w:val="00665CC4"/>
    <w:rsid w:val="006660A7"/>
    <w:rsid w:val="00670164"/>
    <w:rsid w:val="006705FF"/>
    <w:rsid w:val="00670EC2"/>
    <w:rsid w:val="00671077"/>
    <w:rsid w:val="0067135E"/>
    <w:rsid w:val="00671384"/>
    <w:rsid w:val="006716BB"/>
    <w:rsid w:val="00672074"/>
    <w:rsid w:val="006720FA"/>
    <w:rsid w:val="00672434"/>
    <w:rsid w:val="00672850"/>
    <w:rsid w:val="00672861"/>
    <w:rsid w:val="006729B1"/>
    <w:rsid w:val="00672CE1"/>
    <w:rsid w:val="00673CE6"/>
    <w:rsid w:val="006748F1"/>
    <w:rsid w:val="00674B3F"/>
    <w:rsid w:val="006753BF"/>
    <w:rsid w:val="00675557"/>
    <w:rsid w:val="00675B1A"/>
    <w:rsid w:val="00675B49"/>
    <w:rsid w:val="00676139"/>
    <w:rsid w:val="0067696D"/>
    <w:rsid w:val="00676993"/>
    <w:rsid w:val="00676A33"/>
    <w:rsid w:val="00677167"/>
    <w:rsid w:val="0067766F"/>
    <w:rsid w:val="006776AE"/>
    <w:rsid w:val="0068051B"/>
    <w:rsid w:val="006811E4"/>
    <w:rsid w:val="0068162E"/>
    <w:rsid w:val="006819BA"/>
    <w:rsid w:val="00681B6A"/>
    <w:rsid w:val="00681E77"/>
    <w:rsid w:val="00682154"/>
    <w:rsid w:val="00682264"/>
    <w:rsid w:val="00682ACD"/>
    <w:rsid w:val="00682EF4"/>
    <w:rsid w:val="00683A31"/>
    <w:rsid w:val="00684034"/>
    <w:rsid w:val="006841AB"/>
    <w:rsid w:val="006844DA"/>
    <w:rsid w:val="0068455A"/>
    <w:rsid w:val="0068515E"/>
    <w:rsid w:val="006856E4"/>
    <w:rsid w:val="00685942"/>
    <w:rsid w:val="00685D70"/>
    <w:rsid w:val="00685E23"/>
    <w:rsid w:val="0068649D"/>
    <w:rsid w:val="00686715"/>
    <w:rsid w:val="00686BD0"/>
    <w:rsid w:val="00687E85"/>
    <w:rsid w:val="00687E8C"/>
    <w:rsid w:val="006904D6"/>
    <w:rsid w:val="006909FF"/>
    <w:rsid w:val="00690BA1"/>
    <w:rsid w:val="00690DE1"/>
    <w:rsid w:val="0069124D"/>
    <w:rsid w:val="00691AD6"/>
    <w:rsid w:val="00691BA5"/>
    <w:rsid w:val="00692294"/>
    <w:rsid w:val="00692319"/>
    <w:rsid w:val="00692709"/>
    <w:rsid w:val="00692DE7"/>
    <w:rsid w:val="00692E5F"/>
    <w:rsid w:val="00692F34"/>
    <w:rsid w:val="0069363D"/>
    <w:rsid w:val="0069411A"/>
    <w:rsid w:val="006944E4"/>
    <w:rsid w:val="006945E0"/>
    <w:rsid w:val="00694823"/>
    <w:rsid w:val="00695314"/>
    <w:rsid w:val="006956FA"/>
    <w:rsid w:val="006956FC"/>
    <w:rsid w:val="00695AE6"/>
    <w:rsid w:val="00695EAE"/>
    <w:rsid w:val="00696D32"/>
    <w:rsid w:val="00697015"/>
    <w:rsid w:val="00697859"/>
    <w:rsid w:val="00697D9E"/>
    <w:rsid w:val="006A0352"/>
    <w:rsid w:val="006A0743"/>
    <w:rsid w:val="006A0B7C"/>
    <w:rsid w:val="006A0C7E"/>
    <w:rsid w:val="006A0DE6"/>
    <w:rsid w:val="006A196F"/>
    <w:rsid w:val="006A1C88"/>
    <w:rsid w:val="006A2429"/>
    <w:rsid w:val="006A2664"/>
    <w:rsid w:val="006A2BF0"/>
    <w:rsid w:val="006A2C68"/>
    <w:rsid w:val="006A3834"/>
    <w:rsid w:val="006A38AC"/>
    <w:rsid w:val="006A3A43"/>
    <w:rsid w:val="006A3A77"/>
    <w:rsid w:val="006A3BF4"/>
    <w:rsid w:val="006A4882"/>
    <w:rsid w:val="006A568D"/>
    <w:rsid w:val="006A5C44"/>
    <w:rsid w:val="006A5F0C"/>
    <w:rsid w:val="006A5F63"/>
    <w:rsid w:val="006A6F09"/>
    <w:rsid w:val="006A780D"/>
    <w:rsid w:val="006B0630"/>
    <w:rsid w:val="006B08A3"/>
    <w:rsid w:val="006B0EA7"/>
    <w:rsid w:val="006B18CE"/>
    <w:rsid w:val="006B19FD"/>
    <w:rsid w:val="006B1C59"/>
    <w:rsid w:val="006B1E09"/>
    <w:rsid w:val="006B1E28"/>
    <w:rsid w:val="006B1F59"/>
    <w:rsid w:val="006B1FA8"/>
    <w:rsid w:val="006B2646"/>
    <w:rsid w:val="006B26C0"/>
    <w:rsid w:val="006B2B6D"/>
    <w:rsid w:val="006B2DA7"/>
    <w:rsid w:val="006B3432"/>
    <w:rsid w:val="006B372C"/>
    <w:rsid w:val="006B3B5E"/>
    <w:rsid w:val="006B3CAB"/>
    <w:rsid w:val="006B4014"/>
    <w:rsid w:val="006B41BA"/>
    <w:rsid w:val="006B4813"/>
    <w:rsid w:val="006B4F03"/>
    <w:rsid w:val="006B5121"/>
    <w:rsid w:val="006B5597"/>
    <w:rsid w:val="006B6520"/>
    <w:rsid w:val="006B655C"/>
    <w:rsid w:val="006B6A6E"/>
    <w:rsid w:val="006B6BA9"/>
    <w:rsid w:val="006B7558"/>
    <w:rsid w:val="006B7C6B"/>
    <w:rsid w:val="006C0219"/>
    <w:rsid w:val="006C086B"/>
    <w:rsid w:val="006C0A76"/>
    <w:rsid w:val="006C0BA6"/>
    <w:rsid w:val="006C10E0"/>
    <w:rsid w:val="006C10F6"/>
    <w:rsid w:val="006C1444"/>
    <w:rsid w:val="006C1DB6"/>
    <w:rsid w:val="006C1EF2"/>
    <w:rsid w:val="006C224F"/>
    <w:rsid w:val="006C234A"/>
    <w:rsid w:val="006C2356"/>
    <w:rsid w:val="006C23FE"/>
    <w:rsid w:val="006C25E0"/>
    <w:rsid w:val="006C31AB"/>
    <w:rsid w:val="006C3AC2"/>
    <w:rsid w:val="006C42F9"/>
    <w:rsid w:val="006C4596"/>
    <w:rsid w:val="006C4688"/>
    <w:rsid w:val="006C502E"/>
    <w:rsid w:val="006C55A4"/>
    <w:rsid w:val="006C577F"/>
    <w:rsid w:val="006C58B8"/>
    <w:rsid w:val="006C5E29"/>
    <w:rsid w:val="006C5EE3"/>
    <w:rsid w:val="006C5F9A"/>
    <w:rsid w:val="006C6A44"/>
    <w:rsid w:val="006D02C6"/>
    <w:rsid w:val="006D02D4"/>
    <w:rsid w:val="006D0442"/>
    <w:rsid w:val="006D1199"/>
    <w:rsid w:val="006D11AC"/>
    <w:rsid w:val="006D1A81"/>
    <w:rsid w:val="006D2837"/>
    <w:rsid w:val="006D2C73"/>
    <w:rsid w:val="006D4159"/>
    <w:rsid w:val="006D4AD1"/>
    <w:rsid w:val="006D4D89"/>
    <w:rsid w:val="006D4FEB"/>
    <w:rsid w:val="006D5311"/>
    <w:rsid w:val="006D5CEB"/>
    <w:rsid w:val="006D6268"/>
    <w:rsid w:val="006D6F24"/>
    <w:rsid w:val="006D7051"/>
    <w:rsid w:val="006D7230"/>
    <w:rsid w:val="006D7361"/>
    <w:rsid w:val="006D777D"/>
    <w:rsid w:val="006E0938"/>
    <w:rsid w:val="006E0A0A"/>
    <w:rsid w:val="006E0C51"/>
    <w:rsid w:val="006E0F8E"/>
    <w:rsid w:val="006E15E8"/>
    <w:rsid w:val="006E174A"/>
    <w:rsid w:val="006E17D1"/>
    <w:rsid w:val="006E1B9D"/>
    <w:rsid w:val="006E1C06"/>
    <w:rsid w:val="006E1D65"/>
    <w:rsid w:val="006E2462"/>
    <w:rsid w:val="006E35E2"/>
    <w:rsid w:val="006E37E8"/>
    <w:rsid w:val="006E3DB5"/>
    <w:rsid w:val="006E470C"/>
    <w:rsid w:val="006E515A"/>
    <w:rsid w:val="006E520E"/>
    <w:rsid w:val="006E6454"/>
    <w:rsid w:val="006E65F4"/>
    <w:rsid w:val="006E6AF6"/>
    <w:rsid w:val="006E6F3F"/>
    <w:rsid w:val="006E7AAA"/>
    <w:rsid w:val="006E7DC4"/>
    <w:rsid w:val="006F00AB"/>
    <w:rsid w:val="006F0A4C"/>
    <w:rsid w:val="006F144C"/>
    <w:rsid w:val="006F184F"/>
    <w:rsid w:val="006F1C54"/>
    <w:rsid w:val="006F33E7"/>
    <w:rsid w:val="006F3E67"/>
    <w:rsid w:val="006F408A"/>
    <w:rsid w:val="006F40F4"/>
    <w:rsid w:val="006F41A2"/>
    <w:rsid w:val="006F477A"/>
    <w:rsid w:val="006F4EA1"/>
    <w:rsid w:val="006F519E"/>
    <w:rsid w:val="006F554A"/>
    <w:rsid w:val="006F5A4E"/>
    <w:rsid w:val="006F5D08"/>
    <w:rsid w:val="006F63B2"/>
    <w:rsid w:val="006F6988"/>
    <w:rsid w:val="006F6CD1"/>
    <w:rsid w:val="006F6E18"/>
    <w:rsid w:val="006F7160"/>
    <w:rsid w:val="006F76EF"/>
    <w:rsid w:val="006F778C"/>
    <w:rsid w:val="006F7A55"/>
    <w:rsid w:val="006F7C84"/>
    <w:rsid w:val="006F7C89"/>
    <w:rsid w:val="006F7EC1"/>
    <w:rsid w:val="00700111"/>
    <w:rsid w:val="00700201"/>
    <w:rsid w:val="00700256"/>
    <w:rsid w:val="0070075C"/>
    <w:rsid w:val="00700D3D"/>
    <w:rsid w:val="0070100B"/>
    <w:rsid w:val="00701C57"/>
    <w:rsid w:val="00701FEF"/>
    <w:rsid w:val="00702297"/>
    <w:rsid w:val="007026CC"/>
    <w:rsid w:val="00702B46"/>
    <w:rsid w:val="00702BF5"/>
    <w:rsid w:val="00703CBD"/>
    <w:rsid w:val="00703F42"/>
    <w:rsid w:val="00704109"/>
    <w:rsid w:val="00704452"/>
    <w:rsid w:val="0070540D"/>
    <w:rsid w:val="00705432"/>
    <w:rsid w:val="0070548B"/>
    <w:rsid w:val="00705A1C"/>
    <w:rsid w:val="00706D08"/>
    <w:rsid w:val="007071D4"/>
    <w:rsid w:val="00707D19"/>
    <w:rsid w:val="00707F79"/>
    <w:rsid w:val="0071085A"/>
    <w:rsid w:val="00710C6A"/>
    <w:rsid w:val="00711503"/>
    <w:rsid w:val="00711D23"/>
    <w:rsid w:val="00711DB7"/>
    <w:rsid w:val="0071257C"/>
    <w:rsid w:val="00713053"/>
    <w:rsid w:val="0071313D"/>
    <w:rsid w:val="007134C1"/>
    <w:rsid w:val="007135B6"/>
    <w:rsid w:val="00713C3A"/>
    <w:rsid w:val="00713C3C"/>
    <w:rsid w:val="00714D03"/>
    <w:rsid w:val="007150A9"/>
    <w:rsid w:val="00715461"/>
    <w:rsid w:val="007154D4"/>
    <w:rsid w:val="0071613F"/>
    <w:rsid w:val="007164C7"/>
    <w:rsid w:val="00716FF6"/>
    <w:rsid w:val="007177B7"/>
    <w:rsid w:val="0072074A"/>
    <w:rsid w:val="0072080E"/>
    <w:rsid w:val="00720AA2"/>
    <w:rsid w:val="00720B4A"/>
    <w:rsid w:val="0072123B"/>
    <w:rsid w:val="007216F2"/>
    <w:rsid w:val="007218E4"/>
    <w:rsid w:val="00721F68"/>
    <w:rsid w:val="0072213F"/>
    <w:rsid w:val="007222EF"/>
    <w:rsid w:val="00722A31"/>
    <w:rsid w:val="00722C8F"/>
    <w:rsid w:val="007233D6"/>
    <w:rsid w:val="007249A1"/>
    <w:rsid w:val="007256AF"/>
    <w:rsid w:val="007256F4"/>
    <w:rsid w:val="00725843"/>
    <w:rsid w:val="00725A5D"/>
    <w:rsid w:val="00725F76"/>
    <w:rsid w:val="00726341"/>
    <w:rsid w:val="0072683D"/>
    <w:rsid w:val="00726DA0"/>
    <w:rsid w:val="0072742A"/>
    <w:rsid w:val="00727A4E"/>
    <w:rsid w:val="00727F6A"/>
    <w:rsid w:val="00727F9D"/>
    <w:rsid w:val="007309FC"/>
    <w:rsid w:val="007314DE"/>
    <w:rsid w:val="00731A1F"/>
    <w:rsid w:val="00731BCD"/>
    <w:rsid w:val="00732C95"/>
    <w:rsid w:val="00732CB3"/>
    <w:rsid w:val="007333C0"/>
    <w:rsid w:val="007339A1"/>
    <w:rsid w:val="00733C7B"/>
    <w:rsid w:val="00735B97"/>
    <w:rsid w:val="00735BFA"/>
    <w:rsid w:val="00736097"/>
    <w:rsid w:val="00736128"/>
    <w:rsid w:val="007365AC"/>
    <w:rsid w:val="007369D5"/>
    <w:rsid w:val="007369E6"/>
    <w:rsid w:val="00736B45"/>
    <w:rsid w:val="0073726A"/>
    <w:rsid w:val="00737504"/>
    <w:rsid w:val="007379FB"/>
    <w:rsid w:val="00737F4C"/>
    <w:rsid w:val="00740165"/>
    <w:rsid w:val="0074064B"/>
    <w:rsid w:val="0074080C"/>
    <w:rsid w:val="00740B29"/>
    <w:rsid w:val="00741513"/>
    <w:rsid w:val="007415E4"/>
    <w:rsid w:val="00741843"/>
    <w:rsid w:val="00741FB9"/>
    <w:rsid w:val="00742496"/>
    <w:rsid w:val="00742497"/>
    <w:rsid w:val="007429DB"/>
    <w:rsid w:val="00742A65"/>
    <w:rsid w:val="00742BF7"/>
    <w:rsid w:val="007433A9"/>
    <w:rsid w:val="00743401"/>
    <w:rsid w:val="00743932"/>
    <w:rsid w:val="0074500B"/>
    <w:rsid w:val="007454DA"/>
    <w:rsid w:val="00746A8D"/>
    <w:rsid w:val="00746B1C"/>
    <w:rsid w:val="00746CB2"/>
    <w:rsid w:val="00746EBA"/>
    <w:rsid w:val="00750465"/>
    <w:rsid w:val="00750795"/>
    <w:rsid w:val="00750950"/>
    <w:rsid w:val="007509B0"/>
    <w:rsid w:val="00750A12"/>
    <w:rsid w:val="00750B55"/>
    <w:rsid w:val="00750C51"/>
    <w:rsid w:val="00750CC2"/>
    <w:rsid w:val="00751E69"/>
    <w:rsid w:val="00751E7F"/>
    <w:rsid w:val="0075253D"/>
    <w:rsid w:val="00752795"/>
    <w:rsid w:val="007528AA"/>
    <w:rsid w:val="00752C91"/>
    <w:rsid w:val="00752D7B"/>
    <w:rsid w:val="00753418"/>
    <w:rsid w:val="007537A5"/>
    <w:rsid w:val="00753867"/>
    <w:rsid w:val="007540D1"/>
    <w:rsid w:val="0075443C"/>
    <w:rsid w:val="0075463D"/>
    <w:rsid w:val="00754BF0"/>
    <w:rsid w:val="00754D4F"/>
    <w:rsid w:val="00754E11"/>
    <w:rsid w:val="0075504E"/>
    <w:rsid w:val="00755436"/>
    <w:rsid w:val="00755670"/>
    <w:rsid w:val="0075592D"/>
    <w:rsid w:val="00755EDF"/>
    <w:rsid w:val="00755FE7"/>
    <w:rsid w:val="00756CD4"/>
    <w:rsid w:val="00756E58"/>
    <w:rsid w:val="00757120"/>
    <w:rsid w:val="0075755B"/>
    <w:rsid w:val="007578F9"/>
    <w:rsid w:val="00757A2A"/>
    <w:rsid w:val="00757EE3"/>
    <w:rsid w:val="00760B1D"/>
    <w:rsid w:val="00760DA2"/>
    <w:rsid w:val="007610EA"/>
    <w:rsid w:val="007612E7"/>
    <w:rsid w:val="007616D5"/>
    <w:rsid w:val="00761777"/>
    <w:rsid w:val="00761906"/>
    <w:rsid w:val="007619CC"/>
    <w:rsid w:val="00761B5A"/>
    <w:rsid w:val="00762E9C"/>
    <w:rsid w:val="00762EBE"/>
    <w:rsid w:val="00763031"/>
    <w:rsid w:val="00763186"/>
    <w:rsid w:val="00764FA2"/>
    <w:rsid w:val="00765079"/>
    <w:rsid w:val="00765AC2"/>
    <w:rsid w:val="0076657F"/>
    <w:rsid w:val="007666C4"/>
    <w:rsid w:val="00766877"/>
    <w:rsid w:val="00766B64"/>
    <w:rsid w:val="00766E8B"/>
    <w:rsid w:val="00766F40"/>
    <w:rsid w:val="00767841"/>
    <w:rsid w:val="00767F23"/>
    <w:rsid w:val="0077036C"/>
    <w:rsid w:val="00770526"/>
    <w:rsid w:val="00770FD7"/>
    <w:rsid w:val="00771511"/>
    <w:rsid w:val="00771927"/>
    <w:rsid w:val="00771D18"/>
    <w:rsid w:val="00771FD4"/>
    <w:rsid w:val="00772725"/>
    <w:rsid w:val="007732EE"/>
    <w:rsid w:val="00773435"/>
    <w:rsid w:val="0077489D"/>
    <w:rsid w:val="00774B63"/>
    <w:rsid w:val="00774C32"/>
    <w:rsid w:val="00775345"/>
    <w:rsid w:val="007757DA"/>
    <w:rsid w:val="00776148"/>
    <w:rsid w:val="00776EAE"/>
    <w:rsid w:val="0077738A"/>
    <w:rsid w:val="007773A9"/>
    <w:rsid w:val="007775AD"/>
    <w:rsid w:val="00777754"/>
    <w:rsid w:val="00777BE0"/>
    <w:rsid w:val="00777D6B"/>
    <w:rsid w:val="0078068C"/>
    <w:rsid w:val="00780A22"/>
    <w:rsid w:val="00780BE5"/>
    <w:rsid w:val="00780BE7"/>
    <w:rsid w:val="00780D88"/>
    <w:rsid w:val="0078115D"/>
    <w:rsid w:val="00781450"/>
    <w:rsid w:val="00781A65"/>
    <w:rsid w:val="00781CEB"/>
    <w:rsid w:val="00782120"/>
    <w:rsid w:val="007828A1"/>
    <w:rsid w:val="00783217"/>
    <w:rsid w:val="00783232"/>
    <w:rsid w:val="00783699"/>
    <w:rsid w:val="0078375D"/>
    <w:rsid w:val="0078398C"/>
    <w:rsid w:val="007839A8"/>
    <w:rsid w:val="007842F7"/>
    <w:rsid w:val="0078459E"/>
    <w:rsid w:val="007852B9"/>
    <w:rsid w:val="00785816"/>
    <w:rsid w:val="00785D55"/>
    <w:rsid w:val="0078633A"/>
    <w:rsid w:val="00786640"/>
    <w:rsid w:val="00786DB3"/>
    <w:rsid w:val="007876E3"/>
    <w:rsid w:val="007877C6"/>
    <w:rsid w:val="00787FE7"/>
    <w:rsid w:val="00790CBF"/>
    <w:rsid w:val="00790F53"/>
    <w:rsid w:val="00791379"/>
    <w:rsid w:val="00791862"/>
    <w:rsid w:val="007918A9"/>
    <w:rsid w:val="00792ABE"/>
    <w:rsid w:val="00793521"/>
    <w:rsid w:val="007936DE"/>
    <w:rsid w:val="00793868"/>
    <w:rsid w:val="007945F0"/>
    <w:rsid w:val="00794AC3"/>
    <w:rsid w:val="00794C76"/>
    <w:rsid w:val="007954F9"/>
    <w:rsid w:val="00795A1B"/>
    <w:rsid w:val="00795DA3"/>
    <w:rsid w:val="00795DC0"/>
    <w:rsid w:val="007963ED"/>
    <w:rsid w:val="00796B29"/>
    <w:rsid w:val="007971F4"/>
    <w:rsid w:val="007974CC"/>
    <w:rsid w:val="007A000F"/>
    <w:rsid w:val="007A19C4"/>
    <w:rsid w:val="007A1A67"/>
    <w:rsid w:val="007A2FB8"/>
    <w:rsid w:val="007A3F67"/>
    <w:rsid w:val="007A41F2"/>
    <w:rsid w:val="007A454A"/>
    <w:rsid w:val="007A4B00"/>
    <w:rsid w:val="007A4D8B"/>
    <w:rsid w:val="007A5186"/>
    <w:rsid w:val="007A54B1"/>
    <w:rsid w:val="007A67D7"/>
    <w:rsid w:val="007A6A01"/>
    <w:rsid w:val="007A6A99"/>
    <w:rsid w:val="007A73FE"/>
    <w:rsid w:val="007B0890"/>
    <w:rsid w:val="007B09C9"/>
    <w:rsid w:val="007B0E7B"/>
    <w:rsid w:val="007B0EBF"/>
    <w:rsid w:val="007B0FBA"/>
    <w:rsid w:val="007B1076"/>
    <w:rsid w:val="007B11B3"/>
    <w:rsid w:val="007B1942"/>
    <w:rsid w:val="007B1AE5"/>
    <w:rsid w:val="007B1F87"/>
    <w:rsid w:val="007B3516"/>
    <w:rsid w:val="007B3C34"/>
    <w:rsid w:val="007B472A"/>
    <w:rsid w:val="007B4CF3"/>
    <w:rsid w:val="007B4F57"/>
    <w:rsid w:val="007B55F6"/>
    <w:rsid w:val="007B5E1E"/>
    <w:rsid w:val="007B6204"/>
    <w:rsid w:val="007B63BA"/>
    <w:rsid w:val="007B6BBE"/>
    <w:rsid w:val="007B6DAE"/>
    <w:rsid w:val="007B730E"/>
    <w:rsid w:val="007B7483"/>
    <w:rsid w:val="007B7BA9"/>
    <w:rsid w:val="007B7CBC"/>
    <w:rsid w:val="007B7CE5"/>
    <w:rsid w:val="007C02F1"/>
    <w:rsid w:val="007C0809"/>
    <w:rsid w:val="007C0967"/>
    <w:rsid w:val="007C0E10"/>
    <w:rsid w:val="007C1353"/>
    <w:rsid w:val="007C1830"/>
    <w:rsid w:val="007C19D0"/>
    <w:rsid w:val="007C241B"/>
    <w:rsid w:val="007C281E"/>
    <w:rsid w:val="007C288E"/>
    <w:rsid w:val="007C406B"/>
    <w:rsid w:val="007C444D"/>
    <w:rsid w:val="007C4734"/>
    <w:rsid w:val="007C4A5C"/>
    <w:rsid w:val="007C4AA7"/>
    <w:rsid w:val="007C4D74"/>
    <w:rsid w:val="007C5407"/>
    <w:rsid w:val="007C5460"/>
    <w:rsid w:val="007C5610"/>
    <w:rsid w:val="007C6117"/>
    <w:rsid w:val="007C612B"/>
    <w:rsid w:val="007C6646"/>
    <w:rsid w:val="007C6A58"/>
    <w:rsid w:val="007C7002"/>
    <w:rsid w:val="007C74F8"/>
    <w:rsid w:val="007C7757"/>
    <w:rsid w:val="007C79AB"/>
    <w:rsid w:val="007C7AF9"/>
    <w:rsid w:val="007C7B9C"/>
    <w:rsid w:val="007C7F49"/>
    <w:rsid w:val="007D03C0"/>
    <w:rsid w:val="007D08EF"/>
    <w:rsid w:val="007D0B45"/>
    <w:rsid w:val="007D0E1F"/>
    <w:rsid w:val="007D0EB9"/>
    <w:rsid w:val="007D10C1"/>
    <w:rsid w:val="007D128A"/>
    <w:rsid w:val="007D2A83"/>
    <w:rsid w:val="007D2AFA"/>
    <w:rsid w:val="007D2CBB"/>
    <w:rsid w:val="007D2F09"/>
    <w:rsid w:val="007D2FDF"/>
    <w:rsid w:val="007D33B3"/>
    <w:rsid w:val="007D4644"/>
    <w:rsid w:val="007D4BD4"/>
    <w:rsid w:val="007D4D80"/>
    <w:rsid w:val="007D5327"/>
    <w:rsid w:val="007D5337"/>
    <w:rsid w:val="007D55F5"/>
    <w:rsid w:val="007D5653"/>
    <w:rsid w:val="007D6231"/>
    <w:rsid w:val="007D70FB"/>
    <w:rsid w:val="007D7240"/>
    <w:rsid w:val="007D79B5"/>
    <w:rsid w:val="007D7AF1"/>
    <w:rsid w:val="007D7FAB"/>
    <w:rsid w:val="007E0590"/>
    <w:rsid w:val="007E060D"/>
    <w:rsid w:val="007E0A5F"/>
    <w:rsid w:val="007E1321"/>
    <w:rsid w:val="007E139F"/>
    <w:rsid w:val="007E16C7"/>
    <w:rsid w:val="007E1895"/>
    <w:rsid w:val="007E1E22"/>
    <w:rsid w:val="007E1FB4"/>
    <w:rsid w:val="007E20EB"/>
    <w:rsid w:val="007E2834"/>
    <w:rsid w:val="007E3126"/>
    <w:rsid w:val="007E3311"/>
    <w:rsid w:val="007E360D"/>
    <w:rsid w:val="007E3EBE"/>
    <w:rsid w:val="007E3EFC"/>
    <w:rsid w:val="007E3FAA"/>
    <w:rsid w:val="007E43EB"/>
    <w:rsid w:val="007E4A24"/>
    <w:rsid w:val="007E51E7"/>
    <w:rsid w:val="007E5255"/>
    <w:rsid w:val="007E616A"/>
    <w:rsid w:val="007E62CB"/>
    <w:rsid w:val="007E6995"/>
    <w:rsid w:val="007E6C62"/>
    <w:rsid w:val="007E6D76"/>
    <w:rsid w:val="007E797A"/>
    <w:rsid w:val="007F0242"/>
    <w:rsid w:val="007F0C10"/>
    <w:rsid w:val="007F0DCC"/>
    <w:rsid w:val="007F129B"/>
    <w:rsid w:val="007F1BE8"/>
    <w:rsid w:val="007F2898"/>
    <w:rsid w:val="007F2C1D"/>
    <w:rsid w:val="007F2C91"/>
    <w:rsid w:val="007F3D91"/>
    <w:rsid w:val="007F3F73"/>
    <w:rsid w:val="007F4B4F"/>
    <w:rsid w:val="007F5200"/>
    <w:rsid w:val="007F5950"/>
    <w:rsid w:val="007F6039"/>
    <w:rsid w:val="007F60D4"/>
    <w:rsid w:val="007F6B7B"/>
    <w:rsid w:val="007F7823"/>
    <w:rsid w:val="007F7BDB"/>
    <w:rsid w:val="0080017D"/>
    <w:rsid w:val="0080040A"/>
    <w:rsid w:val="0080040F"/>
    <w:rsid w:val="008006CB"/>
    <w:rsid w:val="00800CEE"/>
    <w:rsid w:val="00800E9D"/>
    <w:rsid w:val="008016DF"/>
    <w:rsid w:val="00801CEF"/>
    <w:rsid w:val="00802A42"/>
    <w:rsid w:val="00802B9D"/>
    <w:rsid w:val="00802F61"/>
    <w:rsid w:val="00803676"/>
    <w:rsid w:val="00804138"/>
    <w:rsid w:val="008046C9"/>
    <w:rsid w:val="00804715"/>
    <w:rsid w:val="0080519D"/>
    <w:rsid w:val="0080524B"/>
    <w:rsid w:val="00805502"/>
    <w:rsid w:val="008059DC"/>
    <w:rsid w:val="00805CDA"/>
    <w:rsid w:val="0080675D"/>
    <w:rsid w:val="0080681D"/>
    <w:rsid w:val="00806E7D"/>
    <w:rsid w:val="008078D4"/>
    <w:rsid w:val="00810471"/>
    <w:rsid w:val="00810D2D"/>
    <w:rsid w:val="00810DCA"/>
    <w:rsid w:val="00811B12"/>
    <w:rsid w:val="00811E29"/>
    <w:rsid w:val="00811FE2"/>
    <w:rsid w:val="0081243F"/>
    <w:rsid w:val="00812575"/>
    <w:rsid w:val="008127B1"/>
    <w:rsid w:val="0081323A"/>
    <w:rsid w:val="008132BB"/>
    <w:rsid w:val="00813B00"/>
    <w:rsid w:val="00813E52"/>
    <w:rsid w:val="00814596"/>
    <w:rsid w:val="0081480B"/>
    <w:rsid w:val="008148AB"/>
    <w:rsid w:val="00814C57"/>
    <w:rsid w:val="00814E62"/>
    <w:rsid w:val="00815178"/>
    <w:rsid w:val="0081592E"/>
    <w:rsid w:val="00816789"/>
    <w:rsid w:val="008167A9"/>
    <w:rsid w:val="00816FE9"/>
    <w:rsid w:val="00817C65"/>
    <w:rsid w:val="00817D18"/>
    <w:rsid w:val="00817E09"/>
    <w:rsid w:val="0082071F"/>
    <w:rsid w:val="00820CFA"/>
    <w:rsid w:val="008217A4"/>
    <w:rsid w:val="00822028"/>
    <w:rsid w:val="0082213A"/>
    <w:rsid w:val="00822355"/>
    <w:rsid w:val="00822D91"/>
    <w:rsid w:val="00823051"/>
    <w:rsid w:val="0082306F"/>
    <w:rsid w:val="008239ED"/>
    <w:rsid w:val="008240A2"/>
    <w:rsid w:val="00824748"/>
    <w:rsid w:val="00824955"/>
    <w:rsid w:val="00824E83"/>
    <w:rsid w:val="00825F97"/>
    <w:rsid w:val="008261E6"/>
    <w:rsid w:val="008263A6"/>
    <w:rsid w:val="00826564"/>
    <w:rsid w:val="0082674F"/>
    <w:rsid w:val="00826C31"/>
    <w:rsid w:val="008277E7"/>
    <w:rsid w:val="00827805"/>
    <w:rsid w:val="0082796C"/>
    <w:rsid w:val="008300B4"/>
    <w:rsid w:val="00830557"/>
    <w:rsid w:val="008308B6"/>
    <w:rsid w:val="00830CF3"/>
    <w:rsid w:val="00830D79"/>
    <w:rsid w:val="00831010"/>
    <w:rsid w:val="00831558"/>
    <w:rsid w:val="0083199D"/>
    <w:rsid w:val="00831CC9"/>
    <w:rsid w:val="008323F7"/>
    <w:rsid w:val="008326E0"/>
    <w:rsid w:val="0083282E"/>
    <w:rsid w:val="00832B7C"/>
    <w:rsid w:val="00833FBD"/>
    <w:rsid w:val="00834763"/>
    <w:rsid w:val="00834C00"/>
    <w:rsid w:val="00834E44"/>
    <w:rsid w:val="0083510D"/>
    <w:rsid w:val="00835243"/>
    <w:rsid w:val="00835384"/>
    <w:rsid w:val="0083572D"/>
    <w:rsid w:val="00835F47"/>
    <w:rsid w:val="0083610C"/>
    <w:rsid w:val="00836E82"/>
    <w:rsid w:val="008375DE"/>
    <w:rsid w:val="00837A99"/>
    <w:rsid w:val="00837EF3"/>
    <w:rsid w:val="00840AA1"/>
    <w:rsid w:val="008411A9"/>
    <w:rsid w:val="00841488"/>
    <w:rsid w:val="0084175C"/>
    <w:rsid w:val="00841879"/>
    <w:rsid w:val="00841CD5"/>
    <w:rsid w:val="0084230F"/>
    <w:rsid w:val="00842941"/>
    <w:rsid w:val="00842B1E"/>
    <w:rsid w:val="00842B8F"/>
    <w:rsid w:val="00842C0C"/>
    <w:rsid w:val="0084351C"/>
    <w:rsid w:val="00843B65"/>
    <w:rsid w:val="00843BC8"/>
    <w:rsid w:val="008442E3"/>
    <w:rsid w:val="008444BD"/>
    <w:rsid w:val="0084468A"/>
    <w:rsid w:val="008448A8"/>
    <w:rsid w:val="00844BF8"/>
    <w:rsid w:val="00844ECF"/>
    <w:rsid w:val="008459E2"/>
    <w:rsid w:val="00845A8D"/>
    <w:rsid w:val="00846030"/>
    <w:rsid w:val="0084660F"/>
    <w:rsid w:val="00846AD1"/>
    <w:rsid w:val="00847561"/>
    <w:rsid w:val="008476A2"/>
    <w:rsid w:val="00847866"/>
    <w:rsid w:val="0084787A"/>
    <w:rsid w:val="00847969"/>
    <w:rsid w:val="00850083"/>
    <w:rsid w:val="008508CF"/>
    <w:rsid w:val="008513E0"/>
    <w:rsid w:val="008514D7"/>
    <w:rsid w:val="0085163E"/>
    <w:rsid w:val="00851ABF"/>
    <w:rsid w:val="00851DE0"/>
    <w:rsid w:val="00851FFB"/>
    <w:rsid w:val="0085278F"/>
    <w:rsid w:val="00852D65"/>
    <w:rsid w:val="00852E7C"/>
    <w:rsid w:val="00852EE0"/>
    <w:rsid w:val="00852FDE"/>
    <w:rsid w:val="008535C5"/>
    <w:rsid w:val="00853BDB"/>
    <w:rsid w:val="00854172"/>
    <w:rsid w:val="0085520D"/>
    <w:rsid w:val="0085612A"/>
    <w:rsid w:val="008565C8"/>
    <w:rsid w:val="00856741"/>
    <w:rsid w:val="00856B3B"/>
    <w:rsid w:val="00857EED"/>
    <w:rsid w:val="00860677"/>
    <w:rsid w:val="00860A4F"/>
    <w:rsid w:val="00860B4F"/>
    <w:rsid w:val="00860F4E"/>
    <w:rsid w:val="008610BA"/>
    <w:rsid w:val="0086153B"/>
    <w:rsid w:val="008616EE"/>
    <w:rsid w:val="008624E4"/>
    <w:rsid w:val="008625B0"/>
    <w:rsid w:val="00862696"/>
    <w:rsid w:val="008628B4"/>
    <w:rsid w:val="00862AF6"/>
    <w:rsid w:val="008639D7"/>
    <w:rsid w:val="00863AA3"/>
    <w:rsid w:val="008644DE"/>
    <w:rsid w:val="00864D7E"/>
    <w:rsid w:val="00870015"/>
    <w:rsid w:val="00870983"/>
    <w:rsid w:val="00870AA2"/>
    <w:rsid w:val="00871085"/>
    <w:rsid w:val="008714BB"/>
    <w:rsid w:val="008716ED"/>
    <w:rsid w:val="0087173B"/>
    <w:rsid w:val="00871746"/>
    <w:rsid w:val="00871768"/>
    <w:rsid w:val="008720FC"/>
    <w:rsid w:val="00872695"/>
    <w:rsid w:val="008729C9"/>
    <w:rsid w:val="00872DDB"/>
    <w:rsid w:val="008735E4"/>
    <w:rsid w:val="00873D80"/>
    <w:rsid w:val="008742D4"/>
    <w:rsid w:val="00874410"/>
    <w:rsid w:val="00874667"/>
    <w:rsid w:val="00874897"/>
    <w:rsid w:val="00874D95"/>
    <w:rsid w:val="00874E01"/>
    <w:rsid w:val="00874F20"/>
    <w:rsid w:val="008750CC"/>
    <w:rsid w:val="00875428"/>
    <w:rsid w:val="008757A2"/>
    <w:rsid w:val="008757E2"/>
    <w:rsid w:val="00875B10"/>
    <w:rsid w:val="00875FE3"/>
    <w:rsid w:val="008762B5"/>
    <w:rsid w:val="00876889"/>
    <w:rsid w:val="00876D72"/>
    <w:rsid w:val="00877277"/>
    <w:rsid w:val="008773F8"/>
    <w:rsid w:val="00877882"/>
    <w:rsid w:val="0087789D"/>
    <w:rsid w:val="00877B34"/>
    <w:rsid w:val="00880A14"/>
    <w:rsid w:val="00880D7F"/>
    <w:rsid w:val="00880D92"/>
    <w:rsid w:val="00880E84"/>
    <w:rsid w:val="00881361"/>
    <w:rsid w:val="0088166E"/>
    <w:rsid w:val="00882628"/>
    <w:rsid w:val="0088321D"/>
    <w:rsid w:val="0088348E"/>
    <w:rsid w:val="00883ADD"/>
    <w:rsid w:val="00883BAA"/>
    <w:rsid w:val="0088413D"/>
    <w:rsid w:val="008842C9"/>
    <w:rsid w:val="0088468E"/>
    <w:rsid w:val="008848D5"/>
    <w:rsid w:val="00884AEE"/>
    <w:rsid w:val="00884DCE"/>
    <w:rsid w:val="00884F47"/>
    <w:rsid w:val="0088601C"/>
    <w:rsid w:val="00886C8D"/>
    <w:rsid w:val="00886F80"/>
    <w:rsid w:val="008878D1"/>
    <w:rsid w:val="0089012F"/>
    <w:rsid w:val="008903B4"/>
    <w:rsid w:val="008906AB"/>
    <w:rsid w:val="0089153B"/>
    <w:rsid w:val="00891800"/>
    <w:rsid w:val="00891ACF"/>
    <w:rsid w:val="00892773"/>
    <w:rsid w:val="00892A50"/>
    <w:rsid w:val="00892BC9"/>
    <w:rsid w:val="00892E13"/>
    <w:rsid w:val="00892F70"/>
    <w:rsid w:val="008930F0"/>
    <w:rsid w:val="0089338E"/>
    <w:rsid w:val="008934B0"/>
    <w:rsid w:val="008934CB"/>
    <w:rsid w:val="0089355D"/>
    <w:rsid w:val="00893A23"/>
    <w:rsid w:val="00893AA1"/>
    <w:rsid w:val="008943B8"/>
    <w:rsid w:val="00895710"/>
    <w:rsid w:val="00895E7E"/>
    <w:rsid w:val="00895FEE"/>
    <w:rsid w:val="00896114"/>
    <w:rsid w:val="008967E7"/>
    <w:rsid w:val="00896C15"/>
    <w:rsid w:val="00896DB5"/>
    <w:rsid w:val="00896FCC"/>
    <w:rsid w:val="00897695"/>
    <w:rsid w:val="008A0283"/>
    <w:rsid w:val="008A031F"/>
    <w:rsid w:val="008A0371"/>
    <w:rsid w:val="008A03C0"/>
    <w:rsid w:val="008A1B9B"/>
    <w:rsid w:val="008A31F0"/>
    <w:rsid w:val="008A3784"/>
    <w:rsid w:val="008A37CC"/>
    <w:rsid w:val="008A3EE4"/>
    <w:rsid w:val="008A3F1C"/>
    <w:rsid w:val="008A4342"/>
    <w:rsid w:val="008A43DB"/>
    <w:rsid w:val="008A44F3"/>
    <w:rsid w:val="008A4AAF"/>
    <w:rsid w:val="008A4D2E"/>
    <w:rsid w:val="008A4E88"/>
    <w:rsid w:val="008A54CD"/>
    <w:rsid w:val="008A583F"/>
    <w:rsid w:val="008A5CDE"/>
    <w:rsid w:val="008A72AE"/>
    <w:rsid w:val="008A7641"/>
    <w:rsid w:val="008A7B6A"/>
    <w:rsid w:val="008A7F0E"/>
    <w:rsid w:val="008B0901"/>
    <w:rsid w:val="008B0B09"/>
    <w:rsid w:val="008B0D79"/>
    <w:rsid w:val="008B1447"/>
    <w:rsid w:val="008B1526"/>
    <w:rsid w:val="008B1627"/>
    <w:rsid w:val="008B214E"/>
    <w:rsid w:val="008B2693"/>
    <w:rsid w:val="008B4564"/>
    <w:rsid w:val="008B4AC2"/>
    <w:rsid w:val="008B4AC4"/>
    <w:rsid w:val="008B4D13"/>
    <w:rsid w:val="008B4D34"/>
    <w:rsid w:val="008B4E22"/>
    <w:rsid w:val="008B5015"/>
    <w:rsid w:val="008B59E8"/>
    <w:rsid w:val="008B61B2"/>
    <w:rsid w:val="008B628D"/>
    <w:rsid w:val="008B6C41"/>
    <w:rsid w:val="008B7E9A"/>
    <w:rsid w:val="008B7EA9"/>
    <w:rsid w:val="008C086F"/>
    <w:rsid w:val="008C0A2D"/>
    <w:rsid w:val="008C0D1A"/>
    <w:rsid w:val="008C15CA"/>
    <w:rsid w:val="008C3472"/>
    <w:rsid w:val="008C3AF5"/>
    <w:rsid w:val="008C3FA6"/>
    <w:rsid w:val="008C40A8"/>
    <w:rsid w:val="008C46C1"/>
    <w:rsid w:val="008C4EB8"/>
    <w:rsid w:val="008C56B4"/>
    <w:rsid w:val="008C56D1"/>
    <w:rsid w:val="008C594A"/>
    <w:rsid w:val="008C5B50"/>
    <w:rsid w:val="008C5BA6"/>
    <w:rsid w:val="008C5D85"/>
    <w:rsid w:val="008C5EC9"/>
    <w:rsid w:val="008C6EEA"/>
    <w:rsid w:val="008C78D8"/>
    <w:rsid w:val="008C7B00"/>
    <w:rsid w:val="008C7B5A"/>
    <w:rsid w:val="008C7C52"/>
    <w:rsid w:val="008D00AD"/>
    <w:rsid w:val="008D16C8"/>
    <w:rsid w:val="008D17B0"/>
    <w:rsid w:val="008D1956"/>
    <w:rsid w:val="008D19C5"/>
    <w:rsid w:val="008D1F16"/>
    <w:rsid w:val="008D2C38"/>
    <w:rsid w:val="008D2DE8"/>
    <w:rsid w:val="008D557F"/>
    <w:rsid w:val="008D58E2"/>
    <w:rsid w:val="008D5979"/>
    <w:rsid w:val="008D7259"/>
    <w:rsid w:val="008D747D"/>
    <w:rsid w:val="008D7691"/>
    <w:rsid w:val="008E0BD3"/>
    <w:rsid w:val="008E0C54"/>
    <w:rsid w:val="008E0D74"/>
    <w:rsid w:val="008E0DBA"/>
    <w:rsid w:val="008E1142"/>
    <w:rsid w:val="008E13A2"/>
    <w:rsid w:val="008E148F"/>
    <w:rsid w:val="008E1C58"/>
    <w:rsid w:val="008E1D73"/>
    <w:rsid w:val="008E1E60"/>
    <w:rsid w:val="008E2104"/>
    <w:rsid w:val="008E28A0"/>
    <w:rsid w:val="008E2A92"/>
    <w:rsid w:val="008E3C0B"/>
    <w:rsid w:val="008E3C65"/>
    <w:rsid w:val="008E41EC"/>
    <w:rsid w:val="008E48D4"/>
    <w:rsid w:val="008E4F88"/>
    <w:rsid w:val="008E53CB"/>
    <w:rsid w:val="008E5CE5"/>
    <w:rsid w:val="008E6089"/>
    <w:rsid w:val="008E65AB"/>
    <w:rsid w:val="008E6944"/>
    <w:rsid w:val="008E7013"/>
    <w:rsid w:val="008E742A"/>
    <w:rsid w:val="008E76C6"/>
    <w:rsid w:val="008F1073"/>
    <w:rsid w:val="008F153A"/>
    <w:rsid w:val="008F17A6"/>
    <w:rsid w:val="008F2165"/>
    <w:rsid w:val="008F2B0E"/>
    <w:rsid w:val="008F2B1C"/>
    <w:rsid w:val="008F2D5A"/>
    <w:rsid w:val="008F43AA"/>
    <w:rsid w:val="008F46CC"/>
    <w:rsid w:val="008F5159"/>
    <w:rsid w:val="008F5273"/>
    <w:rsid w:val="008F5990"/>
    <w:rsid w:val="008F5E55"/>
    <w:rsid w:val="008F6185"/>
    <w:rsid w:val="008F6E26"/>
    <w:rsid w:val="008F7601"/>
    <w:rsid w:val="008F7701"/>
    <w:rsid w:val="008F7AA0"/>
    <w:rsid w:val="008F7F87"/>
    <w:rsid w:val="00900B47"/>
    <w:rsid w:val="00900EB1"/>
    <w:rsid w:val="00901561"/>
    <w:rsid w:val="00901756"/>
    <w:rsid w:val="00902368"/>
    <w:rsid w:val="00902377"/>
    <w:rsid w:val="00902397"/>
    <w:rsid w:val="009023FF"/>
    <w:rsid w:val="00902421"/>
    <w:rsid w:val="00902841"/>
    <w:rsid w:val="009028F8"/>
    <w:rsid w:val="00902EA1"/>
    <w:rsid w:val="00903034"/>
    <w:rsid w:val="009030AC"/>
    <w:rsid w:val="0090339D"/>
    <w:rsid w:val="0090346B"/>
    <w:rsid w:val="00903807"/>
    <w:rsid w:val="00904110"/>
    <w:rsid w:val="009041DB"/>
    <w:rsid w:val="009050AC"/>
    <w:rsid w:val="009056AB"/>
    <w:rsid w:val="009058CB"/>
    <w:rsid w:val="00905931"/>
    <w:rsid w:val="00905FB7"/>
    <w:rsid w:val="00906718"/>
    <w:rsid w:val="00907347"/>
    <w:rsid w:val="00910113"/>
    <w:rsid w:val="00910427"/>
    <w:rsid w:val="0091047F"/>
    <w:rsid w:val="009105F8"/>
    <w:rsid w:val="00910B17"/>
    <w:rsid w:val="009123AF"/>
    <w:rsid w:val="009126C1"/>
    <w:rsid w:val="00912E83"/>
    <w:rsid w:val="009137C6"/>
    <w:rsid w:val="0091385D"/>
    <w:rsid w:val="009138C2"/>
    <w:rsid w:val="009140AA"/>
    <w:rsid w:val="009140AE"/>
    <w:rsid w:val="009141AE"/>
    <w:rsid w:val="0091440C"/>
    <w:rsid w:val="00914BBD"/>
    <w:rsid w:val="00914F17"/>
    <w:rsid w:val="00915822"/>
    <w:rsid w:val="00915B7A"/>
    <w:rsid w:val="00915C1C"/>
    <w:rsid w:val="00915E96"/>
    <w:rsid w:val="0091688C"/>
    <w:rsid w:val="00917134"/>
    <w:rsid w:val="00917477"/>
    <w:rsid w:val="00917E78"/>
    <w:rsid w:val="009207EB"/>
    <w:rsid w:val="00920E97"/>
    <w:rsid w:val="00921E00"/>
    <w:rsid w:val="009221CF"/>
    <w:rsid w:val="00922208"/>
    <w:rsid w:val="00922961"/>
    <w:rsid w:val="00922FE6"/>
    <w:rsid w:val="00923532"/>
    <w:rsid w:val="00923707"/>
    <w:rsid w:val="0092486F"/>
    <w:rsid w:val="00924A36"/>
    <w:rsid w:val="00924FE7"/>
    <w:rsid w:val="00925559"/>
    <w:rsid w:val="00925581"/>
    <w:rsid w:val="00925AA2"/>
    <w:rsid w:val="00925D2D"/>
    <w:rsid w:val="00925DE7"/>
    <w:rsid w:val="009265E4"/>
    <w:rsid w:val="00926976"/>
    <w:rsid w:val="00926CC3"/>
    <w:rsid w:val="00926FF8"/>
    <w:rsid w:val="00927269"/>
    <w:rsid w:val="009275FD"/>
    <w:rsid w:val="00927E1F"/>
    <w:rsid w:val="009300C3"/>
    <w:rsid w:val="009301B6"/>
    <w:rsid w:val="00930270"/>
    <w:rsid w:val="00930355"/>
    <w:rsid w:val="0093074D"/>
    <w:rsid w:val="00930AD6"/>
    <w:rsid w:val="00930BCD"/>
    <w:rsid w:val="00931606"/>
    <w:rsid w:val="00932039"/>
    <w:rsid w:val="009321BD"/>
    <w:rsid w:val="009326C3"/>
    <w:rsid w:val="00932BA8"/>
    <w:rsid w:val="00933174"/>
    <w:rsid w:val="0093370E"/>
    <w:rsid w:val="009339AB"/>
    <w:rsid w:val="00933A1B"/>
    <w:rsid w:val="00933BD1"/>
    <w:rsid w:val="00933BFC"/>
    <w:rsid w:val="00933D46"/>
    <w:rsid w:val="00934181"/>
    <w:rsid w:val="0093428E"/>
    <w:rsid w:val="009344C9"/>
    <w:rsid w:val="009347EA"/>
    <w:rsid w:val="00934ADD"/>
    <w:rsid w:val="00934C9E"/>
    <w:rsid w:val="00935399"/>
    <w:rsid w:val="009359F9"/>
    <w:rsid w:val="00935B0B"/>
    <w:rsid w:val="00935D3B"/>
    <w:rsid w:val="00936077"/>
    <w:rsid w:val="009364EF"/>
    <w:rsid w:val="009366AF"/>
    <w:rsid w:val="00937796"/>
    <w:rsid w:val="00937949"/>
    <w:rsid w:val="00937BD9"/>
    <w:rsid w:val="009403CE"/>
    <w:rsid w:val="009404A2"/>
    <w:rsid w:val="009405BB"/>
    <w:rsid w:val="00940905"/>
    <w:rsid w:val="00941049"/>
    <w:rsid w:val="009418EF"/>
    <w:rsid w:val="00941BE0"/>
    <w:rsid w:val="009420F9"/>
    <w:rsid w:val="0094285C"/>
    <w:rsid w:val="00942985"/>
    <w:rsid w:val="009429E6"/>
    <w:rsid w:val="009429FB"/>
    <w:rsid w:val="00942B93"/>
    <w:rsid w:val="00942E96"/>
    <w:rsid w:val="00943305"/>
    <w:rsid w:val="00943CC7"/>
    <w:rsid w:val="0094410A"/>
    <w:rsid w:val="00944158"/>
    <w:rsid w:val="00944198"/>
    <w:rsid w:val="009446B5"/>
    <w:rsid w:val="00944D7D"/>
    <w:rsid w:val="00944FAC"/>
    <w:rsid w:val="009457FE"/>
    <w:rsid w:val="00945D27"/>
    <w:rsid w:val="00945DC3"/>
    <w:rsid w:val="0094600B"/>
    <w:rsid w:val="00946CF9"/>
    <w:rsid w:val="00946D24"/>
    <w:rsid w:val="00946E0D"/>
    <w:rsid w:val="009476C1"/>
    <w:rsid w:val="00947CEA"/>
    <w:rsid w:val="00947D2A"/>
    <w:rsid w:val="00950414"/>
    <w:rsid w:val="0095044B"/>
    <w:rsid w:val="00950CBD"/>
    <w:rsid w:val="00950DFF"/>
    <w:rsid w:val="00950F11"/>
    <w:rsid w:val="00951B7A"/>
    <w:rsid w:val="0095229C"/>
    <w:rsid w:val="009523DB"/>
    <w:rsid w:val="0095246F"/>
    <w:rsid w:val="0095255D"/>
    <w:rsid w:val="00952EA8"/>
    <w:rsid w:val="00953128"/>
    <w:rsid w:val="00953276"/>
    <w:rsid w:val="009532BA"/>
    <w:rsid w:val="0095333B"/>
    <w:rsid w:val="00953BF2"/>
    <w:rsid w:val="009542D1"/>
    <w:rsid w:val="00954C5F"/>
    <w:rsid w:val="00955234"/>
    <w:rsid w:val="0095554A"/>
    <w:rsid w:val="00956AC7"/>
    <w:rsid w:val="00956B09"/>
    <w:rsid w:val="00956C30"/>
    <w:rsid w:val="0095759E"/>
    <w:rsid w:val="009575F1"/>
    <w:rsid w:val="00957E4B"/>
    <w:rsid w:val="00960102"/>
    <w:rsid w:val="00961F97"/>
    <w:rsid w:val="00962ED3"/>
    <w:rsid w:val="0096315C"/>
    <w:rsid w:val="00963197"/>
    <w:rsid w:val="009635CD"/>
    <w:rsid w:val="00963815"/>
    <w:rsid w:val="00964259"/>
    <w:rsid w:val="0096464F"/>
    <w:rsid w:val="00964913"/>
    <w:rsid w:val="00964B1B"/>
    <w:rsid w:val="00966DAB"/>
    <w:rsid w:val="00966E88"/>
    <w:rsid w:val="00966E8C"/>
    <w:rsid w:val="0096707B"/>
    <w:rsid w:val="009672C3"/>
    <w:rsid w:val="0096764D"/>
    <w:rsid w:val="00970FC9"/>
    <w:rsid w:val="00971292"/>
    <w:rsid w:val="00971884"/>
    <w:rsid w:val="00971B56"/>
    <w:rsid w:val="00971F34"/>
    <w:rsid w:val="009728CF"/>
    <w:rsid w:val="00972FEF"/>
    <w:rsid w:val="0097311B"/>
    <w:rsid w:val="0097320C"/>
    <w:rsid w:val="00973AC6"/>
    <w:rsid w:val="00973EFC"/>
    <w:rsid w:val="009743EB"/>
    <w:rsid w:val="00974AF3"/>
    <w:rsid w:val="00974C90"/>
    <w:rsid w:val="00974DDF"/>
    <w:rsid w:val="0097574B"/>
    <w:rsid w:val="0097596A"/>
    <w:rsid w:val="00976546"/>
    <w:rsid w:val="009768B4"/>
    <w:rsid w:val="00977528"/>
    <w:rsid w:val="00977FE8"/>
    <w:rsid w:val="00980E73"/>
    <w:rsid w:val="00981892"/>
    <w:rsid w:val="00982D3E"/>
    <w:rsid w:val="00983B43"/>
    <w:rsid w:val="00983BE4"/>
    <w:rsid w:val="009846D5"/>
    <w:rsid w:val="00984842"/>
    <w:rsid w:val="00984E0B"/>
    <w:rsid w:val="0098516B"/>
    <w:rsid w:val="00985266"/>
    <w:rsid w:val="00985365"/>
    <w:rsid w:val="0098545E"/>
    <w:rsid w:val="00986038"/>
    <w:rsid w:val="0098661A"/>
    <w:rsid w:val="00986A7E"/>
    <w:rsid w:val="0098704D"/>
    <w:rsid w:val="00987832"/>
    <w:rsid w:val="00987A16"/>
    <w:rsid w:val="00987B71"/>
    <w:rsid w:val="00990118"/>
    <w:rsid w:val="00990686"/>
    <w:rsid w:val="00990BB9"/>
    <w:rsid w:val="00990CA2"/>
    <w:rsid w:val="00990E84"/>
    <w:rsid w:val="00991368"/>
    <w:rsid w:val="00991985"/>
    <w:rsid w:val="00991F0B"/>
    <w:rsid w:val="0099255B"/>
    <w:rsid w:val="009927B6"/>
    <w:rsid w:val="00992BA9"/>
    <w:rsid w:val="00993615"/>
    <w:rsid w:val="00993D78"/>
    <w:rsid w:val="00993D98"/>
    <w:rsid w:val="009947A4"/>
    <w:rsid w:val="00994882"/>
    <w:rsid w:val="00994EE1"/>
    <w:rsid w:val="00994FE2"/>
    <w:rsid w:val="009954F4"/>
    <w:rsid w:val="0099593D"/>
    <w:rsid w:val="00996A44"/>
    <w:rsid w:val="0099740E"/>
    <w:rsid w:val="009976FD"/>
    <w:rsid w:val="009A02B7"/>
    <w:rsid w:val="009A031F"/>
    <w:rsid w:val="009A0368"/>
    <w:rsid w:val="009A0E5E"/>
    <w:rsid w:val="009A14F5"/>
    <w:rsid w:val="009A1819"/>
    <w:rsid w:val="009A1935"/>
    <w:rsid w:val="009A19AF"/>
    <w:rsid w:val="009A1D6C"/>
    <w:rsid w:val="009A1ED3"/>
    <w:rsid w:val="009A2589"/>
    <w:rsid w:val="009A3287"/>
    <w:rsid w:val="009A3352"/>
    <w:rsid w:val="009A3478"/>
    <w:rsid w:val="009A34A0"/>
    <w:rsid w:val="009A364C"/>
    <w:rsid w:val="009A4170"/>
    <w:rsid w:val="009A483B"/>
    <w:rsid w:val="009A4D9B"/>
    <w:rsid w:val="009A5213"/>
    <w:rsid w:val="009A5882"/>
    <w:rsid w:val="009A588D"/>
    <w:rsid w:val="009A588F"/>
    <w:rsid w:val="009A5941"/>
    <w:rsid w:val="009A5AB4"/>
    <w:rsid w:val="009A5DE1"/>
    <w:rsid w:val="009A5E9A"/>
    <w:rsid w:val="009A74E2"/>
    <w:rsid w:val="009A78FB"/>
    <w:rsid w:val="009B0403"/>
    <w:rsid w:val="009B08F3"/>
    <w:rsid w:val="009B0BD9"/>
    <w:rsid w:val="009B0D08"/>
    <w:rsid w:val="009B1279"/>
    <w:rsid w:val="009B12A6"/>
    <w:rsid w:val="009B1A57"/>
    <w:rsid w:val="009B20A0"/>
    <w:rsid w:val="009B2592"/>
    <w:rsid w:val="009B2A54"/>
    <w:rsid w:val="009B2ABE"/>
    <w:rsid w:val="009B367D"/>
    <w:rsid w:val="009B3702"/>
    <w:rsid w:val="009B44F6"/>
    <w:rsid w:val="009B4B8B"/>
    <w:rsid w:val="009B5250"/>
    <w:rsid w:val="009B5844"/>
    <w:rsid w:val="009B5958"/>
    <w:rsid w:val="009B5A48"/>
    <w:rsid w:val="009B5ABA"/>
    <w:rsid w:val="009B5D46"/>
    <w:rsid w:val="009B5DA9"/>
    <w:rsid w:val="009B5F31"/>
    <w:rsid w:val="009B6980"/>
    <w:rsid w:val="009B6A4E"/>
    <w:rsid w:val="009B75B8"/>
    <w:rsid w:val="009B7FC6"/>
    <w:rsid w:val="009C02A5"/>
    <w:rsid w:val="009C0A83"/>
    <w:rsid w:val="009C0EA6"/>
    <w:rsid w:val="009C0F29"/>
    <w:rsid w:val="009C1182"/>
    <w:rsid w:val="009C1933"/>
    <w:rsid w:val="009C1FC0"/>
    <w:rsid w:val="009C2834"/>
    <w:rsid w:val="009C3412"/>
    <w:rsid w:val="009C34D7"/>
    <w:rsid w:val="009C3612"/>
    <w:rsid w:val="009C361A"/>
    <w:rsid w:val="009C3658"/>
    <w:rsid w:val="009C3D36"/>
    <w:rsid w:val="009C4512"/>
    <w:rsid w:val="009C4BD0"/>
    <w:rsid w:val="009C4CE8"/>
    <w:rsid w:val="009C5469"/>
    <w:rsid w:val="009C5B94"/>
    <w:rsid w:val="009C6104"/>
    <w:rsid w:val="009C6CFE"/>
    <w:rsid w:val="009C7F49"/>
    <w:rsid w:val="009D0189"/>
    <w:rsid w:val="009D0367"/>
    <w:rsid w:val="009D03A0"/>
    <w:rsid w:val="009D0C60"/>
    <w:rsid w:val="009D1027"/>
    <w:rsid w:val="009D12D9"/>
    <w:rsid w:val="009D1625"/>
    <w:rsid w:val="009D2358"/>
    <w:rsid w:val="009D3193"/>
    <w:rsid w:val="009D3285"/>
    <w:rsid w:val="009D3534"/>
    <w:rsid w:val="009D41E5"/>
    <w:rsid w:val="009D438A"/>
    <w:rsid w:val="009D47A0"/>
    <w:rsid w:val="009D4884"/>
    <w:rsid w:val="009D4CA5"/>
    <w:rsid w:val="009D4F3F"/>
    <w:rsid w:val="009D5141"/>
    <w:rsid w:val="009D57C5"/>
    <w:rsid w:val="009D64BC"/>
    <w:rsid w:val="009D65EF"/>
    <w:rsid w:val="009D7A16"/>
    <w:rsid w:val="009D7C1D"/>
    <w:rsid w:val="009D7CEA"/>
    <w:rsid w:val="009D7F4F"/>
    <w:rsid w:val="009E09A4"/>
    <w:rsid w:val="009E0B2C"/>
    <w:rsid w:val="009E1469"/>
    <w:rsid w:val="009E1C8E"/>
    <w:rsid w:val="009E262C"/>
    <w:rsid w:val="009E29CA"/>
    <w:rsid w:val="009E2AB6"/>
    <w:rsid w:val="009E325F"/>
    <w:rsid w:val="009E3D50"/>
    <w:rsid w:val="009E444E"/>
    <w:rsid w:val="009E4F2E"/>
    <w:rsid w:val="009E5294"/>
    <w:rsid w:val="009E5702"/>
    <w:rsid w:val="009E5772"/>
    <w:rsid w:val="009E5F0C"/>
    <w:rsid w:val="009F0BDD"/>
    <w:rsid w:val="009F0F1D"/>
    <w:rsid w:val="009F10B0"/>
    <w:rsid w:val="009F1467"/>
    <w:rsid w:val="009F1C0E"/>
    <w:rsid w:val="009F314B"/>
    <w:rsid w:val="009F322C"/>
    <w:rsid w:val="009F3E14"/>
    <w:rsid w:val="009F4502"/>
    <w:rsid w:val="009F464C"/>
    <w:rsid w:val="009F4716"/>
    <w:rsid w:val="009F4AC8"/>
    <w:rsid w:val="009F53A8"/>
    <w:rsid w:val="009F595C"/>
    <w:rsid w:val="009F682B"/>
    <w:rsid w:val="009F6AB3"/>
    <w:rsid w:val="009F7598"/>
    <w:rsid w:val="009F7BBA"/>
    <w:rsid w:val="009F7BBC"/>
    <w:rsid w:val="00A00355"/>
    <w:rsid w:val="00A00D20"/>
    <w:rsid w:val="00A00E7D"/>
    <w:rsid w:val="00A01191"/>
    <w:rsid w:val="00A01214"/>
    <w:rsid w:val="00A014BA"/>
    <w:rsid w:val="00A01997"/>
    <w:rsid w:val="00A01E0F"/>
    <w:rsid w:val="00A027AD"/>
    <w:rsid w:val="00A0280D"/>
    <w:rsid w:val="00A02E80"/>
    <w:rsid w:val="00A03136"/>
    <w:rsid w:val="00A031C8"/>
    <w:rsid w:val="00A033C0"/>
    <w:rsid w:val="00A03772"/>
    <w:rsid w:val="00A04156"/>
    <w:rsid w:val="00A050BF"/>
    <w:rsid w:val="00A053BA"/>
    <w:rsid w:val="00A05801"/>
    <w:rsid w:val="00A05896"/>
    <w:rsid w:val="00A05BC0"/>
    <w:rsid w:val="00A067A7"/>
    <w:rsid w:val="00A107EF"/>
    <w:rsid w:val="00A10FD6"/>
    <w:rsid w:val="00A11594"/>
    <w:rsid w:val="00A1215E"/>
    <w:rsid w:val="00A1287C"/>
    <w:rsid w:val="00A139BD"/>
    <w:rsid w:val="00A13C15"/>
    <w:rsid w:val="00A1422B"/>
    <w:rsid w:val="00A146E6"/>
    <w:rsid w:val="00A147D1"/>
    <w:rsid w:val="00A14A28"/>
    <w:rsid w:val="00A15275"/>
    <w:rsid w:val="00A15B72"/>
    <w:rsid w:val="00A1624F"/>
    <w:rsid w:val="00A165A7"/>
    <w:rsid w:val="00A165DA"/>
    <w:rsid w:val="00A16C12"/>
    <w:rsid w:val="00A17165"/>
    <w:rsid w:val="00A1742D"/>
    <w:rsid w:val="00A1757A"/>
    <w:rsid w:val="00A17F29"/>
    <w:rsid w:val="00A20E56"/>
    <w:rsid w:val="00A21B87"/>
    <w:rsid w:val="00A22139"/>
    <w:rsid w:val="00A22199"/>
    <w:rsid w:val="00A22369"/>
    <w:rsid w:val="00A22817"/>
    <w:rsid w:val="00A22A52"/>
    <w:rsid w:val="00A22E13"/>
    <w:rsid w:val="00A22F1C"/>
    <w:rsid w:val="00A23162"/>
    <w:rsid w:val="00A237CC"/>
    <w:rsid w:val="00A2383F"/>
    <w:rsid w:val="00A23945"/>
    <w:rsid w:val="00A23BF9"/>
    <w:rsid w:val="00A242D7"/>
    <w:rsid w:val="00A24300"/>
    <w:rsid w:val="00A249DF"/>
    <w:rsid w:val="00A25626"/>
    <w:rsid w:val="00A2563E"/>
    <w:rsid w:val="00A25B14"/>
    <w:rsid w:val="00A25CA0"/>
    <w:rsid w:val="00A2672C"/>
    <w:rsid w:val="00A26AB8"/>
    <w:rsid w:val="00A2701B"/>
    <w:rsid w:val="00A2750A"/>
    <w:rsid w:val="00A276C6"/>
    <w:rsid w:val="00A27707"/>
    <w:rsid w:val="00A27C5C"/>
    <w:rsid w:val="00A3017E"/>
    <w:rsid w:val="00A30593"/>
    <w:rsid w:val="00A30D31"/>
    <w:rsid w:val="00A314C9"/>
    <w:rsid w:val="00A3198A"/>
    <w:rsid w:val="00A3230F"/>
    <w:rsid w:val="00A32402"/>
    <w:rsid w:val="00A32BC0"/>
    <w:rsid w:val="00A32C54"/>
    <w:rsid w:val="00A32C8E"/>
    <w:rsid w:val="00A32E9D"/>
    <w:rsid w:val="00A32EAF"/>
    <w:rsid w:val="00A32F56"/>
    <w:rsid w:val="00A33DD4"/>
    <w:rsid w:val="00A33ED0"/>
    <w:rsid w:val="00A3424C"/>
    <w:rsid w:val="00A34A55"/>
    <w:rsid w:val="00A34E50"/>
    <w:rsid w:val="00A35694"/>
    <w:rsid w:val="00A36AF9"/>
    <w:rsid w:val="00A36C42"/>
    <w:rsid w:val="00A3755C"/>
    <w:rsid w:val="00A379C4"/>
    <w:rsid w:val="00A37C84"/>
    <w:rsid w:val="00A400CD"/>
    <w:rsid w:val="00A40462"/>
    <w:rsid w:val="00A41538"/>
    <w:rsid w:val="00A4189E"/>
    <w:rsid w:val="00A41B39"/>
    <w:rsid w:val="00A423E3"/>
    <w:rsid w:val="00A43032"/>
    <w:rsid w:val="00A43539"/>
    <w:rsid w:val="00A4382C"/>
    <w:rsid w:val="00A43891"/>
    <w:rsid w:val="00A43B98"/>
    <w:rsid w:val="00A441BB"/>
    <w:rsid w:val="00A4544F"/>
    <w:rsid w:val="00A45EED"/>
    <w:rsid w:val="00A46412"/>
    <w:rsid w:val="00A47876"/>
    <w:rsid w:val="00A478A8"/>
    <w:rsid w:val="00A47C35"/>
    <w:rsid w:val="00A47DBD"/>
    <w:rsid w:val="00A47E34"/>
    <w:rsid w:val="00A50F95"/>
    <w:rsid w:val="00A513CC"/>
    <w:rsid w:val="00A518AB"/>
    <w:rsid w:val="00A5193F"/>
    <w:rsid w:val="00A519B6"/>
    <w:rsid w:val="00A51BE3"/>
    <w:rsid w:val="00A51C46"/>
    <w:rsid w:val="00A51FDF"/>
    <w:rsid w:val="00A52456"/>
    <w:rsid w:val="00A525C0"/>
    <w:rsid w:val="00A52D4C"/>
    <w:rsid w:val="00A53716"/>
    <w:rsid w:val="00A53AF2"/>
    <w:rsid w:val="00A53D60"/>
    <w:rsid w:val="00A5410B"/>
    <w:rsid w:val="00A54730"/>
    <w:rsid w:val="00A54DFF"/>
    <w:rsid w:val="00A54EBD"/>
    <w:rsid w:val="00A54FFF"/>
    <w:rsid w:val="00A55F2C"/>
    <w:rsid w:val="00A5663E"/>
    <w:rsid w:val="00A56761"/>
    <w:rsid w:val="00A5709B"/>
    <w:rsid w:val="00A573A3"/>
    <w:rsid w:val="00A57459"/>
    <w:rsid w:val="00A57594"/>
    <w:rsid w:val="00A57802"/>
    <w:rsid w:val="00A57821"/>
    <w:rsid w:val="00A57A65"/>
    <w:rsid w:val="00A57C70"/>
    <w:rsid w:val="00A603B3"/>
    <w:rsid w:val="00A60CC2"/>
    <w:rsid w:val="00A61552"/>
    <w:rsid w:val="00A622D0"/>
    <w:rsid w:val="00A62443"/>
    <w:rsid w:val="00A626CD"/>
    <w:rsid w:val="00A63B4F"/>
    <w:rsid w:val="00A642EA"/>
    <w:rsid w:val="00A643D0"/>
    <w:rsid w:val="00A64606"/>
    <w:rsid w:val="00A6474D"/>
    <w:rsid w:val="00A64CA4"/>
    <w:rsid w:val="00A65446"/>
    <w:rsid w:val="00A65692"/>
    <w:rsid w:val="00A6618A"/>
    <w:rsid w:val="00A663DD"/>
    <w:rsid w:val="00A666A8"/>
    <w:rsid w:val="00A66D57"/>
    <w:rsid w:val="00A6706E"/>
    <w:rsid w:val="00A67669"/>
    <w:rsid w:val="00A67B68"/>
    <w:rsid w:val="00A67C0E"/>
    <w:rsid w:val="00A70179"/>
    <w:rsid w:val="00A7038E"/>
    <w:rsid w:val="00A703FF"/>
    <w:rsid w:val="00A70753"/>
    <w:rsid w:val="00A714DB"/>
    <w:rsid w:val="00A71A0A"/>
    <w:rsid w:val="00A73213"/>
    <w:rsid w:val="00A7332D"/>
    <w:rsid w:val="00A737DC"/>
    <w:rsid w:val="00A7396B"/>
    <w:rsid w:val="00A73D28"/>
    <w:rsid w:val="00A751B4"/>
    <w:rsid w:val="00A7578E"/>
    <w:rsid w:val="00A75C31"/>
    <w:rsid w:val="00A75CBB"/>
    <w:rsid w:val="00A76662"/>
    <w:rsid w:val="00A76778"/>
    <w:rsid w:val="00A768BE"/>
    <w:rsid w:val="00A76D13"/>
    <w:rsid w:val="00A776A4"/>
    <w:rsid w:val="00A77B3A"/>
    <w:rsid w:val="00A804F9"/>
    <w:rsid w:val="00A813A7"/>
    <w:rsid w:val="00A818BF"/>
    <w:rsid w:val="00A819C9"/>
    <w:rsid w:val="00A81E3B"/>
    <w:rsid w:val="00A81FC4"/>
    <w:rsid w:val="00A826CA"/>
    <w:rsid w:val="00A8286A"/>
    <w:rsid w:val="00A82A74"/>
    <w:rsid w:val="00A82AA9"/>
    <w:rsid w:val="00A83A6C"/>
    <w:rsid w:val="00A844B8"/>
    <w:rsid w:val="00A8568C"/>
    <w:rsid w:val="00A85D7A"/>
    <w:rsid w:val="00A85E8C"/>
    <w:rsid w:val="00A865D9"/>
    <w:rsid w:val="00A86823"/>
    <w:rsid w:val="00A869E7"/>
    <w:rsid w:val="00A86A30"/>
    <w:rsid w:val="00A87276"/>
    <w:rsid w:val="00A90204"/>
    <w:rsid w:val="00A9091F"/>
    <w:rsid w:val="00A90EC5"/>
    <w:rsid w:val="00A91D46"/>
    <w:rsid w:val="00A92349"/>
    <w:rsid w:val="00A928E3"/>
    <w:rsid w:val="00A92EB3"/>
    <w:rsid w:val="00A932A7"/>
    <w:rsid w:val="00A93A8A"/>
    <w:rsid w:val="00A93CAC"/>
    <w:rsid w:val="00A93D35"/>
    <w:rsid w:val="00A94027"/>
    <w:rsid w:val="00A94486"/>
    <w:rsid w:val="00A94BA5"/>
    <w:rsid w:val="00A95073"/>
    <w:rsid w:val="00A9578C"/>
    <w:rsid w:val="00A9583F"/>
    <w:rsid w:val="00A95DF2"/>
    <w:rsid w:val="00A95EF6"/>
    <w:rsid w:val="00A96DD4"/>
    <w:rsid w:val="00A971E7"/>
    <w:rsid w:val="00A97375"/>
    <w:rsid w:val="00A9761D"/>
    <w:rsid w:val="00A97EEE"/>
    <w:rsid w:val="00A97F2D"/>
    <w:rsid w:val="00AA0127"/>
    <w:rsid w:val="00AA016F"/>
    <w:rsid w:val="00AA1680"/>
    <w:rsid w:val="00AA1AB1"/>
    <w:rsid w:val="00AA1BFB"/>
    <w:rsid w:val="00AA1D4A"/>
    <w:rsid w:val="00AA1E06"/>
    <w:rsid w:val="00AA1E93"/>
    <w:rsid w:val="00AA202A"/>
    <w:rsid w:val="00AA20E2"/>
    <w:rsid w:val="00AA2237"/>
    <w:rsid w:val="00AA24A2"/>
    <w:rsid w:val="00AA2FD6"/>
    <w:rsid w:val="00AA33ED"/>
    <w:rsid w:val="00AA34C8"/>
    <w:rsid w:val="00AA385C"/>
    <w:rsid w:val="00AA3D55"/>
    <w:rsid w:val="00AA3EBA"/>
    <w:rsid w:val="00AA4406"/>
    <w:rsid w:val="00AA4F0D"/>
    <w:rsid w:val="00AA581E"/>
    <w:rsid w:val="00AA5A53"/>
    <w:rsid w:val="00AA6975"/>
    <w:rsid w:val="00AA6C9A"/>
    <w:rsid w:val="00AA6E52"/>
    <w:rsid w:val="00AB04AC"/>
    <w:rsid w:val="00AB106C"/>
    <w:rsid w:val="00AB1ACA"/>
    <w:rsid w:val="00AB1BBF"/>
    <w:rsid w:val="00AB27E1"/>
    <w:rsid w:val="00AB2A2E"/>
    <w:rsid w:val="00AB2D37"/>
    <w:rsid w:val="00AB343F"/>
    <w:rsid w:val="00AB3498"/>
    <w:rsid w:val="00AB3785"/>
    <w:rsid w:val="00AB3AED"/>
    <w:rsid w:val="00AB4179"/>
    <w:rsid w:val="00AB4691"/>
    <w:rsid w:val="00AB5291"/>
    <w:rsid w:val="00AB587A"/>
    <w:rsid w:val="00AB5C28"/>
    <w:rsid w:val="00AB5CA1"/>
    <w:rsid w:val="00AB6221"/>
    <w:rsid w:val="00AB6345"/>
    <w:rsid w:val="00AB6986"/>
    <w:rsid w:val="00AB6987"/>
    <w:rsid w:val="00AB75F8"/>
    <w:rsid w:val="00AB7A45"/>
    <w:rsid w:val="00AC0777"/>
    <w:rsid w:val="00AC0795"/>
    <w:rsid w:val="00AC13F3"/>
    <w:rsid w:val="00AC1F4C"/>
    <w:rsid w:val="00AC2160"/>
    <w:rsid w:val="00AC228E"/>
    <w:rsid w:val="00AC3621"/>
    <w:rsid w:val="00AC3986"/>
    <w:rsid w:val="00AC3AFA"/>
    <w:rsid w:val="00AC3BD8"/>
    <w:rsid w:val="00AC3BE2"/>
    <w:rsid w:val="00AC4257"/>
    <w:rsid w:val="00AC425F"/>
    <w:rsid w:val="00AC4296"/>
    <w:rsid w:val="00AC485F"/>
    <w:rsid w:val="00AC4967"/>
    <w:rsid w:val="00AC4A32"/>
    <w:rsid w:val="00AC52F3"/>
    <w:rsid w:val="00AC5B81"/>
    <w:rsid w:val="00AC5C88"/>
    <w:rsid w:val="00AC5E41"/>
    <w:rsid w:val="00AC6125"/>
    <w:rsid w:val="00AC6531"/>
    <w:rsid w:val="00AC67F0"/>
    <w:rsid w:val="00AC6B02"/>
    <w:rsid w:val="00AC70AE"/>
    <w:rsid w:val="00AC7274"/>
    <w:rsid w:val="00AC74B6"/>
    <w:rsid w:val="00AC7582"/>
    <w:rsid w:val="00AC776C"/>
    <w:rsid w:val="00AC781A"/>
    <w:rsid w:val="00AC7F09"/>
    <w:rsid w:val="00AD010A"/>
    <w:rsid w:val="00AD04C0"/>
    <w:rsid w:val="00AD0559"/>
    <w:rsid w:val="00AD0B85"/>
    <w:rsid w:val="00AD0F55"/>
    <w:rsid w:val="00AD2986"/>
    <w:rsid w:val="00AD2E8F"/>
    <w:rsid w:val="00AD33BE"/>
    <w:rsid w:val="00AD3D34"/>
    <w:rsid w:val="00AD3FDF"/>
    <w:rsid w:val="00AD43CB"/>
    <w:rsid w:val="00AD44F9"/>
    <w:rsid w:val="00AD5221"/>
    <w:rsid w:val="00AD5948"/>
    <w:rsid w:val="00AD5BC0"/>
    <w:rsid w:val="00AD7071"/>
    <w:rsid w:val="00AD70BB"/>
    <w:rsid w:val="00AD7EDE"/>
    <w:rsid w:val="00AE014A"/>
    <w:rsid w:val="00AE0176"/>
    <w:rsid w:val="00AE04E9"/>
    <w:rsid w:val="00AE0815"/>
    <w:rsid w:val="00AE125A"/>
    <w:rsid w:val="00AE251A"/>
    <w:rsid w:val="00AE28D6"/>
    <w:rsid w:val="00AE2901"/>
    <w:rsid w:val="00AE2E09"/>
    <w:rsid w:val="00AE2E28"/>
    <w:rsid w:val="00AE32ED"/>
    <w:rsid w:val="00AE3B1B"/>
    <w:rsid w:val="00AE3E60"/>
    <w:rsid w:val="00AE43C9"/>
    <w:rsid w:val="00AE4C90"/>
    <w:rsid w:val="00AE4F74"/>
    <w:rsid w:val="00AE574B"/>
    <w:rsid w:val="00AE5A5F"/>
    <w:rsid w:val="00AE662E"/>
    <w:rsid w:val="00AE6771"/>
    <w:rsid w:val="00AE6871"/>
    <w:rsid w:val="00AE6A22"/>
    <w:rsid w:val="00AE6A4B"/>
    <w:rsid w:val="00AE6B49"/>
    <w:rsid w:val="00AE6B4F"/>
    <w:rsid w:val="00AE6CF0"/>
    <w:rsid w:val="00AE6F59"/>
    <w:rsid w:val="00AE7324"/>
    <w:rsid w:val="00AE7C52"/>
    <w:rsid w:val="00AF0021"/>
    <w:rsid w:val="00AF004C"/>
    <w:rsid w:val="00AF0F87"/>
    <w:rsid w:val="00AF1785"/>
    <w:rsid w:val="00AF19DD"/>
    <w:rsid w:val="00AF1EB0"/>
    <w:rsid w:val="00AF22DE"/>
    <w:rsid w:val="00AF2441"/>
    <w:rsid w:val="00AF2DD9"/>
    <w:rsid w:val="00AF312D"/>
    <w:rsid w:val="00AF46B7"/>
    <w:rsid w:val="00AF4BAD"/>
    <w:rsid w:val="00AF4D53"/>
    <w:rsid w:val="00AF4DE6"/>
    <w:rsid w:val="00AF5353"/>
    <w:rsid w:val="00AF5471"/>
    <w:rsid w:val="00AF5569"/>
    <w:rsid w:val="00AF5794"/>
    <w:rsid w:val="00AF5CD5"/>
    <w:rsid w:val="00AF5D6E"/>
    <w:rsid w:val="00AF5DFB"/>
    <w:rsid w:val="00AF5EEA"/>
    <w:rsid w:val="00AF5F4C"/>
    <w:rsid w:val="00AF6963"/>
    <w:rsid w:val="00AF6CA6"/>
    <w:rsid w:val="00AF759E"/>
    <w:rsid w:val="00AF7640"/>
    <w:rsid w:val="00AF7865"/>
    <w:rsid w:val="00AF7A1A"/>
    <w:rsid w:val="00AF7A5B"/>
    <w:rsid w:val="00AF7D35"/>
    <w:rsid w:val="00B00D38"/>
    <w:rsid w:val="00B019BB"/>
    <w:rsid w:val="00B021BF"/>
    <w:rsid w:val="00B02380"/>
    <w:rsid w:val="00B02920"/>
    <w:rsid w:val="00B02930"/>
    <w:rsid w:val="00B02FCB"/>
    <w:rsid w:val="00B03260"/>
    <w:rsid w:val="00B03768"/>
    <w:rsid w:val="00B03828"/>
    <w:rsid w:val="00B03A02"/>
    <w:rsid w:val="00B0446E"/>
    <w:rsid w:val="00B04977"/>
    <w:rsid w:val="00B04CA6"/>
    <w:rsid w:val="00B05489"/>
    <w:rsid w:val="00B057FD"/>
    <w:rsid w:val="00B05908"/>
    <w:rsid w:val="00B0594A"/>
    <w:rsid w:val="00B0687E"/>
    <w:rsid w:val="00B07A0D"/>
    <w:rsid w:val="00B07EE1"/>
    <w:rsid w:val="00B112C2"/>
    <w:rsid w:val="00B1181A"/>
    <w:rsid w:val="00B11E14"/>
    <w:rsid w:val="00B12A03"/>
    <w:rsid w:val="00B12E24"/>
    <w:rsid w:val="00B13412"/>
    <w:rsid w:val="00B13916"/>
    <w:rsid w:val="00B155EA"/>
    <w:rsid w:val="00B1574F"/>
    <w:rsid w:val="00B15AD5"/>
    <w:rsid w:val="00B15D00"/>
    <w:rsid w:val="00B16824"/>
    <w:rsid w:val="00B16AA7"/>
    <w:rsid w:val="00B17728"/>
    <w:rsid w:val="00B203B3"/>
    <w:rsid w:val="00B2069F"/>
    <w:rsid w:val="00B21771"/>
    <w:rsid w:val="00B21C9E"/>
    <w:rsid w:val="00B22104"/>
    <w:rsid w:val="00B22916"/>
    <w:rsid w:val="00B22F6C"/>
    <w:rsid w:val="00B23326"/>
    <w:rsid w:val="00B2332C"/>
    <w:rsid w:val="00B23EDB"/>
    <w:rsid w:val="00B24B7E"/>
    <w:rsid w:val="00B24FD7"/>
    <w:rsid w:val="00B24FF6"/>
    <w:rsid w:val="00B25386"/>
    <w:rsid w:val="00B25B36"/>
    <w:rsid w:val="00B2618B"/>
    <w:rsid w:val="00B2621B"/>
    <w:rsid w:val="00B26FC1"/>
    <w:rsid w:val="00B26FFB"/>
    <w:rsid w:val="00B272CD"/>
    <w:rsid w:val="00B30739"/>
    <w:rsid w:val="00B307E4"/>
    <w:rsid w:val="00B308CE"/>
    <w:rsid w:val="00B311FE"/>
    <w:rsid w:val="00B31593"/>
    <w:rsid w:val="00B319CD"/>
    <w:rsid w:val="00B31F65"/>
    <w:rsid w:val="00B321CA"/>
    <w:rsid w:val="00B329AD"/>
    <w:rsid w:val="00B33AE6"/>
    <w:rsid w:val="00B33B1B"/>
    <w:rsid w:val="00B33D2C"/>
    <w:rsid w:val="00B340C7"/>
    <w:rsid w:val="00B34EE0"/>
    <w:rsid w:val="00B3512B"/>
    <w:rsid w:val="00B35198"/>
    <w:rsid w:val="00B3547A"/>
    <w:rsid w:val="00B35E46"/>
    <w:rsid w:val="00B35EEE"/>
    <w:rsid w:val="00B35F9A"/>
    <w:rsid w:val="00B363B6"/>
    <w:rsid w:val="00B36C20"/>
    <w:rsid w:val="00B36E92"/>
    <w:rsid w:val="00B36FB9"/>
    <w:rsid w:val="00B37243"/>
    <w:rsid w:val="00B37DDF"/>
    <w:rsid w:val="00B40899"/>
    <w:rsid w:val="00B40B64"/>
    <w:rsid w:val="00B40E8E"/>
    <w:rsid w:val="00B416D8"/>
    <w:rsid w:val="00B41B01"/>
    <w:rsid w:val="00B4205B"/>
    <w:rsid w:val="00B4233A"/>
    <w:rsid w:val="00B42595"/>
    <w:rsid w:val="00B42732"/>
    <w:rsid w:val="00B42FAA"/>
    <w:rsid w:val="00B446C9"/>
    <w:rsid w:val="00B44B33"/>
    <w:rsid w:val="00B44D4F"/>
    <w:rsid w:val="00B455BF"/>
    <w:rsid w:val="00B457B9"/>
    <w:rsid w:val="00B45BCE"/>
    <w:rsid w:val="00B4630B"/>
    <w:rsid w:val="00B466BD"/>
    <w:rsid w:val="00B478FA"/>
    <w:rsid w:val="00B47DE0"/>
    <w:rsid w:val="00B47E90"/>
    <w:rsid w:val="00B50070"/>
    <w:rsid w:val="00B50314"/>
    <w:rsid w:val="00B503C6"/>
    <w:rsid w:val="00B50527"/>
    <w:rsid w:val="00B505B6"/>
    <w:rsid w:val="00B506CA"/>
    <w:rsid w:val="00B50FB9"/>
    <w:rsid w:val="00B51765"/>
    <w:rsid w:val="00B518B0"/>
    <w:rsid w:val="00B52DB1"/>
    <w:rsid w:val="00B52E11"/>
    <w:rsid w:val="00B52F3B"/>
    <w:rsid w:val="00B52FAA"/>
    <w:rsid w:val="00B53159"/>
    <w:rsid w:val="00B53237"/>
    <w:rsid w:val="00B53A04"/>
    <w:rsid w:val="00B53E5B"/>
    <w:rsid w:val="00B53FCE"/>
    <w:rsid w:val="00B542C4"/>
    <w:rsid w:val="00B542C5"/>
    <w:rsid w:val="00B54491"/>
    <w:rsid w:val="00B549E5"/>
    <w:rsid w:val="00B54C2E"/>
    <w:rsid w:val="00B552A6"/>
    <w:rsid w:val="00B55629"/>
    <w:rsid w:val="00B55A48"/>
    <w:rsid w:val="00B55F0A"/>
    <w:rsid w:val="00B56055"/>
    <w:rsid w:val="00B56C0A"/>
    <w:rsid w:val="00B60070"/>
    <w:rsid w:val="00B604EF"/>
    <w:rsid w:val="00B60529"/>
    <w:rsid w:val="00B60BC7"/>
    <w:rsid w:val="00B60EB1"/>
    <w:rsid w:val="00B60FEC"/>
    <w:rsid w:val="00B61BB2"/>
    <w:rsid w:val="00B6218D"/>
    <w:rsid w:val="00B6223D"/>
    <w:rsid w:val="00B6255A"/>
    <w:rsid w:val="00B63127"/>
    <w:rsid w:val="00B637F3"/>
    <w:rsid w:val="00B63C44"/>
    <w:rsid w:val="00B64837"/>
    <w:rsid w:val="00B64A9F"/>
    <w:rsid w:val="00B64B29"/>
    <w:rsid w:val="00B65736"/>
    <w:rsid w:val="00B659A1"/>
    <w:rsid w:val="00B65CCF"/>
    <w:rsid w:val="00B65E05"/>
    <w:rsid w:val="00B65F5C"/>
    <w:rsid w:val="00B660B4"/>
    <w:rsid w:val="00B664F7"/>
    <w:rsid w:val="00B6656B"/>
    <w:rsid w:val="00B66A18"/>
    <w:rsid w:val="00B66CA1"/>
    <w:rsid w:val="00B6700F"/>
    <w:rsid w:val="00B67388"/>
    <w:rsid w:val="00B67695"/>
    <w:rsid w:val="00B677B2"/>
    <w:rsid w:val="00B67870"/>
    <w:rsid w:val="00B67AFC"/>
    <w:rsid w:val="00B67D3D"/>
    <w:rsid w:val="00B700D5"/>
    <w:rsid w:val="00B70AAE"/>
    <w:rsid w:val="00B715D2"/>
    <w:rsid w:val="00B71FDD"/>
    <w:rsid w:val="00B7227B"/>
    <w:rsid w:val="00B72BE2"/>
    <w:rsid w:val="00B73021"/>
    <w:rsid w:val="00B738C1"/>
    <w:rsid w:val="00B73CAF"/>
    <w:rsid w:val="00B74BC7"/>
    <w:rsid w:val="00B751D9"/>
    <w:rsid w:val="00B75302"/>
    <w:rsid w:val="00B75653"/>
    <w:rsid w:val="00B75947"/>
    <w:rsid w:val="00B75F67"/>
    <w:rsid w:val="00B7643A"/>
    <w:rsid w:val="00B76EF2"/>
    <w:rsid w:val="00B77055"/>
    <w:rsid w:val="00B77DAA"/>
    <w:rsid w:val="00B77FDF"/>
    <w:rsid w:val="00B81358"/>
    <w:rsid w:val="00B81C59"/>
    <w:rsid w:val="00B81E14"/>
    <w:rsid w:val="00B820B4"/>
    <w:rsid w:val="00B82296"/>
    <w:rsid w:val="00B825E2"/>
    <w:rsid w:val="00B82B23"/>
    <w:rsid w:val="00B83118"/>
    <w:rsid w:val="00B83245"/>
    <w:rsid w:val="00B83361"/>
    <w:rsid w:val="00B835D7"/>
    <w:rsid w:val="00B83C1D"/>
    <w:rsid w:val="00B83E31"/>
    <w:rsid w:val="00B83FEE"/>
    <w:rsid w:val="00B8414A"/>
    <w:rsid w:val="00B842CA"/>
    <w:rsid w:val="00B84D26"/>
    <w:rsid w:val="00B86179"/>
    <w:rsid w:val="00B861CA"/>
    <w:rsid w:val="00B86474"/>
    <w:rsid w:val="00B866F2"/>
    <w:rsid w:val="00B8673B"/>
    <w:rsid w:val="00B86AC1"/>
    <w:rsid w:val="00B86F62"/>
    <w:rsid w:val="00B86FDE"/>
    <w:rsid w:val="00B87227"/>
    <w:rsid w:val="00B87A76"/>
    <w:rsid w:val="00B87E32"/>
    <w:rsid w:val="00B87F1E"/>
    <w:rsid w:val="00B90751"/>
    <w:rsid w:val="00B907EE"/>
    <w:rsid w:val="00B90DB0"/>
    <w:rsid w:val="00B912D3"/>
    <w:rsid w:val="00B91316"/>
    <w:rsid w:val="00B91466"/>
    <w:rsid w:val="00B91EFC"/>
    <w:rsid w:val="00B9266C"/>
    <w:rsid w:val="00B928A2"/>
    <w:rsid w:val="00B92B9E"/>
    <w:rsid w:val="00B93450"/>
    <w:rsid w:val="00B93F8C"/>
    <w:rsid w:val="00B94B71"/>
    <w:rsid w:val="00B9517A"/>
    <w:rsid w:val="00B954E3"/>
    <w:rsid w:val="00B95A4B"/>
    <w:rsid w:val="00B95CF1"/>
    <w:rsid w:val="00B95DC1"/>
    <w:rsid w:val="00B95DC3"/>
    <w:rsid w:val="00B9638F"/>
    <w:rsid w:val="00B96425"/>
    <w:rsid w:val="00B96555"/>
    <w:rsid w:val="00B966C7"/>
    <w:rsid w:val="00B9686F"/>
    <w:rsid w:val="00B96B1B"/>
    <w:rsid w:val="00B9747A"/>
    <w:rsid w:val="00B97979"/>
    <w:rsid w:val="00BA0518"/>
    <w:rsid w:val="00BA06F9"/>
    <w:rsid w:val="00BA0860"/>
    <w:rsid w:val="00BA0D23"/>
    <w:rsid w:val="00BA0D60"/>
    <w:rsid w:val="00BA0EA6"/>
    <w:rsid w:val="00BA1EDF"/>
    <w:rsid w:val="00BA2354"/>
    <w:rsid w:val="00BA2C38"/>
    <w:rsid w:val="00BA2CC2"/>
    <w:rsid w:val="00BA30BC"/>
    <w:rsid w:val="00BA39CD"/>
    <w:rsid w:val="00BA423D"/>
    <w:rsid w:val="00BA453B"/>
    <w:rsid w:val="00BA48A3"/>
    <w:rsid w:val="00BA4A8D"/>
    <w:rsid w:val="00BA4C38"/>
    <w:rsid w:val="00BA4DC4"/>
    <w:rsid w:val="00BA5249"/>
    <w:rsid w:val="00BA645D"/>
    <w:rsid w:val="00BA686D"/>
    <w:rsid w:val="00BA6927"/>
    <w:rsid w:val="00BA6AE4"/>
    <w:rsid w:val="00BA6E9B"/>
    <w:rsid w:val="00BA74DE"/>
    <w:rsid w:val="00BA7660"/>
    <w:rsid w:val="00BA7FD0"/>
    <w:rsid w:val="00BB001B"/>
    <w:rsid w:val="00BB037B"/>
    <w:rsid w:val="00BB060F"/>
    <w:rsid w:val="00BB0D38"/>
    <w:rsid w:val="00BB0E87"/>
    <w:rsid w:val="00BB1222"/>
    <w:rsid w:val="00BB1335"/>
    <w:rsid w:val="00BB17FE"/>
    <w:rsid w:val="00BB1E08"/>
    <w:rsid w:val="00BB2119"/>
    <w:rsid w:val="00BB2235"/>
    <w:rsid w:val="00BB2418"/>
    <w:rsid w:val="00BB241A"/>
    <w:rsid w:val="00BB30ED"/>
    <w:rsid w:val="00BB36B1"/>
    <w:rsid w:val="00BB405E"/>
    <w:rsid w:val="00BB4097"/>
    <w:rsid w:val="00BB40E8"/>
    <w:rsid w:val="00BB43DD"/>
    <w:rsid w:val="00BB46F5"/>
    <w:rsid w:val="00BB4C4A"/>
    <w:rsid w:val="00BB5E5B"/>
    <w:rsid w:val="00BB67C4"/>
    <w:rsid w:val="00BB6DBE"/>
    <w:rsid w:val="00BB70D3"/>
    <w:rsid w:val="00BB7297"/>
    <w:rsid w:val="00BB7411"/>
    <w:rsid w:val="00BB78D3"/>
    <w:rsid w:val="00BB7E83"/>
    <w:rsid w:val="00BC0D54"/>
    <w:rsid w:val="00BC179A"/>
    <w:rsid w:val="00BC2D8A"/>
    <w:rsid w:val="00BC30C8"/>
    <w:rsid w:val="00BC397C"/>
    <w:rsid w:val="00BC3AC6"/>
    <w:rsid w:val="00BC3C51"/>
    <w:rsid w:val="00BC3F97"/>
    <w:rsid w:val="00BC4096"/>
    <w:rsid w:val="00BC4BA0"/>
    <w:rsid w:val="00BC52E7"/>
    <w:rsid w:val="00BC5446"/>
    <w:rsid w:val="00BC55E6"/>
    <w:rsid w:val="00BC5B97"/>
    <w:rsid w:val="00BC5CA3"/>
    <w:rsid w:val="00BC5DE0"/>
    <w:rsid w:val="00BC6DF7"/>
    <w:rsid w:val="00BC7438"/>
    <w:rsid w:val="00BC790D"/>
    <w:rsid w:val="00BD0A16"/>
    <w:rsid w:val="00BD0B71"/>
    <w:rsid w:val="00BD0CF2"/>
    <w:rsid w:val="00BD19B8"/>
    <w:rsid w:val="00BD264A"/>
    <w:rsid w:val="00BD2C17"/>
    <w:rsid w:val="00BD35C4"/>
    <w:rsid w:val="00BD37BD"/>
    <w:rsid w:val="00BD44DA"/>
    <w:rsid w:val="00BD452D"/>
    <w:rsid w:val="00BD4698"/>
    <w:rsid w:val="00BD4B59"/>
    <w:rsid w:val="00BD4DFC"/>
    <w:rsid w:val="00BD51B8"/>
    <w:rsid w:val="00BD6268"/>
    <w:rsid w:val="00BD6658"/>
    <w:rsid w:val="00BD6AC1"/>
    <w:rsid w:val="00BD7137"/>
    <w:rsid w:val="00BD76A1"/>
    <w:rsid w:val="00BD76AC"/>
    <w:rsid w:val="00BD7A1F"/>
    <w:rsid w:val="00BD7FE2"/>
    <w:rsid w:val="00BE0BF8"/>
    <w:rsid w:val="00BE1577"/>
    <w:rsid w:val="00BE1680"/>
    <w:rsid w:val="00BE22F0"/>
    <w:rsid w:val="00BE256D"/>
    <w:rsid w:val="00BE2859"/>
    <w:rsid w:val="00BE3600"/>
    <w:rsid w:val="00BE3AD1"/>
    <w:rsid w:val="00BE3CF1"/>
    <w:rsid w:val="00BE44ED"/>
    <w:rsid w:val="00BE4F42"/>
    <w:rsid w:val="00BE4FE9"/>
    <w:rsid w:val="00BE502C"/>
    <w:rsid w:val="00BE6AB8"/>
    <w:rsid w:val="00BE7199"/>
    <w:rsid w:val="00BE72A3"/>
    <w:rsid w:val="00BE7AA1"/>
    <w:rsid w:val="00BE7B5F"/>
    <w:rsid w:val="00BF0314"/>
    <w:rsid w:val="00BF0ACF"/>
    <w:rsid w:val="00BF1302"/>
    <w:rsid w:val="00BF1734"/>
    <w:rsid w:val="00BF225D"/>
    <w:rsid w:val="00BF2FC3"/>
    <w:rsid w:val="00BF3D91"/>
    <w:rsid w:val="00BF4845"/>
    <w:rsid w:val="00BF5C8F"/>
    <w:rsid w:val="00BF5D04"/>
    <w:rsid w:val="00BF5D0E"/>
    <w:rsid w:val="00BF5D3B"/>
    <w:rsid w:val="00BF5E08"/>
    <w:rsid w:val="00BF65D8"/>
    <w:rsid w:val="00BF6627"/>
    <w:rsid w:val="00BF6B7F"/>
    <w:rsid w:val="00BF6D23"/>
    <w:rsid w:val="00BF79B9"/>
    <w:rsid w:val="00BF7EAF"/>
    <w:rsid w:val="00C00973"/>
    <w:rsid w:val="00C00CB6"/>
    <w:rsid w:val="00C01769"/>
    <w:rsid w:val="00C01CE8"/>
    <w:rsid w:val="00C01EE5"/>
    <w:rsid w:val="00C02293"/>
    <w:rsid w:val="00C02568"/>
    <w:rsid w:val="00C02CFA"/>
    <w:rsid w:val="00C02F2D"/>
    <w:rsid w:val="00C03076"/>
    <w:rsid w:val="00C0330E"/>
    <w:rsid w:val="00C03887"/>
    <w:rsid w:val="00C039A9"/>
    <w:rsid w:val="00C03F23"/>
    <w:rsid w:val="00C049E7"/>
    <w:rsid w:val="00C04AFD"/>
    <w:rsid w:val="00C04EE1"/>
    <w:rsid w:val="00C05502"/>
    <w:rsid w:val="00C06B72"/>
    <w:rsid w:val="00C100F8"/>
    <w:rsid w:val="00C1068F"/>
    <w:rsid w:val="00C10F51"/>
    <w:rsid w:val="00C118A5"/>
    <w:rsid w:val="00C13191"/>
    <w:rsid w:val="00C1329B"/>
    <w:rsid w:val="00C13F26"/>
    <w:rsid w:val="00C13F74"/>
    <w:rsid w:val="00C1450E"/>
    <w:rsid w:val="00C145A7"/>
    <w:rsid w:val="00C14B33"/>
    <w:rsid w:val="00C14F0E"/>
    <w:rsid w:val="00C151D1"/>
    <w:rsid w:val="00C15C74"/>
    <w:rsid w:val="00C15EB3"/>
    <w:rsid w:val="00C161D9"/>
    <w:rsid w:val="00C1657C"/>
    <w:rsid w:val="00C168BC"/>
    <w:rsid w:val="00C169C6"/>
    <w:rsid w:val="00C16EC8"/>
    <w:rsid w:val="00C1731A"/>
    <w:rsid w:val="00C1794F"/>
    <w:rsid w:val="00C179A6"/>
    <w:rsid w:val="00C17C2B"/>
    <w:rsid w:val="00C206FB"/>
    <w:rsid w:val="00C20954"/>
    <w:rsid w:val="00C20960"/>
    <w:rsid w:val="00C20BD6"/>
    <w:rsid w:val="00C21070"/>
    <w:rsid w:val="00C22963"/>
    <w:rsid w:val="00C22EBA"/>
    <w:rsid w:val="00C23019"/>
    <w:rsid w:val="00C2306D"/>
    <w:rsid w:val="00C23306"/>
    <w:rsid w:val="00C23498"/>
    <w:rsid w:val="00C23B05"/>
    <w:rsid w:val="00C23F72"/>
    <w:rsid w:val="00C24386"/>
    <w:rsid w:val="00C2639B"/>
    <w:rsid w:val="00C26E66"/>
    <w:rsid w:val="00C272B5"/>
    <w:rsid w:val="00C273B0"/>
    <w:rsid w:val="00C27847"/>
    <w:rsid w:val="00C27A15"/>
    <w:rsid w:val="00C302E7"/>
    <w:rsid w:val="00C304FA"/>
    <w:rsid w:val="00C307B5"/>
    <w:rsid w:val="00C30807"/>
    <w:rsid w:val="00C30E82"/>
    <w:rsid w:val="00C31654"/>
    <w:rsid w:val="00C319EA"/>
    <w:rsid w:val="00C31EF9"/>
    <w:rsid w:val="00C32ECB"/>
    <w:rsid w:val="00C32FC0"/>
    <w:rsid w:val="00C33609"/>
    <w:rsid w:val="00C33CE4"/>
    <w:rsid w:val="00C33E9C"/>
    <w:rsid w:val="00C34A50"/>
    <w:rsid w:val="00C34CFE"/>
    <w:rsid w:val="00C3556A"/>
    <w:rsid w:val="00C356AB"/>
    <w:rsid w:val="00C35800"/>
    <w:rsid w:val="00C35866"/>
    <w:rsid w:val="00C36306"/>
    <w:rsid w:val="00C364C2"/>
    <w:rsid w:val="00C36902"/>
    <w:rsid w:val="00C36BEA"/>
    <w:rsid w:val="00C36FCB"/>
    <w:rsid w:val="00C3712A"/>
    <w:rsid w:val="00C3723C"/>
    <w:rsid w:val="00C37A39"/>
    <w:rsid w:val="00C37F46"/>
    <w:rsid w:val="00C40121"/>
    <w:rsid w:val="00C40139"/>
    <w:rsid w:val="00C41EE6"/>
    <w:rsid w:val="00C4203C"/>
    <w:rsid w:val="00C4256F"/>
    <w:rsid w:val="00C42A4A"/>
    <w:rsid w:val="00C42C4D"/>
    <w:rsid w:val="00C43DA2"/>
    <w:rsid w:val="00C44E2F"/>
    <w:rsid w:val="00C45816"/>
    <w:rsid w:val="00C45A96"/>
    <w:rsid w:val="00C46B55"/>
    <w:rsid w:val="00C46C18"/>
    <w:rsid w:val="00C47F01"/>
    <w:rsid w:val="00C50A1E"/>
    <w:rsid w:val="00C50DAB"/>
    <w:rsid w:val="00C50FBE"/>
    <w:rsid w:val="00C5114B"/>
    <w:rsid w:val="00C51247"/>
    <w:rsid w:val="00C5176C"/>
    <w:rsid w:val="00C5183A"/>
    <w:rsid w:val="00C5229B"/>
    <w:rsid w:val="00C524D8"/>
    <w:rsid w:val="00C5250B"/>
    <w:rsid w:val="00C52A0F"/>
    <w:rsid w:val="00C52AEB"/>
    <w:rsid w:val="00C52C71"/>
    <w:rsid w:val="00C5317B"/>
    <w:rsid w:val="00C5333F"/>
    <w:rsid w:val="00C5334D"/>
    <w:rsid w:val="00C53823"/>
    <w:rsid w:val="00C53867"/>
    <w:rsid w:val="00C54A43"/>
    <w:rsid w:val="00C54F04"/>
    <w:rsid w:val="00C5562B"/>
    <w:rsid w:val="00C55D31"/>
    <w:rsid w:val="00C56056"/>
    <w:rsid w:val="00C6006A"/>
    <w:rsid w:val="00C6044A"/>
    <w:rsid w:val="00C607D4"/>
    <w:rsid w:val="00C60F56"/>
    <w:rsid w:val="00C6128E"/>
    <w:rsid w:val="00C61373"/>
    <w:rsid w:val="00C61811"/>
    <w:rsid w:val="00C6221B"/>
    <w:rsid w:val="00C62D14"/>
    <w:rsid w:val="00C636CB"/>
    <w:rsid w:val="00C63C49"/>
    <w:rsid w:val="00C63FCA"/>
    <w:rsid w:val="00C64143"/>
    <w:rsid w:val="00C6473E"/>
    <w:rsid w:val="00C64823"/>
    <w:rsid w:val="00C64EF2"/>
    <w:rsid w:val="00C654FB"/>
    <w:rsid w:val="00C65996"/>
    <w:rsid w:val="00C65D8A"/>
    <w:rsid w:val="00C65FF1"/>
    <w:rsid w:val="00C66D94"/>
    <w:rsid w:val="00C6741E"/>
    <w:rsid w:val="00C67D65"/>
    <w:rsid w:val="00C7030D"/>
    <w:rsid w:val="00C7046E"/>
    <w:rsid w:val="00C7063C"/>
    <w:rsid w:val="00C70793"/>
    <w:rsid w:val="00C70860"/>
    <w:rsid w:val="00C71668"/>
    <w:rsid w:val="00C71A34"/>
    <w:rsid w:val="00C71B3A"/>
    <w:rsid w:val="00C72156"/>
    <w:rsid w:val="00C7245A"/>
    <w:rsid w:val="00C73207"/>
    <w:rsid w:val="00C73523"/>
    <w:rsid w:val="00C73732"/>
    <w:rsid w:val="00C74102"/>
    <w:rsid w:val="00C74213"/>
    <w:rsid w:val="00C74436"/>
    <w:rsid w:val="00C74593"/>
    <w:rsid w:val="00C74A9E"/>
    <w:rsid w:val="00C75589"/>
    <w:rsid w:val="00C75B5A"/>
    <w:rsid w:val="00C75F07"/>
    <w:rsid w:val="00C76443"/>
    <w:rsid w:val="00C764CE"/>
    <w:rsid w:val="00C7653E"/>
    <w:rsid w:val="00C765A7"/>
    <w:rsid w:val="00C76CA7"/>
    <w:rsid w:val="00C7737F"/>
    <w:rsid w:val="00C77534"/>
    <w:rsid w:val="00C77718"/>
    <w:rsid w:val="00C777ED"/>
    <w:rsid w:val="00C77FF1"/>
    <w:rsid w:val="00C800E5"/>
    <w:rsid w:val="00C80620"/>
    <w:rsid w:val="00C80754"/>
    <w:rsid w:val="00C80AB4"/>
    <w:rsid w:val="00C81080"/>
    <w:rsid w:val="00C81418"/>
    <w:rsid w:val="00C8222B"/>
    <w:rsid w:val="00C82755"/>
    <w:rsid w:val="00C82E11"/>
    <w:rsid w:val="00C82E3F"/>
    <w:rsid w:val="00C831AC"/>
    <w:rsid w:val="00C83366"/>
    <w:rsid w:val="00C83916"/>
    <w:rsid w:val="00C83D1C"/>
    <w:rsid w:val="00C84623"/>
    <w:rsid w:val="00C851DC"/>
    <w:rsid w:val="00C85258"/>
    <w:rsid w:val="00C859C6"/>
    <w:rsid w:val="00C865F6"/>
    <w:rsid w:val="00C86BD5"/>
    <w:rsid w:val="00C86D53"/>
    <w:rsid w:val="00C86F47"/>
    <w:rsid w:val="00C87063"/>
    <w:rsid w:val="00C87118"/>
    <w:rsid w:val="00C87727"/>
    <w:rsid w:val="00C905B4"/>
    <w:rsid w:val="00C90961"/>
    <w:rsid w:val="00C90EF5"/>
    <w:rsid w:val="00C912C5"/>
    <w:rsid w:val="00C9166A"/>
    <w:rsid w:val="00C918C8"/>
    <w:rsid w:val="00C91BC4"/>
    <w:rsid w:val="00C91C15"/>
    <w:rsid w:val="00C92297"/>
    <w:rsid w:val="00C931D7"/>
    <w:rsid w:val="00C93255"/>
    <w:rsid w:val="00C93488"/>
    <w:rsid w:val="00C93FB3"/>
    <w:rsid w:val="00C94758"/>
    <w:rsid w:val="00C9510F"/>
    <w:rsid w:val="00C95AB0"/>
    <w:rsid w:val="00C95C39"/>
    <w:rsid w:val="00C95D5F"/>
    <w:rsid w:val="00C95F67"/>
    <w:rsid w:val="00C96948"/>
    <w:rsid w:val="00C97054"/>
    <w:rsid w:val="00C9728B"/>
    <w:rsid w:val="00C972BD"/>
    <w:rsid w:val="00C974F0"/>
    <w:rsid w:val="00C97A98"/>
    <w:rsid w:val="00CA0147"/>
    <w:rsid w:val="00CA02BF"/>
    <w:rsid w:val="00CA0431"/>
    <w:rsid w:val="00CA0751"/>
    <w:rsid w:val="00CA0A25"/>
    <w:rsid w:val="00CA0AC8"/>
    <w:rsid w:val="00CA0B0C"/>
    <w:rsid w:val="00CA0E86"/>
    <w:rsid w:val="00CA1479"/>
    <w:rsid w:val="00CA1D28"/>
    <w:rsid w:val="00CA2B35"/>
    <w:rsid w:val="00CA2D52"/>
    <w:rsid w:val="00CA360B"/>
    <w:rsid w:val="00CA3776"/>
    <w:rsid w:val="00CA3BA9"/>
    <w:rsid w:val="00CA40FB"/>
    <w:rsid w:val="00CA4321"/>
    <w:rsid w:val="00CA451C"/>
    <w:rsid w:val="00CA46E0"/>
    <w:rsid w:val="00CA479F"/>
    <w:rsid w:val="00CA51DF"/>
    <w:rsid w:val="00CA53D7"/>
    <w:rsid w:val="00CA5D72"/>
    <w:rsid w:val="00CA65EC"/>
    <w:rsid w:val="00CA68AC"/>
    <w:rsid w:val="00CA6F61"/>
    <w:rsid w:val="00CA70F0"/>
    <w:rsid w:val="00CA71C5"/>
    <w:rsid w:val="00CA7474"/>
    <w:rsid w:val="00CA771C"/>
    <w:rsid w:val="00CA7D36"/>
    <w:rsid w:val="00CB000A"/>
    <w:rsid w:val="00CB0034"/>
    <w:rsid w:val="00CB0232"/>
    <w:rsid w:val="00CB03A3"/>
    <w:rsid w:val="00CB079B"/>
    <w:rsid w:val="00CB0BFB"/>
    <w:rsid w:val="00CB0C28"/>
    <w:rsid w:val="00CB0D05"/>
    <w:rsid w:val="00CB0F65"/>
    <w:rsid w:val="00CB1234"/>
    <w:rsid w:val="00CB165B"/>
    <w:rsid w:val="00CB1CF7"/>
    <w:rsid w:val="00CB1E35"/>
    <w:rsid w:val="00CB2377"/>
    <w:rsid w:val="00CB23AF"/>
    <w:rsid w:val="00CB23E1"/>
    <w:rsid w:val="00CB2FB9"/>
    <w:rsid w:val="00CB35B0"/>
    <w:rsid w:val="00CB3919"/>
    <w:rsid w:val="00CB396D"/>
    <w:rsid w:val="00CB3DD0"/>
    <w:rsid w:val="00CB4353"/>
    <w:rsid w:val="00CB4FB0"/>
    <w:rsid w:val="00CB54AD"/>
    <w:rsid w:val="00CB5AC1"/>
    <w:rsid w:val="00CB60DF"/>
    <w:rsid w:val="00CB67E3"/>
    <w:rsid w:val="00CB68DA"/>
    <w:rsid w:val="00CB6AF2"/>
    <w:rsid w:val="00CB6E1C"/>
    <w:rsid w:val="00CB6E94"/>
    <w:rsid w:val="00CB6F42"/>
    <w:rsid w:val="00CB7170"/>
    <w:rsid w:val="00CB75C6"/>
    <w:rsid w:val="00CB7FCD"/>
    <w:rsid w:val="00CC0140"/>
    <w:rsid w:val="00CC01A4"/>
    <w:rsid w:val="00CC01D3"/>
    <w:rsid w:val="00CC038E"/>
    <w:rsid w:val="00CC039D"/>
    <w:rsid w:val="00CC085E"/>
    <w:rsid w:val="00CC110F"/>
    <w:rsid w:val="00CC1385"/>
    <w:rsid w:val="00CC1463"/>
    <w:rsid w:val="00CC17EA"/>
    <w:rsid w:val="00CC1868"/>
    <w:rsid w:val="00CC1E30"/>
    <w:rsid w:val="00CC21B7"/>
    <w:rsid w:val="00CC239A"/>
    <w:rsid w:val="00CC26A8"/>
    <w:rsid w:val="00CC2C12"/>
    <w:rsid w:val="00CC3D04"/>
    <w:rsid w:val="00CC3FE7"/>
    <w:rsid w:val="00CC4376"/>
    <w:rsid w:val="00CC43BA"/>
    <w:rsid w:val="00CC43F8"/>
    <w:rsid w:val="00CC47FB"/>
    <w:rsid w:val="00CC5401"/>
    <w:rsid w:val="00CC57CF"/>
    <w:rsid w:val="00CC5A66"/>
    <w:rsid w:val="00CC5D8D"/>
    <w:rsid w:val="00CC5FB3"/>
    <w:rsid w:val="00CC694F"/>
    <w:rsid w:val="00CC7602"/>
    <w:rsid w:val="00CC796A"/>
    <w:rsid w:val="00CD0762"/>
    <w:rsid w:val="00CD0CE9"/>
    <w:rsid w:val="00CD1206"/>
    <w:rsid w:val="00CD1260"/>
    <w:rsid w:val="00CD1372"/>
    <w:rsid w:val="00CD1665"/>
    <w:rsid w:val="00CD179F"/>
    <w:rsid w:val="00CD28A1"/>
    <w:rsid w:val="00CD28EF"/>
    <w:rsid w:val="00CD2940"/>
    <w:rsid w:val="00CD3030"/>
    <w:rsid w:val="00CD3834"/>
    <w:rsid w:val="00CD3A85"/>
    <w:rsid w:val="00CD4042"/>
    <w:rsid w:val="00CD4294"/>
    <w:rsid w:val="00CD44FA"/>
    <w:rsid w:val="00CD4688"/>
    <w:rsid w:val="00CD4E8D"/>
    <w:rsid w:val="00CD55D7"/>
    <w:rsid w:val="00CD5C15"/>
    <w:rsid w:val="00CD5E95"/>
    <w:rsid w:val="00CD65C8"/>
    <w:rsid w:val="00CD68C2"/>
    <w:rsid w:val="00CD6C53"/>
    <w:rsid w:val="00CD776F"/>
    <w:rsid w:val="00CD7A1E"/>
    <w:rsid w:val="00CD7C3C"/>
    <w:rsid w:val="00CD7CC6"/>
    <w:rsid w:val="00CD7F57"/>
    <w:rsid w:val="00CE00EC"/>
    <w:rsid w:val="00CE0979"/>
    <w:rsid w:val="00CE09CA"/>
    <w:rsid w:val="00CE0DEA"/>
    <w:rsid w:val="00CE11AC"/>
    <w:rsid w:val="00CE1600"/>
    <w:rsid w:val="00CE1833"/>
    <w:rsid w:val="00CE1D0E"/>
    <w:rsid w:val="00CE1E7A"/>
    <w:rsid w:val="00CE2829"/>
    <w:rsid w:val="00CE293A"/>
    <w:rsid w:val="00CE294F"/>
    <w:rsid w:val="00CE2A4B"/>
    <w:rsid w:val="00CE335F"/>
    <w:rsid w:val="00CE3519"/>
    <w:rsid w:val="00CE399C"/>
    <w:rsid w:val="00CE3D92"/>
    <w:rsid w:val="00CE4281"/>
    <w:rsid w:val="00CE476E"/>
    <w:rsid w:val="00CE4927"/>
    <w:rsid w:val="00CE54DB"/>
    <w:rsid w:val="00CE57E3"/>
    <w:rsid w:val="00CE583E"/>
    <w:rsid w:val="00CE5C9A"/>
    <w:rsid w:val="00CE6042"/>
    <w:rsid w:val="00CE61E4"/>
    <w:rsid w:val="00CE65CE"/>
    <w:rsid w:val="00CE66D3"/>
    <w:rsid w:val="00CE6B36"/>
    <w:rsid w:val="00CE6FF4"/>
    <w:rsid w:val="00CE7121"/>
    <w:rsid w:val="00CE733E"/>
    <w:rsid w:val="00CF077C"/>
    <w:rsid w:val="00CF153C"/>
    <w:rsid w:val="00CF156B"/>
    <w:rsid w:val="00CF15AF"/>
    <w:rsid w:val="00CF1E5A"/>
    <w:rsid w:val="00CF277A"/>
    <w:rsid w:val="00CF31D3"/>
    <w:rsid w:val="00CF3F14"/>
    <w:rsid w:val="00CF411A"/>
    <w:rsid w:val="00CF4EDA"/>
    <w:rsid w:val="00CF5A08"/>
    <w:rsid w:val="00CF5CC0"/>
    <w:rsid w:val="00CF620F"/>
    <w:rsid w:val="00CF6ACE"/>
    <w:rsid w:val="00CF7CD6"/>
    <w:rsid w:val="00D01233"/>
    <w:rsid w:val="00D01324"/>
    <w:rsid w:val="00D016D8"/>
    <w:rsid w:val="00D01C22"/>
    <w:rsid w:val="00D0240E"/>
    <w:rsid w:val="00D02918"/>
    <w:rsid w:val="00D03780"/>
    <w:rsid w:val="00D0378E"/>
    <w:rsid w:val="00D03E7E"/>
    <w:rsid w:val="00D041A1"/>
    <w:rsid w:val="00D045B1"/>
    <w:rsid w:val="00D0464D"/>
    <w:rsid w:val="00D0469F"/>
    <w:rsid w:val="00D051B3"/>
    <w:rsid w:val="00D0534E"/>
    <w:rsid w:val="00D061AC"/>
    <w:rsid w:val="00D06BBE"/>
    <w:rsid w:val="00D06FD7"/>
    <w:rsid w:val="00D07418"/>
    <w:rsid w:val="00D07D72"/>
    <w:rsid w:val="00D07F9C"/>
    <w:rsid w:val="00D100AA"/>
    <w:rsid w:val="00D10981"/>
    <w:rsid w:val="00D10C5F"/>
    <w:rsid w:val="00D11650"/>
    <w:rsid w:val="00D11A01"/>
    <w:rsid w:val="00D11DC7"/>
    <w:rsid w:val="00D11E16"/>
    <w:rsid w:val="00D12751"/>
    <w:rsid w:val="00D1370C"/>
    <w:rsid w:val="00D14782"/>
    <w:rsid w:val="00D14C0E"/>
    <w:rsid w:val="00D14F87"/>
    <w:rsid w:val="00D15517"/>
    <w:rsid w:val="00D156E7"/>
    <w:rsid w:val="00D15C2A"/>
    <w:rsid w:val="00D16B27"/>
    <w:rsid w:val="00D16D2A"/>
    <w:rsid w:val="00D204F9"/>
    <w:rsid w:val="00D20941"/>
    <w:rsid w:val="00D20BFC"/>
    <w:rsid w:val="00D22893"/>
    <w:rsid w:val="00D22CD8"/>
    <w:rsid w:val="00D22EB6"/>
    <w:rsid w:val="00D22FB3"/>
    <w:rsid w:val="00D231FC"/>
    <w:rsid w:val="00D234C4"/>
    <w:rsid w:val="00D241D3"/>
    <w:rsid w:val="00D246BB"/>
    <w:rsid w:val="00D24A7D"/>
    <w:rsid w:val="00D24BF6"/>
    <w:rsid w:val="00D24C65"/>
    <w:rsid w:val="00D24F33"/>
    <w:rsid w:val="00D2550F"/>
    <w:rsid w:val="00D2574F"/>
    <w:rsid w:val="00D2598B"/>
    <w:rsid w:val="00D25C8F"/>
    <w:rsid w:val="00D25EC5"/>
    <w:rsid w:val="00D25F36"/>
    <w:rsid w:val="00D26312"/>
    <w:rsid w:val="00D266BC"/>
    <w:rsid w:val="00D2779E"/>
    <w:rsid w:val="00D27E58"/>
    <w:rsid w:val="00D30A66"/>
    <w:rsid w:val="00D3178B"/>
    <w:rsid w:val="00D31DC7"/>
    <w:rsid w:val="00D3233F"/>
    <w:rsid w:val="00D32D55"/>
    <w:rsid w:val="00D33368"/>
    <w:rsid w:val="00D34332"/>
    <w:rsid w:val="00D34447"/>
    <w:rsid w:val="00D34EAA"/>
    <w:rsid w:val="00D34FC3"/>
    <w:rsid w:val="00D36036"/>
    <w:rsid w:val="00D362D5"/>
    <w:rsid w:val="00D370F5"/>
    <w:rsid w:val="00D37645"/>
    <w:rsid w:val="00D376E0"/>
    <w:rsid w:val="00D3792E"/>
    <w:rsid w:val="00D37F54"/>
    <w:rsid w:val="00D4055C"/>
    <w:rsid w:val="00D405BD"/>
    <w:rsid w:val="00D41CD9"/>
    <w:rsid w:val="00D41EF4"/>
    <w:rsid w:val="00D42C61"/>
    <w:rsid w:val="00D42F72"/>
    <w:rsid w:val="00D43849"/>
    <w:rsid w:val="00D4427A"/>
    <w:rsid w:val="00D4454B"/>
    <w:rsid w:val="00D445BD"/>
    <w:rsid w:val="00D4464D"/>
    <w:rsid w:val="00D4468C"/>
    <w:rsid w:val="00D44975"/>
    <w:rsid w:val="00D44F16"/>
    <w:rsid w:val="00D4554C"/>
    <w:rsid w:val="00D45555"/>
    <w:rsid w:val="00D455D8"/>
    <w:rsid w:val="00D45CEE"/>
    <w:rsid w:val="00D46519"/>
    <w:rsid w:val="00D468C0"/>
    <w:rsid w:val="00D46D7A"/>
    <w:rsid w:val="00D46E47"/>
    <w:rsid w:val="00D47EFB"/>
    <w:rsid w:val="00D50514"/>
    <w:rsid w:val="00D50F0F"/>
    <w:rsid w:val="00D510B8"/>
    <w:rsid w:val="00D5173E"/>
    <w:rsid w:val="00D51D9B"/>
    <w:rsid w:val="00D520AB"/>
    <w:rsid w:val="00D52678"/>
    <w:rsid w:val="00D52C09"/>
    <w:rsid w:val="00D5302E"/>
    <w:rsid w:val="00D530D6"/>
    <w:rsid w:val="00D5341D"/>
    <w:rsid w:val="00D53D1B"/>
    <w:rsid w:val="00D540FD"/>
    <w:rsid w:val="00D54F4E"/>
    <w:rsid w:val="00D5516D"/>
    <w:rsid w:val="00D55721"/>
    <w:rsid w:val="00D55748"/>
    <w:rsid w:val="00D55E80"/>
    <w:rsid w:val="00D55ECF"/>
    <w:rsid w:val="00D55F05"/>
    <w:rsid w:val="00D56718"/>
    <w:rsid w:val="00D56A43"/>
    <w:rsid w:val="00D56AF8"/>
    <w:rsid w:val="00D56F07"/>
    <w:rsid w:val="00D56F0D"/>
    <w:rsid w:val="00D57028"/>
    <w:rsid w:val="00D57540"/>
    <w:rsid w:val="00D57E29"/>
    <w:rsid w:val="00D60060"/>
    <w:rsid w:val="00D61295"/>
    <w:rsid w:val="00D61938"/>
    <w:rsid w:val="00D62186"/>
    <w:rsid w:val="00D62486"/>
    <w:rsid w:val="00D634FE"/>
    <w:rsid w:val="00D638AE"/>
    <w:rsid w:val="00D6395F"/>
    <w:rsid w:val="00D63CE5"/>
    <w:rsid w:val="00D645F9"/>
    <w:rsid w:val="00D6476F"/>
    <w:rsid w:val="00D6480A"/>
    <w:rsid w:val="00D652C8"/>
    <w:rsid w:val="00D65355"/>
    <w:rsid w:val="00D65644"/>
    <w:rsid w:val="00D658CD"/>
    <w:rsid w:val="00D65EB1"/>
    <w:rsid w:val="00D6672A"/>
    <w:rsid w:val="00D67B21"/>
    <w:rsid w:val="00D67BB9"/>
    <w:rsid w:val="00D67D5C"/>
    <w:rsid w:val="00D70466"/>
    <w:rsid w:val="00D711F9"/>
    <w:rsid w:val="00D7139F"/>
    <w:rsid w:val="00D71AA8"/>
    <w:rsid w:val="00D71CF0"/>
    <w:rsid w:val="00D72405"/>
    <w:rsid w:val="00D727EC"/>
    <w:rsid w:val="00D72A55"/>
    <w:rsid w:val="00D735F8"/>
    <w:rsid w:val="00D744E1"/>
    <w:rsid w:val="00D7451B"/>
    <w:rsid w:val="00D74556"/>
    <w:rsid w:val="00D74E68"/>
    <w:rsid w:val="00D74F02"/>
    <w:rsid w:val="00D753F1"/>
    <w:rsid w:val="00D75ACA"/>
    <w:rsid w:val="00D75C9E"/>
    <w:rsid w:val="00D77391"/>
    <w:rsid w:val="00D774D6"/>
    <w:rsid w:val="00D77BB4"/>
    <w:rsid w:val="00D77D98"/>
    <w:rsid w:val="00D80EF1"/>
    <w:rsid w:val="00D80F81"/>
    <w:rsid w:val="00D822C3"/>
    <w:rsid w:val="00D82C92"/>
    <w:rsid w:val="00D831A9"/>
    <w:rsid w:val="00D84322"/>
    <w:rsid w:val="00D84377"/>
    <w:rsid w:val="00D844C1"/>
    <w:rsid w:val="00D84886"/>
    <w:rsid w:val="00D849F4"/>
    <w:rsid w:val="00D84E49"/>
    <w:rsid w:val="00D84F2E"/>
    <w:rsid w:val="00D859C6"/>
    <w:rsid w:val="00D86547"/>
    <w:rsid w:val="00D86D72"/>
    <w:rsid w:val="00D87597"/>
    <w:rsid w:val="00D87E56"/>
    <w:rsid w:val="00D90667"/>
    <w:rsid w:val="00D9077A"/>
    <w:rsid w:val="00D907A6"/>
    <w:rsid w:val="00D90B52"/>
    <w:rsid w:val="00D9127D"/>
    <w:rsid w:val="00D918D9"/>
    <w:rsid w:val="00D921A1"/>
    <w:rsid w:val="00D92300"/>
    <w:rsid w:val="00D9232C"/>
    <w:rsid w:val="00D929D9"/>
    <w:rsid w:val="00D938C5"/>
    <w:rsid w:val="00D93EEC"/>
    <w:rsid w:val="00D9459D"/>
    <w:rsid w:val="00D949A0"/>
    <w:rsid w:val="00D949AE"/>
    <w:rsid w:val="00D94BEC"/>
    <w:rsid w:val="00D95011"/>
    <w:rsid w:val="00D959D5"/>
    <w:rsid w:val="00D96497"/>
    <w:rsid w:val="00D9654D"/>
    <w:rsid w:val="00D9699B"/>
    <w:rsid w:val="00D97611"/>
    <w:rsid w:val="00D9788A"/>
    <w:rsid w:val="00D97EE3"/>
    <w:rsid w:val="00DA02DE"/>
    <w:rsid w:val="00DA09CE"/>
    <w:rsid w:val="00DA0FCE"/>
    <w:rsid w:val="00DA124E"/>
    <w:rsid w:val="00DA18C3"/>
    <w:rsid w:val="00DA18E0"/>
    <w:rsid w:val="00DA1B06"/>
    <w:rsid w:val="00DA2246"/>
    <w:rsid w:val="00DA24A1"/>
    <w:rsid w:val="00DA24D0"/>
    <w:rsid w:val="00DA2817"/>
    <w:rsid w:val="00DA2F4F"/>
    <w:rsid w:val="00DA3340"/>
    <w:rsid w:val="00DA35BF"/>
    <w:rsid w:val="00DA3769"/>
    <w:rsid w:val="00DA3867"/>
    <w:rsid w:val="00DA3B98"/>
    <w:rsid w:val="00DA3E9B"/>
    <w:rsid w:val="00DA4417"/>
    <w:rsid w:val="00DA538F"/>
    <w:rsid w:val="00DA54E5"/>
    <w:rsid w:val="00DA55CF"/>
    <w:rsid w:val="00DA5D9B"/>
    <w:rsid w:val="00DA5E4C"/>
    <w:rsid w:val="00DA6496"/>
    <w:rsid w:val="00DA6811"/>
    <w:rsid w:val="00DA6C68"/>
    <w:rsid w:val="00DA74CE"/>
    <w:rsid w:val="00DA7970"/>
    <w:rsid w:val="00DA7AD9"/>
    <w:rsid w:val="00DA7FB3"/>
    <w:rsid w:val="00DB0469"/>
    <w:rsid w:val="00DB0DCF"/>
    <w:rsid w:val="00DB2637"/>
    <w:rsid w:val="00DB29E0"/>
    <w:rsid w:val="00DB3199"/>
    <w:rsid w:val="00DB3B0A"/>
    <w:rsid w:val="00DB3BF2"/>
    <w:rsid w:val="00DB423F"/>
    <w:rsid w:val="00DB455F"/>
    <w:rsid w:val="00DB4578"/>
    <w:rsid w:val="00DB4FE3"/>
    <w:rsid w:val="00DB5D32"/>
    <w:rsid w:val="00DB5FB7"/>
    <w:rsid w:val="00DB6721"/>
    <w:rsid w:val="00DB68A2"/>
    <w:rsid w:val="00DB6E8F"/>
    <w:rsid w:val="00DB753A"/>
    <w:rsid w:val="00DB78C9"/>
    <w:rsid w:val="00DB7DB0"/>
    <w:rsid w:val="00DB7E17"/>
    <w:rsid w:val="00DB7E42"/>
    <w:rsid w:val="00DC04B3"/>
    <w:rsid w:val="00DC071F"/>
    <w:rsid w:val="00DC07FF"/>
    <w:rsid w:val="00DC0BD3"/>
    <w:rsid w:val="00DC1233"/>
    <w:rsid w:val="00DC1308"/>
    <w:rsid w:val="00DC1439"/>
    <w:rsid w:val="00DC1AEE"/>
    <w:rsid w:val="00DC219D"/>
    <w:rsid w:val="00DC2414"/>
    <w:rsid w:val="00DC2572"/>
    <w:rsid w:val="00DC2ED1"/>
    <w:rsid w:val="00DC3369"/>
    <w:rsid w:val="00DC3667"/>
    <w:rsid w:val="00DC37E4"/>
    <w:rsid w:val="00DC4132"/>
    <w:rsid w:val="00DC4769"/>
    <w:rsid w:val="00DC4955"/>
    <w:rsid w:val="00DC5134"/>
    <w:rsid w:val="00DC5259"/>
    <w:rsid w:val="00DC52A0"/>
    <w:rsid w:val="00DC569E"/>
    <w:rsid w:val="00DC581A"/>
    <w:rsid w:val="00DC58F4"/>
    <w:rsid w:val="00DC5E24"/>
    <w:rsid w:val="00DC644F"/>
    <w:rsid w:val="00DC65ED"/>
    <w:rsid w:val="00DC66FC"/>
    <w:rsid w:val="00DC700C"/>
    <w:rsid w:val="00DC77B6"/>
    <w:rsid w:val="00DC7F7F"/>
    <w:rsid w:val="00DD05A6"/>
    <w:rsid w:val="00DD0D1B"/>
    <w:rsid w:val="00DD0FE6"/>
    <w:rsid w:val="00DD10B2"/>
    <w:rsid w:val="00DD1288"/>
    <w:rsid w:val="00DD1327"/>
    <w:rsid w:val="00DD1429"/>
    <w:rsid w:val="00DD1A33"/>
    <w:rsid w:val="00DD1D80"/>
    <w:rsid w:val="00DD27DC"/>
    <w:rsid w:val="00DD2A7C"/>
    <w:rsid w:val="00DD2EF6"/>
    <w:rsid w:val="00DD30FC"/>
    <w:rsid w:val="00DD3950"/>
    <w:rsid w:val="00DD3C50"/>
    <w:rsid w:val="00DD3E4E"/>
    <w:rsid w:val="00DD44C7"/>
    <w:rsid w:val="00DD49B3"/>
    <w:rsid w:val="00DD4E72"/>
    <w:rsid w:val="00DD5584"/>
    <w:rsid w:val="00DD58C4"/>
    <w:rsid w:val="00DD6176"/>
    <w:rsid w:val="00DD61E0"/>
    <w:rsid w:val="00DD6557"/>
    <w:rsid w:val="00DD67CD"/>
    <w:rsid w:val="00DD67D5"/>
    <w:rsid w:val="00DD6D28"/>
    <w:rsid w:val="00DD6D6A"/>
    <w:rsid w:val="00DD703A"/>
    <w:rsid w:val="00DD7C4E"/>
    <w:rsid w:val="00DD7DAB"/>
    <w:rsid w:val="00DE01D4"/>
    <w:rsid w:val="00DE051E"/>
    <w:rsid w:val="00DE0A4C"/>
    <w:rsid w:val="00DE1B77"/>
    <w:rsid w:val="00DE1BB3"/>
    <w:rsid w:val="00DE1D34"/>
    <w:rsid w:val="00DE1D96"/>
    <w:rsid w:val="00DE26D1"/>
    <w:rsid w:val="00DE2B73"/>
    <w:rsid w:val="00DE3271"/>
    <w:rsid w:val="00DE337A"/>
    <w:rsid w:val="00DE46EF"/>
    <w:rsid w:val="00DE4A22"/>
    <w:rsid w:val="00DE574D"/>
    <w:rsid w:val="00DE57DE"/>
    <w:rsid w:val="00DE5B3B"/>
    <w:rsid w:val="00DE6013"/>
    <w:rsid w:val="00DE65CE"/>
    <w:rsid w:val="00DE6733"/>
    <w:rsid w:val="00DE6F4B"/>
    <w:rsid w:val="00DE71D7"/>
    <w:rsid w:val="00DE77E6"/>
    <w:rsid w:val="00DE7F65"/>
    <w:rsid w:val="00DE7FCA"/>
    <w:rsid w:val="00DF0472"/>
    <w:rsid w:val="00DF0757"/>
    <w:rsid w:val="00DF1008"/>
    <w:rsid w:val="00DF1032"/>
    <w:rsid w:val="00DF1731"/>
    <w:rsid w:val="00DF2343"/>
    <w:rsid w:val="00DF2EE8"/>
    <w:rsid w:val="00DF38BD"/>
    <w:rsid w:val="00DF3EFE"/>
    <w:rsid w:val="00DF4739"/>
    <w:rsid w:val="00DF478D"/>
    <w:rsid w:val="00DF4C40"/>
    <w:rsid w:val="00DF4D21"/>
    <w:rsid w:val="00DF5D10"/>
    <w:rsid w:val="00DF6015"/>
    <w:rsid w:val="00DF6452"/>
    <w:rsid w:val="00DF6549"/>
    <w:rsid w:val="00DF6799"/>
    <w:rsid w:val="00DF6A21"/>
    <w:rsid w:val="00DF7106"/>
    <w:rsid w:val="00DF756F"/>
    <w:rsid w:val="00DF762C"/>
    <w:rsid w:val="00DF767F"/>
    <w:rsid w:val="00DF7BE7"/>
    <w:rsid w:val="00E00E8B"/>
    <w:rsid w:val="00E01050"/>
    <w:rsid w:val="00E01353"/>
    <w:rsid w:val="00E015FD"/>
    <w:rsid w:val="00E021BD"/>
    <w:rsid w:val="00E0278A"/>
    <w:rsid w:val="00E032A0"/>
    <w:rsid w:val="00E03324"/>
    <w:rsid w:val="00E03C71"/>
    <w:rsid w:val="00E040F1"/>
    <w:rsid w:val="00E04596"/>
    <w:rsid w:val="00E0462C"/>
    <w:rsid w:val="00E05888"/>
    <w:rsid w:val="00E05C5B"/>
    <w:rsid w:val="00E06169"/>
    <w:rsid w:val="00E0686A"/>
    <w:rsid w:val="00E06E90"/>
    <w:rsid w:val="00E07FE4"/>
    <w:rsid w:val="00E101C1"/>
    <w:rsid w:val="00E10291"/>
    <w:rsid w:val="00E102D5"/>
    <w:rsid w:val="00E10C51"/>
    <w:rsid w:val="00E10C91"/>
    <w:rsid w:val="00E117F7"/>
    <w:rsid w:val="00E11E49"/>
    <w:rsid w:val="00E127A9"/>
    <w:rsid w:val="00E1296E"/>
    <w:rsid w:val="00E13755"/>
    <w:rsid w:val="00E13F09"/>
    <w:rsid w:val="00E142A4"/>
    <w:rsid w:val="00E15166"/>
    <w:rsid w:val="00E15AD0"/>
    <w:rsid w:val="00E165D4"/>
    <w:rsid w:val="00E16D0E"/>
    <w:rsid w:val="00E16FA1"/>
    <w:rsid w:val="00E170A3"/>
    <w:rsid w:val="00E17118"/>
    <w:rsid w:val="00E17384"/>
    <w:rsid w:val="00E17921"/>
    <w:rsid w:val="00E20393"/>
    <w:rsid w:val="00E2061A"/>
    <w:rsid w:val="00E20CDD"/>
    <w:rsid w:val="00E20DA2"/>
    <w:rsid w:val="00E211BA"/>
    <w:rsid w:val="00E21BC6"/>
    <w:rsid w:val="00E21D4A"/>
    <w:rsid w:val="00E21DBC"/>
    <w:rsid w:val="00E21EDD"/>
    <w:rsid w:val="00E22006"/>
    <w:rsid w:val="00E2223D"/>
    <w:rsid w:val="00E22AA9"/>
    <w:rsid w:val="00E23626"/>
    <w:rsid w:val="00E240F0"/>
    <w:rsid w:val="00E2444F"/>
    <w:rsid w:val="00E246AD"/>
    <w:rsid w:val="00E2487B"/>
    <w:rsid w:val="00E24B7A"/>
    <w:rsid w:val="00E25582"/>
    <w:rsid w:val="00E25603"/>
    <w:rsid w:val="00E25F5E"/>
    <w:rsid w:val="00E261BC"/>
    <w:rsid w:val="00E262D6"/>
    <w:rsid w:val="00E26C37"/>
    <w:rsid w:val="00E26EED"/>
    <w:rsid w:val="00E274B2"/>
    <w:rsid w:val="00E27A7F"/>
    <w:rsid w:val="00E27B3E"/>
    <w:rsid w:val="00E30ABB"/>
    <w:rsid w:val="00E30B9D"/>
    <w:rsid w:val="00E3111A"/>
    <w:rsid w:val="00E319D2"/>
    <w:rsid w:val="00E31BC7"/>
    <w:rsid w:val="00E32C4C"/>
    <w:rsid w:val="00E32F95"/>
    <w:rsid w:val="00E332D2"/>
    <w:rsid w:val="00E3333B"/>
    <w:rsid w:val="00E334D9"/>
    <w:rsid w:val="00E335C1"/>
    <w:rsid w:val="00E33CD3"/>
    <w:rsid w:val="00E33D6B"/>
    <w:rsid w:val="00E33EBD"/>
    <w:rsid w:val="00E340E7"/>
    <w:rsid w:val="00E34BE2"/>
    <w:rsid w:val="00E3554D"/>
    <w:rsid w:val="00E36A7A"/>
    <w:rsid w:val="00E373E2"/>
    <w:rsid w:val="00E3753C"/>
    <w:rsid w:val="00E37DC0"/>
    <w:rsid w:val="00E40C02"/>
    <w:rsid w:val="00E41089"/>
    <w:rsid w:val="00E411C3"/>
    <w:rsid w:val="00E419CA"/>
    <w:rsid w:val="00E41CE3"/>
    <w:rsid w:val="00E42221"/>
    <w:rsid w:val="00E429B5"/>
    <w:rsid w:val="00E436EB"/>
    <w:rsid w:val="00E438B2"/>
    <w:rsid w:val="00E43C3B"/>
    <w:rsid w:val="00E43D6D"/>
    <w:rsid w:val="00E44272"/>
    <w:rsid w:val="00E44D33"/>
    <w:rsid w:val="00E44E3C"/>
    <w:rsid w:val="00E4572E"/>
    <w:rsid w:val="00E459E6"/>
    <w:rsid w:val="00E46277"/>
    <w:rsid w:val="00E467C4"/>
    <w:rsid w:val="00E4713E"/>
    <w:rsid w:val="00E471D8"/>
    <w:rsid w:val="00E5054B"/>
    <w:rsid w:val="00E5073D"/>
    <w:rsid w:val="00E509B9"/>
    <w:rsid w:val="00E509EA"/>
    <w:rsid w:val="00E50B06"/>
    <w:rsid w:val="00E50D1E"/>
    <w:rsid w:val="00E50E94"/>
    <w:rsid w:val="00E50F9B"/>
    <w:rsid w:val="00E50FE2"/>
    <w:rsid w:val="00E511B5"/>
    <w:rsid w:val="00E51B19"/>
    <w:rsid w:val="00E51C2B"/>
    <w:rsid w:val="00E51DC0"/>
    <w:rsid w:val="00E521B8"/>
    <w:rsid w:val="00E52741"/>
    <w:rsid w:val="00E529BC"/>
    <w:rsid w:val="00E538D7"/>
    <w:rsid w:val="00E54250"/>
    <w:rsid w:val="00E55366"/>
    <w:rsid w:val="00E553CD"/>
    <w:rsid w:val="00E5553D"/>
    <w:rsid w:val="00E561E3"/>
    <w:rsid w:val="00E56637"/>
    <w:rsid w:val="00E57032"/>
    <w:rsid w:val="00E572CB"/>
    <w:rsid w:val="00E57666"/>
    <w:rsid w:val="00E577C4"/>
    <w:rsid w:val="00E57ED1"/>
    <w:rsid w:val="00E60642"/>
    <w:rsid w:val="00E6087C"/>
    <w:rsid w:val="00E60B3F"/>
    <w:rsid w:val="00E611D9"/>
    <w:rsid w:val="00E612E0"/>
    <w:rsid w:val="00E61955"/>
    <w:rsid w:val="00E61C54"/>
    <w:rsid w:val="00E622D4"/>
    <w:rsid w:val="00E62BC8"/>
    <w:rsid w:val="00E63257"/>
    <w:rsid w:val="00E6358C"/>
    <w:rsid w:val="00E63AFA"/>
    <w:rsid w:val="00E643BE"/>
    <w:rsid w:val="00E64A98"/>
    <w:rsid w:val="00E64AD7"/>
    <w:rsid w:val="00E64FFE"/>
    <w:rsid w:val="00E65BBC"/>
    <w:rsid w:val="00E667D8"/>
    <w:rsid w:val="00E66F94"/>
    <w:rsid w:val="00E6771C"/>
    <w:rsid w:val="00E678D4"/>
    <w:rsid w:val="00E6799A"/>
    <w:rsid w:val="00E7000A"/>
    <w:rsid w:val="00E705C9"/>
    <w:rsid w:val="00E709CA"/>
    <w:rsid w:val="00E711D8"/>
    <w:rsid w:val="00E71515"/>
    <w:rsid w:val="00E718A7"/>
    <w:rsid w:val="00E71AE3"/>
    <w:rsid w:val="00E72117"/>
    <w:rsid w:val="00E72B92"/>
    <w:rsid w:val="00E72B93"/>
    <w:rsid w:val="00E7380C"/>
    <w:rsid w:val="00E73EFD"/>
    <w:rsid w:val="00E74181"/>
    <w:rsid w:val="00E74309"/>
    <w:rsid w:val="00E74497"/>
    <w:rsid w:val="00E74A9D"/>
    <w:rsid w:val="00E74C6F"/>
    <w:rsid w:val="00E75265"/>
    <w:rsid w:val="00E752D8"/>
    <w:rsid w:val="00E760CC"/>
    <w:rsid w:val="00E7615C"/>
    <w:rsid w:val="00E765BF"/>
    <w:rsid w:val="00E76D31"/>
    <w:rsid w:val="00E77025"/>
    <w:rsid w:val="00E7791F"/>
    <w:rsid w:val="00E77D8A"/>
    <w:rsid w:val="00E800BA"/>
    <w:rsid w:val="00E800C6"/>
    <w:rsid w:val="00E802BD"/>
    <w:rsid w:val="00E8037C"/>
    <w:rsid w:val="00E8075F"/>
    <w:rsid w:val="00E80CBC"/>
    <w:rsid w:val="00E80ED2"/>
    <w:rsid w:val="00E81240"/>
    <w:rsid w:val="00E82896"/>
    <w:rsid w:val="00E82F38"/>
    <w:rsid w:val="00E83853"/>
    <w:rsid w:val="00E83A25"/>
    <w:rsid w:val="00E83D96"/>
    <w:rsid w:val="00E83F83"/>
    <w:rsid w:val="00E84C2E"/>
    <w:rsid w:val="00E86E07"/>
    <w:rsid w:val="00E874DF"/>
    <w:rsid w:val="00E8767E"/>
    <w:rsid w:val="00E8781B"/>
    <w:rsid w:val="00E87942"/>
    <w:rsid w:val="00E879CE"/>
    <w:rsid w:val="00E907B4"/>
    <w:rsid w:val="00E909AB"/>
    <w:rsid w:val="00E91361"/>
    <w:rsid w:val="00E914F3"/>
    <w:rsid w:val="00E9268D"/>
    <w:rsid w:val="00E92A5F"/>
    <w:rsid w:val="00E9341C"/>
    <w:rsid w:val="00E93960"/>
    <w:rsid w:val="00E93D92"/>
    <w:rsid w:val="00E9408A"/>
    <w:rsid w:val="00E94533"/>
    <w:rsid w:val="00E94B5A"/>
    <w:rsid w:val="00E94CA9"/>
    <w:rsid w:val="00E95122"/>
    <w:rsid w:val="00E952B4"/>
    <w:rsid w:val="00E95415"/>
    <w:rsid w:val="00E957CB"/>
    <w:rsid w:val="00E96492"/>
    <w:rsid w:val="00E97330"/>
    <w:rsid w:val="00E973D9"/>
    <w:rsid w:val="00EA0402"/>
    <w:rsid w:val="00EA15E0"/>
    <w:rsid w:val="00EA17B4"/>
    <w:rsid w:val="00EA2239"/>
    <w:rsid w:val="00EA2D70"/>
    <w:rsid w:val="00EA321F"/>
    <w:rsid w:val="00EA3441"/>
    <w:rsid w:val="00EA3504"/>
    <w:rsid w:val="00EA3F65"/>
    <w:rsid w:val="00EA3FED"/>
    <w:rsid w:val="00EA408F"/>
    <w:rsid w:val="00EA4791"/>
    <w:rsid w:val="00EA5070"/>
    <w:rsid w:val="00EA5D00"/>
    <w:rsid w:val="00EA6856"/>
    <w:rsid w:val="00EA7191"/>
    <w:rsid w:val="00EA7398"/>
    <w:rsid w:val="00EA7587"/>
    <w:rsid w:val="00EA7BCF"/>
    <w:rsid w:val="00EB00C1"/>
    <w:rsid w:val="00EB0147"/>
    <w:rsid w:val="00EB01F6"/>
    <w:rsid w:val="00EB048B"/>
    <w:rsid w:val="00EB088D"/>
    <w:rsid w:val="00EB093E"/>
    <w:rsid w:val="00EB0EE0"/>
    <w:rsid w:val="00EB10F6"/>
    <w:rsid w:val="00EB135B"/>
    <w:rsid w:val="00EB138F"/>
    <w:rsid w:val="00EB1814"/>
    <w:rsid w:val="00EB18AD"/>
    <w:rsid w:val="00EB222E"/>
    <w:rsid w:val="00EB2337"/>
    <w:rsid w:val="00EB3187"/>
    <w:rsid w:val="00EB3395"/>
    <w:rsid w:val="00EB4770"/>
    <w:rsid w:val="00EB4985"/>
    <w:rsid w:val="00EB4D6B"/>
    <w:rsid w:val="00EB4D88"/>
    <w:rsid w:val="00EB5168"/>
    <w:rsid w:val="00EB5E04"/>
    <w:rsid w:val="00EB61F2"/>
    <w:rsid w:val="00EB65FD"/>
    <w:rsid w:val="00EB6668"/>
    <w:rsid w:val="00EB6688"/>
    <w:rsid w:val="00EB713B"/>
    <w:rsid w:val="00EB720B"/>
    <w:rsid w:val="00EB7624"/>
    <w:rsid w:val="00EB7D12"/>
    <w:rsid w:val="00EB7DDA"/>
    <w:rsid w:val="00EC15C1"/>
    <w:rsid w:val="00EC1FBF"/>
    <w:rsid w:val="00EC1FDB"/>
    <w:rsid w:val="00EC2080"/>
    <w:rsid w:val="00EC2837"/>
    <w:rsid w:val="00EC292B"/>
    <w:rsid w:val="00EC2AD7"/>
    <w:rsid w:val="00EC2B34"/>
    <w:rsid w:val="00EC345D"/>
    <w:rsid w:val="00EC35CB"/>
    <w:rsid w:val="00EC3B6C"/>
    <w:rsid w:val="00EC44B2"/>
    <w:rsid w:val="00EC4901"/>
    <w:rsid w:val="00EC4B74"/>
    <w:rsid w:val="00EC4E47"/>
    <w:rsid w:val="00EC5933"/>
    <w:rsid w:val="00EC6923"/>
    <w:rsid w:val="00EC7135"/>
    <w:rsid w:val="00EC76DC"/>
    <w:rsid w:val="00EC76EC"/>
    <w:rsid w:val="00ED0269"/>
    <w:rsid w:val="00ED0522"/>
    <w:rsid w:val="00ED0BDB"/>
    <w:rsid w:val="00ED0D81"/>
    <w:rsid w:val="00ED12AB"/>
    <w:rsid w:val="00ED14AB"/>
    <w:rsid w:val="00ED161C"/>
    <w:rsid w:val="00ED18C7"/>
    <w:rsid w:val="00ED1BF2"/>
    <w:rsid w:val="00ED1F45"/>
    <w:rsid w:val="00ED289D"/>
    <w:rsid w:val="00ED2B48"/>
    <w:rsid w:val="00ED2D64"/>
    <w:rsid w:val="00ED3A85"/>
    <w:rsid w:val="00ED3AF1"/>
    <w:rsid w:val="00ED49D8"/>
    <w:rsid w:val="00ED4C0A"/>
    <w:rsid w:val="00ED551E"/>
    <w:rsid w:val="00ED5751"/>
    <w:rsid w:val="00ED5D31"/>
    <w:rsid w:val="00ED66FD"/>
    <w:rsid w:val="00ED6A2E"/>
    <w:rsid w:val="00ED6E0D"/>
    <w:rsid w:val="00ED7778"/>
    <w:rsid w:val="00ED7BE7"/>
    <w:rsid w:val="00ED7CB9"/>
    <w:rsid w:val="00ED7E50"/>
    <w:rsid w:val="00EE0676"/>
    <w:rsid w:val="00EE072B"/>
    <w:rsid w:val="00EE0CBF"/>
    <w:rsid w:val="00EE1129"/>
    <w:rsid w:val="00EE1165"/>
    <w:rsid w:val="00EE13A0"/>
    <w:rsid w:val="00EE1698"/>
    <w:rsid w:val="00EE1D01"/>
    <w:rsid w:val="00EE1DA6"/>
    <w:rsid w:val="00EE1EF8"/>
    <w:rsid w:val="00EE2457"/>
    <w:rsid w:val="00EE2996"/>
    <w:rsid w:val="00EE29FE"/>
    <w:rsid w:val="00EE2B79"/>
    <w:rsid w:val="00EE2BC9"/>
    <w:rsid w:val="00EE2C3C"/>
    <w:rsid w:val="00EE3C7D"/>
    <w:rsid w:val="00EE3D47"/>
    <w:rsid w:val="00EE4D67"/>
    <w:rsid w:val="00EE5927"/>
    <w:rsid w:val="00EE601C"/>
    <w:rsid w:val="00EE60C0"/>
    <w:rsid w:val="00EE6476"/>
    <w:rsid w:val="00EE6F64"/>
    <w:rsid w:val="00EE74A3"/>
    <w:rsid w:val="00EE7532"/>
    <w:rsid w:val="00EE7673"/>
    <w:rsid w:val="00EE76AC"/>
    <w:rsid w:val="00EE7976"/>
    <w:rsid w:val="00EF094D"/>
    <w:rsid w:val="00EF0A31"/>
    <w:rsid w:val="00EF1099"/>
    <w:rsid w:val="00EF1587"/>
    <w:rsid w:val="00EF1DE6"/>
    <w:rsid w:val="00EF1ED9"/>
    <w:rsid w:val="00EF225C"/>
    <w:rsid w:val="00EF2437"/>
    <w:rsid w:val="00EF2CC9"/>
    <w:rsid w:val="00EF3784"/>
    <w:rsid w:val="00EF3B4B"/>
    <w:rsid w:val="00EF3C6C"/>
    <w:rsid w:val="00EF454F"/>
    <w:rsid w:val="00EF49CD"/>
    <w:rsid w:val="00EF4E53"/>
    <w:rsid w:val="00EF516E"/>
    <w:rsid w:val="00EF57ED"/>
    <w:rsid w:val="00EF5B06"/>
    <w:rsid w:val="00EF5D42"/>
    <w:rsid w:val="00EF639F"/>
    <w:rsid w:val="00EF64DB"/>
    <w:rsid w:val="00EF6733"/>
    <w:rsid w:val="00EF6B0D"/>
    <w:rsid w:val="00EF6CD3"/>
    <w:rsid w:val="00EF6CF7"/>
    <w:rsid w:val="00EF7087"/>
    <w:rsid w:val="00EF73DB"/>
    <w:rsid w:val="00EF7609"/>
    <w:rsid w:val="00EF769A"/>
    <w:rsid w:val="00EF7B88"/>
    <w:rsid w:val="00EF7E53"/>
    <w:rsid w:val="00F00501"/>
    <w:rsid w:val="00F0073D"/>
    <w:rsid w:val="00F01E42"/>
    <w:rsid w:val="00F02EAB"/>
    <w:rsid w:val="00F037CD"/>
    <w:rsid w:val="00F03824"/>
    <w:rsid w:val="00F039BF"/>
    <w:rsid w:val="00F04794"/>
    <w:rsid w:val="00F04DAB"/>
    <w:rsid w:val="00F04EDB"/>
    <w:rsid w:val="00F04F8F"/>
    <w:rsid w:val="00F052B8"/>
    <w:rsid w:val="00F054DC"/>
    <w:rsid w:val="00F05F7A"/>
    <w:rsid w:val="00F060DA"/>
    <w:rsid w:val="00F06689"/>
    <w:rsid w:val="00F06708"/>
    <w:rsid w:val="00F0733E"/>
    <w:rsid w:val="00F07494"/>
    <w:rsid w:val="00F074E2"/>
    <w:rsid w:val="00F078A9"/>
    <w:rsid w:val="00F07B31"/>
    <w:rsid w:val="00F1106B"/>
    <w:rsid w:val="00F11EC0"/>
    <w:rsid w:val="00F1295A"/>
    <w:rsid w:val="00F12A92"/>
    <w:rsid w:val="00F12B82"/>
    <w:rsid w:val="00F12BA1"/>
    <w:rsid w:val="00F130DE"/>
    <w:rsid w:val="00F143D7"/>
    <w:rsid w:val="00F14A0E"/>
    <w:rsid w:val="00F14A28"/>
    <w:rsid w:val="00F15589"/>
    <w:rsid w:val="00F15794"/>
    <w:rsid w:val="00F16597"/>
    <w:rsid w:val="00F172D4"/>
    <w:rsid w:val="00F17A22"/>
    <w:rsid w:val="00F201C8"/>
    <w:rsid w:val="00F2095B"/>
    <w:rsid w:val="00F20B48"/>
    <w:rsid w:val="00F20DCA"/>
    <w:rsid w:val="00F216EF"/>
    <w:rsid w:val="00F21924"/>
    <w:rsid w:val="00F21B56"/>
    <w:rsid w:val="00F21C52"/>
    <w:rsid w:val="00F21EFB"/>
    <w:rsid w:val="00F2204E"/>
    <w:rsid w:val="00F221CD"/>
    <w:rsid w:val="00F22595"/>
    <w:rsid w:val="00F22DFD"/>
    <w:rsid w:val="00F22E27"/>
    <w:rsid w:val="00F23166"/>
    <w:rsid w:val="00F23366"/>
    <w:rsid w:val="00F234F8"/>
    <w:rsid w:val="00F235EB"/>
    <w:rsid w:val="00F23E0E"/>
    <w:rsid w:val="00F244DA"/>
    <w:rsid w:val="00F246B5"/>
    <w:rsid w:val="00F24903"/>
    <w:rsid w:val="00F24A1D"/>
    <w:rsid w:val="00F24D43"/>
    <w:rsid w:val="00F24D5B"/>
    <w:rsid w:val="00F25221"/>
    <w:rsid w:val="00F25357"/>
    <w:rsid w:val="00F277A9"/>
    <w:rsid w:val="00F27C2B"/>
    <w:rsid w:val="00F3049B"/>
    <w:rsid w:val="00F306C2"/>
    <w:rsid w:val="00F30840"/>
    <w:rsid w:val="00F3093F"/>
    <w:rsid w:val="00F30D5F"/>
    <w:rsid w:val="00F31725"/>
    <w:rsid w:val="00F3175B"/>
    <w:rsid w:val="00F3177E"/>
    <w:rsid w:val="00F31B00"/>
    <w:rsid w:val="00F3245C"/>
    <w:rsid w:val="00F32568"/>
    <w:rsid w:val="00F32A29"/>
    <w:rsid w:val="00F32BC5"/>
    <w:rsid w:val="00F32DCD"/>
    <w:rsid w:val="00F341FA"/>
    <w:rsid w:val="00F34AAA"/>
    <w:rsid w:val="00F35697"/>
    <w:rsid w:val="00F359DF"/>
    <w:rsid w:val="00F360E3"/>
    <w:rsid w:val="00F36787"/>
    <w:rsid w:val="00F367E9"/>
    <w:rsid w:val="00F3685E"/>
    <w:rsid w:val="00F36957"/>
    <w:rsid w:val="00F36BCA"/>
    <w:rsid w:val="00F37B51"/>
    <w:rsid w:val="00F37D12"/>
    <w:rsid w:val="00F40228"/>
    <w:rsid w:val="00F406CE"/>
    <w:rsid w:val="00F40F8F"/>
    <w:rsid w:val="00F4155D"/>
    <w:rsid w:val="00F422CC"/>
    <w:rsid w:val="00F429A1"/>
    <w:rsid w:val="00F42B9C"/>
    <w:rsid w:val="00F434A4"/>
    <w:rsid w:val="00F439A9"/>
    <w:rsid w:val="00F45194"/>
    <w:rsid w:val="00F4531B"/>
    <w:rsid w:val="00F45BA5"/>
    <w:rsid w:val="00F45E82"/>
    <w:rsid w:val="00F45EDE"/>
    <w:rsid w:val="00F45EEC"/>
    <w:rsid w:val="00F4698C"/>
    <w:rsid w:val="00F46C0C"/>
    <w:rsid w:val="00F46DC5"/>
    <w:rsid w:val="00F46E95"/>
    <w:rsid w:val="00F47CAA"/>
    <w:rsid w:val="00F47CE2"/>
    <w:rsid w:val="00F47FD1"/>
    <w:rsid w:val="00F51296"/>
    <w:rsid w:val="00F516A9"/>
    <w:rsid w:val="00F51797"/>
    <w:rsid w:val="00F5256E"/>
    <w:rsid w:val="00F53017"/>
    <w:rsid w:val="00F53BB2"/>
    <w:rsid w:val="00F54301"/>
    <w:rsid w:val="00F54398"/>
    <w:rsid w:val="00F54905"/>
    <w:rsid w:val="00F54AC0"/>
    <w:rsid w:val="00F54B54"/>
    <w:rsid w:val="00F55001"/>
    <w:rsid w:val="00F5539D"/>
    <w:rsid w:val="00F55AC7"/>
    <w:rsid w:val="00F56887"/>
    <w:rsid w:val="00F56D3D"/>
    <w:rsid w:val="00F56F07"/>
    <w:rsid w:val="00F57832"/>
    <w:rsid w:val="00F6021E"/>
    <w:rsid w:val="00F60276"/>
    <w:rsid w:val="00F60C83"/>
    <w:rsid w:val="00F60C98"/>
    <w:rsid w:val="00F612FC"/>
    <w:rsid w:val="00F61348"/>
    <w:rsid w:val="00F62F78"/>
    <w:rsid w:val="00F63063"/>
    <w:rsid w:val="00F636D1"/>
    <w:rsid w:val="00F6388D"/>
    <w:rsid w:val="00F63ADC"/>
    <w:rsid w:val="00F63E0E"/>
    <w:rsid w:val="00F63F86"/>
    <w:rsid w:val="00F641DA"/>
    <w:rsid w:val="00F64B6A"/>
    <w:rsid w:val="00F66095"/>
    <w:rsid w:val="00F6694E"/>
    <w:rsid w:val="00F66E21"/>
    <w:rsid w:val="00F66EC8"/>
    <w:rsid w:val="00F67A93"/>
    <w:rsid w:val="00F70562"/>
    <w:rsid w:val="00F71005"/>
    <w:rsid w:val="00F71172"/>
    <w:rsid w:val="00F71595"/>
    <w:rsid w:val="00F72211"/>
    <w:rsid w:val="00F7358D"/>
    <w:rsid w:val="00F7392C"/>
    <w:rsid w:val="00F73A39"/>
    <w:rsid w:val="00F74329"/>
    <w:rsid w:val="00F74530"/>
    <w:rsid w:val="00F74819"/>
    <w:rsid w:val="00F74EBC"/>
    <w:rsid w:val="00F751DB"/>
    <w:rsid w:val="00F75426"/>
    <w:rsid w:val="00F756E6"/>
    <w:rsid w:val="00F75B80"/>
    <w:rsid w:val="00F760CF"/>
    <w:rsid w:val="00F7634E"/>
    <w:rsid w:val="00F765BD"/>
    <w:rsid w:val="00F76B43"/>
    <w:rsid w:val="00F76D97"/>
    <w:rsid w:val="00F777CC"/>
    <w:rsid w:val="00F777D8"/>
    <w:rsid w:val="00F77ADA"/>
    <w:rsid w:val="00F80A7E"/>
    <w:rsid w:val="00F81019"/>
    <w:rsid w:val="00F815FA"/>
    <w:rsid w:val="00F81613"/>
    <w:rsid w:val="00F81DCE"/>
    <w:rsid w:val="00F82106"/>
    <w:rsid w:val="00F8268A"/>
    <w:rsid w:val="00F826BD"/>
    <w:rsid w:val="00F82AAA"/>
    <w:rsid w:val="00F82F9F"/>
    <w:rsid w:val="00F83033"/>
    <w:rsid w:val="00F836D0"/>
    <w:rsid w:val="00F83A9A"/>
    <w:rsid w:val="00F83C97"/>
    <w:rsid w:val="00F83CE9"/>
    <w:rsid w:val="00F8570E"/>
    <w:rsid w:val="00F85EEB"/>
    <w:rsid w:val="00F8615D"/>
    <w:rsid w:val="00F8633B"/>
    <w:rsid w:val="00F872CB"/>
    <w:rsid w:val="00F8756F"/>
    <w:rsid w:val="00F876BF"/>
    <w:rsid w:val="00F90236"/>
    <w:rsid w:val="00F903C4"/>
    <w:rsid w:val="00F9072B"/>
    <w:rsid w:val="00F908BB"/>
    <w:rsid w:val="00F90BE1"/>
    <w:rsid w:val="00F90FB3"/>
    <w:rsid w:val="00F9192C"/>
    <w:rsid w:val="00F91BCB"/>
    <w:rsid w:val="00F92566"/>
    <w:rsid w:val="00F92BF6"/>
    <w:rsid w:val="00F93AFC"/>
    <w:rsid w:val="00F94267"/>
    <w:rsid w:val="00F9431C"/>
    <w:rsid w:val="00F94587"/>
    <w:rsid w:val="00F94589"/>
    <w:rsid w:val="00F94FC0"/>
    <w:rsid w:val="00F955FE"/>
    <w:rsid w:val="00F95868"/>
    <w:rsid w:val="00F95DD9"/>
    <w:rsid w:val="00F963D3"/>
    <w:rsid w:val="00F968DB"/>
    <w:rsid w:val="00F96F6F"/>
    <w:rsid w:val="00F97318"/>
    <w:rsid w:val="00FA0DCB"/>
    <w:rsid w:val="00FA164E"/>
    <w:rsid w:val="00FA179C"/>
    <w:rsid w:val="00FA203E"/>
    <w:rsid w:val="00FA2372"/>
    <w:rsid w:val="00FA286A"/>
    <w:rsid w:val="00FA307F"/>
    <w:rsid w:val="00FA3B9E"/>
    <w:rsid w:val="00FA3EC7"/>
    <w:rsid w:val="00FA587F"/>
    <w:rsid w:val="00FA5998"/>
    <w:rsid w:val="00FA5B19"/>
    <w:rsid w:val="00FA5C3E"/>
    <w:rsid w:val="00FA5F37"/>
    <w:rsid w:val="00FA6839"/>
    <w:rsid w:val="00FA7532"/>
    <w:rsid w:val="00FA757C"/>
    <w:rsid w:val="00FA7C86"/>
    <w:rsid w:val="00FB0154"/>
    <w:rsid w:val="00FB0344"/>
    <w:rsid w:val="00FB05CF"/>
    <w:rsid w:val="00FB0866"/>
    <w:rsid w:val="00FB0932"/>
    <w:rsid w:val="00FB0970"/>
    <w:rsid w:val="00FB0EE2"/>
    <w:rsid w:val="00FB1564"/>
    <w:rsid w:val="00FB1B67"/>
    <w:rsid w:val="00FB1CCB"/>
    <w:rsid w:val="00FB210A"/>
    <w:rsid w:val="00FB2850"/>
    <w:rsid w:val="00FB2D69"/>
    <w:rsid w:val="00FB396D"/>
    <w:rsid w:val="00FB3CDE"/>
    <w:rsid w:val="00FB3F83"/>
    <w:rsid w:val="00FB4103"/>
    <w:rsid w:val="00FB5270"/>
    <w:rsid w:val="00FB5DD2"/>
    <w:rsid w:val="00FB65A4"/>
    <w:rsid w:val="00FB78AA"/>
    <w:rsid w:val="00FB7C23"/>
    <w:rsid w:val="00FC01F7"/>
    <w:rsid w:val="00FC02BA"/>
    <w:rsid w:val="00FC0401"/>
    <w:rsid w:val="00FC0DC3"/>
    <w:rsid w:val="00FC1324"/>
    <w:rsid w:val="00FC1402"/>
    <w:rsid w:val="00FC2048"/>
    <w:rsid w:val="00FC2242"/>
    <w:rsid w:val="00FC248B"/>
    <w:rsid w:val="00FC2840"/>
    <w:rsid w:val="00FC32E7"/>
    <w:rsid w:val="00FC4154"/>
    <w:rsid w:val="00FC4320"/>
    <w:rsid w:val="00FC451F"/>
    <w:rsid w:val="00FC4C32"/>
    <w:rsid w:val="00FC5130"/>
    <w:rsid w:val="00FC5253"/>
    <w:rsid w:val="00FC56E9"/>
    <w:rsid w:val="00FC5BB0"/>
    <w:rsid w:val="00FC5BDC"/>
    <w:rsid w:val="00FC65EB"/>
    <w:rsid w:val="00FC666D"/>
    <w:rsid w:val="00FC66D7"/>
    <w:rsid w:val="00FC7056"/>
    <w:rsid w:val="00FC7863"/>
    <w:rsid w:val="00FC79A4"/>
    <w:rsid w:val="00FD032E"/>
    <w:rsid w:val="00FD0816"/>
    <w:rsid w:val="00FD1124"/>
    <w:rsid w:val="00FD15A5"/>
    <w:rsid w:val="00FD16A8"/>
    <w:rsid w:val="00FD16E4"/>
    <w:rsid w:val="00FD1942"/>
    <w:rsid w:val="00FD1A9B"/>
    <w:rsid w:val="00FD1BF9"/>
    <w:rsid w:val="00FD211D"/>
    <w:rsid w:val="00FD2136"/>
    <w:rsid w:val="00FD2A9D"/>
    <w:rsid w:val="00FD2AF9"/>
    <w:rsid w:val="00FD2B42"/>
    <w:rsid w:val="00FD2C18"/>
    <w:rsid w:val="00FD2C40"/>
    <w:rsid w:val="00FD2D5A"/>
    <w:rsid w:val="00FD3477"/>
    <w:rsid w:val="00FD35E1"/>
    <w:rsid w:val="00FD3DFD"/>
    <w:rsid w:val="00FD3F8E"/>
    <w:rsid w:val="00FD4675"/>
    <w:rsid w:val="00FD5004"/>
    <w:rsid w:val="00FD5250"/>
    <w:rsid w:val="00FD54FB"/>
    <w:rsid w:val="00FD5A4A"/>
    <w:rsid w:val="00FD5B44"/>
    <w:rsid w:val="00FD5D88"/>
    <w:rsid w:val="00FD5EF3"/>
    <w:rsid w:val="00FD5F9E"/>
    <w:rsid w:val="00FD6A09"/>
    <w:rsid w:val="00FD731A"/>
    <w:rsid w:val="00FD7B86"/>
    <w:rsid w:val="00FD7D35"/>
    <w:rsid w:val="00FE02E3"/>
    <w:rsid w:val="00FE06A1"/>
    <w:rsid w:val="00FE0B8C"/>
    <w:rsid w:val="00FE1804"/>
    <w:rsid w:val="00FE2101"/>
    <w:rsid w:val="00FE24FE"/>
    <w:rsid w:val="00FE271A"/>
    <w:rsid w:val="00FE2D3F"/>
    <w:rsid w:val="00FE2E45"/>
    <w:rsid w:val="00FE34A1"/>
    <w:rsid w:val="00FE3587"/>
    <w:rsid w:val="00FE405F"/>
    <w:rsid w:val="00FE457E"/>
    <w:rsid w:val="00FE46A2"/>
    <w:rsid w:val="00FE4861"/>
    <w:rsid w:val="00FE58AD"/>
    <w:rsid w:val="00FE59E5"/>
    <w:rsid w:val="00FE6163"/>
    <w:rsid w:val="00FE68D3"/>
    <w:rsid w:val="00FE6C25"/>
    <w:rsid w:val="00FE70E8"/>
    <w:rsid w:val="00FE7505"/>
    <w:rsid w:val="00FE7A0B"/>
    <w:rsid w:val="00FE7A6E"/>
    <w:rsid w:val="00FE7BAE"/>
    <w:rsid w:val="00FF08A8"/>
    <w:rsid w:val="00FF0C1A"/>
    <w:rsid w:val="00FF0EFB"/>
    <w:rsid w:val="00FF203B"/>
    <w:rsid w:val="00FF250C"/>
    <w:rsid w:val="00FF28FC"/>
    <w:rsid w:val="00FF2DC3"/>
    <w:rsid w:val="00FF3352"/>
    <w:rsid w:val="00FF3445"/>
    <w:rsid w:val="00FF377B"/>
    <w:rsid w:val="00FF386B"/>
    <w:rsid w:val="00FF3A46"/>
    <w:rsid w:val="00FF3AAC"/>
    <w:rsid w:val="00FF4673"/>
    <w:rsid w:val="00FF5005"/>
    <w:rsid w:val="00FF5293"/>
    <w:rsid w:val="00FF53E6"/>
    <w:rsid w:val="00FF53FA"/>
    <w:rsid w:val="00FF5A10"/>
    <w:rsid w:val="00FF5A34"/>
    <w:rsid w:val="00FF606D"/>
    <w:rsid w:val="00FF6737"/>
    <w:rsid w:val="00FF68A1"/>
    <w:rsid w:val="00FF6A12"/>
    <w:rsid w:val="00FF6C91"/>
    <w:rsid w:val="00FF6F1F"/>
    <w:rsid w:val="00FF72B6"/>
    <w:rsid w:val="00FF74B7"/>
    <w:rsid w:val="00FF751A"/>
    <w:rsid w:val="00FF7D1C"/>
    <w:rsid w:val="05664386"/>
    <w:rsid w:val="057D3E5D"/>
    <w:rsid w:val="08029071"/>
    <w:rsid w:val="14E94143"/>
    <w:rsid w:val="15B5FB71"/>
    <w:rsid w:val="1BFF9974"/>
    <w:rsid w:val="1C5AEEAD"/>
    <w:rsid w:val="1F24561C"/>
    <w:rsid w:val="1F5941F1"/>
    <w:rsid w:val="24527BA6"/>
    <w:rsid w:val="2AADE59E"/>
    <w:rsid w:val="2F09CAF4"/>
    <w:rsid w:val="3017EC3C"/>
    <w:rsid w:val="380E47D5"/>
    <w:rsid w:val="3F157910"/>
    <w:rsid w:val="3F648DC4"/>
    <w:rsid w:val="4DE7B868"/>
    <w:rsid w:val="6172B577"/>
    <w:rsid w:val="658410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2BA8F"/>
  <w15:chartTrackingRefBased/>
  <w15:docId w15:val="{24933B2B-6F10-4320-A1F5-D5920BA21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164438"/>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5"/>
      </w:numPr>
      <w:spacing w:after="60"/>
    </w:pPr>
  </w:style>
  <w:style w:type="paragraph" w:styleId="ListBullet2">
    <w:name w:val="List Bullet 2"/>
    <w:basedOn w:val="Normal"/>
    <w:uiPriority w:val="2"/>
    <w:rsid w:val="00316310"/>
    <w:pPr>
      <w:numPr>
        <w:ilvl w:val="1"/>
        <w:numId w:val="5"/>
      </w:numPr>
      <w:spacing w:after="60"/>
    </w:pPr>
  </w:style>
  <w:style w:type="paragraph" w:styleId="ListBullet3">
    <w:name w:val="List Bullet 3"/>
    <w:basedOn w:val="Normal"/>
    <w:uiPriority w:val="2"/>
    <w:rsid w:val="00316310"/>
    <w:pPr>
      <w:numPr>
        <w:ilvl w:val="2"/>
        <w:numId w:val="5"/>
      </w:numPr>
      <w:spacing w:after="60"/>
    </w:pPr>
  </w:style>
  <w:style w:type="paragraph" w:styleId="ListBullet4">
    <w:name w:val="List Bullet 4"/>
    <w:basedOn w:val="Normal"/>
    <w:uiPriority w:val="2"/>
    <w:rsid w:val="00316310"/>
    <w:pPr>
      <w:numPr>
        <w:ilvl w:val="3"/>
        <w:numId w:val="5"/>
      </w:numPr>
      <w:spacing w:after="60"/>
    </w:pPr>
  </w:style>
  <w:style w:type="paragraph" w:styleId="ListBullet5">
    <w:name w:val="List Bullet 5"/>
    <w:basedOn w:val="Normal"/>
    <w:uiPriority w:val="2"/>
    <w:rsid w:val="00316310"/>
    <w:pPr>
      <w:numPr>
        <w:ilvl w:val="4"/>
        <w:numId w:val="5"/>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6"/>
      </w:numPr>
      <w:spacing w:after="60"/>
    </w:pPr>
  </w:style>
  <w:style w:type="paragraph" w:styleId="ListNumber2">
    <w:name w:val="List Number 2"/>
    <w:basedOn w:val="Normal"/>
    <w:uiPriority w:val="2"/>
    <w:rsid w:val="00316310"/>
    <w:pPr>
      <w:numPr>
        <w:ilvl w:val="1"/>
        <w:numId w:val="6"/>
      </w:numPr>
      <w:spacing w:after="60"/>
    </w:pPr>
  </w:style>
  <w:style w:type="paragraph" w:styleId="ListNumber3">
    <w:name w:val="List Number 3"/>
    <w:basedOn w:val="Normal"/>
    <w:uiPriority w:val="2"/>
    <w:rsid w:val="00316310"/>
    <w:pPr>
      <w:numPr>
        <w:ilvl w:val="2"/>
        <w:numId w:val="6"/>
      </w:numPr>
      <w:spacing w:after="60"/>
    </w:pPr>
  </w:style>
  <w:style w:type="paragraph" w:styleId="ListNumber4">
    <w:name w:val="List Number 4"/>
    <w:basedOn w:val="Normal"/>
    <w:uiPriority w:val="2"/>
    <w:rsid w:val="00316310"/>
    <w:pPr>
      <w:numPr>
        <w:ilvl w:val="3"/>
        <w:numId w:val="6"/>
      </w:numPr>
      <w:spacing w:after="60"/>
    </w:pPr>
  </w:style>
  <w:style w:type="paragraph" w:styleId="ListNumber5">
    <w:name w:val="List Number 5"/>
    <w:basedOn w:val="Normal"/>
    <w:uiPriority w:val="2"/>
    <w:rsid w:val="00316310"/>
    <w:pPr>
      <w:numPr>
        <w:ilvl w:val="4"/>
        <w:numId w:val="6"/>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StylePr w:type="firstRow">
      <w:pPr>
        <w:keepNext/>
        <w:keepLines/>
        <w:wordWrap/>
      </w:pPr>
      <w:rPr>
        <w:b/>
      </w:rPr>
    </w:tblStylePr>
    <w:tblStylePr w:type="lastRow">
      <w:rPr>
        <w:b/>
        <w:i w:val="0"/>
      </w:r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il"/>
        <w:insideV w:val="nil"/>
        <w:tl2br w:val="nil"/>
        <w:tr2bl w:val="nil"/>
      </w:tcBorders>
      <w:shd w:val="clear" w:color="auto" w:fill="E0E0E0"/>
    </w:tcPr>
    <w:tblStylePr w:type="firstRow">
      <w:pPr>
        <w:keepNext/>
        <w:keepLines/>
        <w:wordWrap/>
      </w:pPr>
      <w:rPr>
        <w:b/>
      </w:rPr>
      <w:tblPr/>
      <w:trPr>
        <w:tblHeader/>
      </w:trPr>
      <w:tcPr>
        <w:shd w:val="clear" w:color="auto" w:fill="E0E0E0"/>
      </w:tcPr>
    </w:tblStylePr>
    <w:tblStylePr w:type="lastRow">
      <w:rPr>
        <w:b/>
      </w:r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7"/>
      </w:numPr>
    </w:pPr>
  </w:style>
  <w:style w:type="paragraph" w:customStyle="1" w:styleId="TableNumber">
    <w:name w:val="Table Number"/>
    <w:basedOn w:val="TableText"/>
    <w:uiPriority w:val="4"/>
    <w:qFormat/>
    <w:rsid w:val="00316310"/>
    <w:pPr>
      <w:numPr>
        <w:numId w:val="8"/>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rFonts w:eastAsiaTheme="minorEastAsia"/>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rFonts w:eastAsiaTheme="minorEastAsia"/>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rFonts w:eastAsiaTheme="minorEastAsia"/>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rFonts w:eastAsiaTheme="minorEastAsia"/>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rFonts w:eastAsiaTheme="minorEastAsia"/>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rFonts w:eastAsiaTheme="minorEastAsia"/>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4">
    <w:name w:val="Grid Table 4"/>
    <w:basedOn w:val="TableNormal"/>
    <w:uiPriority w:val="49"/>
    <w:rsid w:val="00D246BB"/>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4">
    <w:name w:val="Grid Table 4 Accent 4"/>
    <w:basedOn w:val="TableNormal"/>
    <w:uiPriority w:val="49"/>
    <w:rsid w:val="00B542C5"/>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340">
      <w:bodyDiv w:val="1"/>
      <w:marLeft w:val="0"/>
      <w:marRight w:val="0"/>
      <w:marTop w:val="0"/>
      <w:marBottom w:val="0"/>
      <w:divBdr>
        <w:top w:val="none" w:sz="0" w:space="0" w:color="auto"/>
        <w:left w:val="none" w:sz="0" w:space="0" w:color="auto"/>
        <w:bottom w:val="none" w:sz="0" w:space="0" w:color="auto"/>
        <w:right w:val="none" w:sz="0" w:space="0" w:color="auto"/>
      </w:divBdr>
    </w:div>
    <w:div w:id="42100410">
      <w:bodyDiv w:val="1"/>
      <w:marLeft w:val="0"/>
      <w:marRight w:val="0"/>
      <w:marTop w:val="0"/>
      <w:marBottom w:val="0"/>
      <w:divBdr>
        <w:top w:val="none" w:sz="0" w:space="0" w:color="auto"/>
        <w:left w:val="none" w:sz="0" w:space="0" w:color="auto"/>
        <w:bottom w:val="none" w:sz="0" w:space="0" w:color="auto"/>
        <w:right w:val="none" w:sz="0" w:space="0" w:color="auto"/>
      </w:divBdr>
    </w:div>
    <w:div w:id="121729617">
      <w:bodyDiv w:val="1"/>
      <w:marLeft w:val="0"/>
      <w:marRight w:val="0"/>
      <w:marTop w:val="0"/>
      <w:marBottom w:val="0"/>
      <w:divBdr>
        <w:top w:val="none" w:sz="0" w:space="0" w:color="auto"/>
        <w:left w:val="none" w:sz="0" w:space="0" w:color="auto"/>
        <w:bottom w:val="none" w:sz="0" w:space="0" w:color="auto"/>
        <w:right w:val="none" w:sz="0" w:space="0" w:color="auto"/>
      </w:divBdr>
    </w:div>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07637000">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328797895">
      <w:bodyDiv w:val="1"/>
      <w:marLeft w:val="0"/>
      <w:marRight w:val="0"/>
      <w:marTop w:val="0"/>
      <w:marBottom w:val="0"/>
      <w:divBdr>
        <w:top w:val="none" w:sz="0" w:space="0" w:color="auto"/>
        <w:left w:val="none" w:sz="0" w:space="0" w:color="auto"/>
        <w:bottom w:val="none" w:sz="0" w:space="0" w:color="auto"/>
        <w:right w:val="none" w:sz="0" w:space="0" w:color="auto"/>
      </w:divBdr>
    </w:div>
    <w:div w:id="344864319">
      <w:bodyDiv w:val="1"/>
      <w:marLeft w:val="0"/>
      <w:marRight w:val="0"/>
      <w:marTop w:val="0"/>
      <w:marBottom w:val="0"/>
      <w:divBdr>
        <w:top w:val="none" w:sz="0" w:space="0" w:color="auto"/>
        <w:left w:val="none" w:sz="0" w:space="0" w:color="auto"/>
        <w:bottom w:val="none" w:sz="0" w:space="0" w:color="auto"/>
        <w:right w:val="none" w:sz="0" w:space="0" w:color="auto"/>
      </w:divBdr>
    </w:div>
    <w:div w:id="375741113">
      <w:bodyDiv w:val="1"/>
      <w:marLeft w:val="0"/>
      <w:marRight w:val="0"/>
      <w:marTop w:val="0"/>
      <w:marBottom w:val="0"/>
      <w:divBdr>
        <w:top w:val="none" w:sz="0" w:space="0" w:color="auto"/>
        <w:left w:val="none" w:sz="0" w:space="0" w:color="auto"/>
        <w:bottom w:val="none" w:sz="0" w:space="0" w:color="auto"/>
        <w:right w:val="none" w:sz="0" w:space="0" w:color="auto"/>
      </w:divBdr>
    </w:div>
    <w:div w:id="436603133">
      <w:bodyDiv w:val="1"/>
      <w:marLeft w:val="0"/>
      <w:marRight w:val="0"/>
      <w:marTop w:val="0"/>
      <w:marBottom w:val="0"/>
      <w:divBdr>
        <w:top w:val="none" w:sz="0" w:space="0" w:color="auto"/>
        <w:left w:val="none" w:sz="0" w:space="0" w:color="auto"/>
        <w:bottom w:val="none" w:sz="0" w:space="0" w:color="auto"/>
        <w:right w:val="none" w:sz="0" w:space="0" w:color="auto"/>
      </w:divBdr>
    </w:div>
    <w:div w:id="444740360">
      <w:bodyDiv w:val="1"/>
      <w:marLeft w:val="0"/>
      <w:marRight w:val="0"/>
      <w:marTop w:val="0"/>
      <w:marBottom w:val="0"/>
      <w:divBdr>
        <w:top w:val="none" w:sz="0" w:space="0" w:color="auto"/>
        <w:left w:val="none" w:sz="0" w:space="0" w:color="auto"/>
        <w:bottom w:val="none" w:sz="0" w:space="0" w:color="auto"/>
        <w:right w:val="none" w:sz="0" w:space="0" w:color="auto"/>
      </w:divBdr>
    </w:div>
    <w:div w:id="481317270">
      <w:bodyDiv w:val="1"/>
      <w:marLeft w:val="0"/>
      <w:marRight w:val="0"/>
      <w:marTop w:val="0"/>
      <w:marBottom w:val="0"/>
      <w:divBdr>
        <w:top w:val="none" w:sz="0" w:space="0" w:color="auto"/>
        <w:left w:val="none" w:sz="0" w:space="0" w:color="auto"/>
        <w:bottom w:val="none" w:sz="0" w:space="0" w:color="auto"/>
        <w:right w:val="none" w:sz="0" w:space="0" w:color="auto"/>
      </w:divBdr>
    </w:div>
    <w:div w:id="488599842">
      <w:bodyDiv w:val="1"/>
      <w:marLeft w:val="0"/>
      <w:marRight w:val="0"/>
      <w:marTop w:val="0"/>
      <w:marBottom w:val="0"/>
      <w:divBdr>
        <w:top w:val="none" w:sz="0" w:space="0" w:color="auto"/>
        <w:left w:val="none" w:sz="0" w:space="0" w:color="auto"/>
        <w:bottom w:val="none" w:sz="0" w:space="0" w:color="auto"/>
        <w:right w:val="none" w:sz="0" w:space="0" w:color="auto"/>
      </w:divBdr>
    </w:div>
    <w:div w:id="504855720">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745305227">
      <w:bodyDiv w:val="1"/>
      <w:marLeft w:val="0"/>
      <w:marRight w:val="0"/>
      <w:marTop w:val="0"/>
      <w:marBottom w:val="0"/>
      <w:divBdr>
        <w:top w:val="none" w:sz="0" w:space="0" w:color="auto"/>
        <w:left w:val="none" w:sz="0" w:space="0" w:color="auto"/>
        <w:bottom w:val="none" w:sz="0" w:space="0" w:color="auto"/>
        <w:right w:val="none" w:sz="0" w:space="0" w:color="auto"/>
      </w:divBdr>
    </w:div>
    <w:div w:id="868957588">
      <w:bodyDiv w:val="1"/>
      <w:marLeft w:val="0"/>
      <w:marRight w:val="0"/>
      <w:marTop w:val="0"/>
      <w:marBottom w:val="0"/>
      <w:divBdr>
        <w:top w:val="none" w:sz="0" w:space="0" w:color="auto"/>
        <w:left w:val="none" w:sz="0" w:space="0" w:color="auto"/>
        <w:bottom w:val="none" w:sz="0" w:space="0" w:color="auto"/>
        <w:right w:val="none" w:sz="0" w:space="0" w:color="auto"/>
      </w:divBdr>
    </w:div>
    <w:div w:id="1067605478">
      <w:bodyDiv w:val="1"/>
      <w:marLeft w:val="0"/>
      <w:marRight w:val="0"/>
      <w:marTop w:val="0"/>
      <w:marBottom w:val="0"/>
      <w:divBdr>
        <w:top w:val="none" w:sz="0" w:space="0" w:color="auto"/>
        <w:left w:val="none" w:sz="0" w:space="0" w:color="auto"/>
        <w:bottom w:val="none" w:sz="0" w:space="0" w:color="auto"/>
        <w:right w:val="none" w:sz="0" w:space="0" w:color="auto"/>
      </w:divBdr>
      <w:divsChild>
        <w:div w:id="456460724">
          <w:marLeft w:val="0"/>
          <w:marRight w:val="0"/>
          <w:marTop w:val="0"/>
          <w:marBottom w:val="0"/>
          <w:divBdr>
            <w:top w:val="none" w:sz="0" w:space="0" w:color="auto"/>
            <w:left w:val="none" w:sz="0" w:space="0" w:color="auto"/>
            <w:bottom w:val="none" w:sz="0" w:space="0" w:color="auto"/>
            <w:right w:val="none" w:sz="0" w:space="0" w:color="auto"/>
          </w:divBdr>
        </w:div>
        <w:div w:id="1610157818">
          <w:marLeft w:val="0"/>
          <w:marRight w:val="0"/>
          <w:marTop w:val="0"/>
          <w:marBottom w:val="0"/>
          <w:divBdr>
            <w:top w:val="none" w:sz="0" w:space="0" w:color="auto"/>
            <w:left w:val="none" w:sz="0" w:space="0" w:color="auto"/>
            <w:bottom w:val="none" w:sz="0" w:space="0" w:color="auto"/>
            <w:right w:val="none" w:sz="0" w:space="0" w:color="auto"/>
          </w:divBdr>
        </w:div>
        <w:div w:id="1675107836">
          <w:marLeft w:val="0"/>
          <w:marRight w:val="0"/>
          <w:marTop w:val="0"/>
          <w:marBottom w:val="0"/>
          <w:divBdr>
            <w:top w:val="none" w:sz="0" w:space="0" w:color="auto"/>
            <w:left w:val="none" w:sz="0" w:space="0" w:color="auto"/>
            <w:bottom w:val="none" w:sz="0" w:space="0" w:color="auto"/>
            <w:right w:val="none" w:sz="0" w:space="0" w:color="auto"/>
          </w:divBdr>
        </w:div>
      </w:divsChild>
    </w:div>
    <w:div w:id="1161430078">
      <w:bodyDiv w:val="1"/>
      <w:marLeft w:val="0"/>
      <w:marRight w:val="0"/>
      <w:marTop w:val="0"/>
      <w:marBottom w:val="0"/>
      <w:divBdr>
        <w:top w:val="none" w:sz="0" w:space="0" w:color="auto"/>
        <w:left w:val="none" w:sz="0" w:space="0" w:color="auto"/>
        <w:bottom w:val="none" w:sz="0" w:space="0" w:color="auto"/>
        <w:right w:val="none" w:sz="0" w:space="0" w:color="auto"/>
      </w:divBdr>
    </w:div>
    <w:div w:id="1380284803">
      <w:bodyDiv w:val="1"/>
      <w:marLeft w:val="0"/>
      <w:marRight w:val="0"/>
      <w:marTop w:val="0"/>
      <w:marBottom w:val="0"/>
      <w:divBdr>
        <w:top w:val="none" w:sz="0" w:space="0" w:color="auto"/>
        <w:left w:val="none" w:sz="0" w:space="0" w:color="auto"/>
        <w:bottom w:val="none" w:sz="0" w:space="0" w:color="auto"/>
        <w:right w:val="none" w:sz="0" w:space="0" w:color="auto"/>
      </w:divBdr>
    </w:div>
    <w:div w:id="1448426087">
      <w:bodyDiv w:val="1"/>
      <w:marLeft w:val="0"/>
      <w:marRight w:val="0"/>
      <w:marTop w:val="0"/>
      <w:marBottom w:val="0"/>
      <w:divBdr>
        <w:top w:val="none" w:sz="0" w:space="0" w:color="auto"/>
        <w:left w:val="none" w:sz="0" w:space="0" w:color="auto"/>
        <w:bottom w:val="none" w:sz="0" w:space="0" w:color="auto"/>
        <w:right w:val="none" w:sz="0" w:space="0" w:color="auto"/>
      </w:divBdr>
    </w:div>
    <w:div w:id="1538663021">
      <w:bodyDiv w:val="1"/>
      <w:marLeft w:val="0"/>
      <w:marRight w:val="0"/>
      <w:marTop w:val="0"/>
      <w:marBottom w:val="0"/>
      <w:divBdr>
        <w:top w:val="none" w:sz="0" w:space="0" w:color="auto"/>
        <w:left w:val="none" w:sz="0" w:space="0" w:color="auto"/>
        <w:bottom w:val="none" w:sz="0" w:space="0" w:color="auto"/>
        <w:right w:val="none" w:sz="0" w:space="0" w:color="auto"/>
      </w:divBdr>
    </w:div>
    <w:div w:id="1566717379">
      <w:bodyDiv w:val="1"/>
      <w:marLeft w:val="0"/>
      <w:marRight w:val="0"/>
      <w:marTop w:val="0"/>
      <w:marBottom w:val="0"/>
      <w:divBdr>
        <w:top w:val="none" w:sz="0" w:space="0" w:color="auto"/>
        <w:left w:val="none" w:sz="0" w:space="0" w:color="auto"/>
        <w:bottom w:val="none" w:sz="0" w:space="0" w:color="auto"/>
        <w:right w:val="none" w:sz="0" w:space="0" w:color="auto"/>
      </w:divBdr>
    </w:div>
    <w:div w:id="1583682257">
      <w:bodyDiv w:val="1"/>
      <w:marLeft w:val="0"/>
      <w:marRight w:val="0"/>
      <w:marTop w:val="0"/>
      <w:marBottom w:val="0"/>
      <w:divBdr>
        <w:top w:val="none" w:sz="0" w:space="0" w:color="auto"/>
        <w:left w:val="none" w:sz="0" w:space="0" w:color="auto"/>
        <w:bottom w:val="none" w:sz="0" w:space="0" w:color="auto"/>
        <w:right w:val="none" w:sz="0" w:space="0" w:color="auto"/>
      </w:divBdr>
      <w:divsChild>
        <w:div w:id="228924092">
          <w:marLeft w:val="0"/>
          <w:marRight w:val="0"/>
          <w:marTop w:val="0"/>
          <w:marBottom w:val="0"/>
          <w:divBdr>
            <w:top w:val="none" w:sz="0" w:space="0" w:color="auto"/>
            <w:left w:val="none" w:sz="0" w:space="0" w:color="auto"/>
            <w:bottom w:val="none" w:sz="0" w:space="0" w:color="auto"/>
            <w:right w:val="none" w:sz="0" w:space="0" w:color="auto"/>
          </w:divBdr>
        </w:div>
        <w:div w:id="648479074">
          <w:marLeft w:val="0"/>
          <w:marRight w:val="0"/>
          <w:marTop w:val="0"/>
          <w:marBottom w:val="0"/>
          <w:divBdr>
            <w:top w:val="none" w:sz="0" w:space="0" w:color="auto"/>
            <w:left w:val="none" w:sz="0" w:space="0" w:color="auto"/>
            <w:bottom w:val="none" w:sz="0" w:space="0" w:color="auto"/>
            <w:right w:val="none" w:sz="0" w:space="0" w:color="auto"/>
          </w:divBdr>
        </w:div>
        <w:div w:id="860049963">
          <w:marLeft w:val="0"/>
          <w:marRight w:val="0"/>
          <w:marTop w:val="0"/>
          <w:marBottom w:val="0"/>
          <w:divBdr>
            <w:top w:val="none" w:sz="0" w:space="0" w:color="auto"/>
            <w:left w:val="none" w:sz="0" w:space="0" w:color="auto"/>
            <w:bottom w:val="none" w:sz="0" w:space="0" w:color="auto"/>
            <w:right w:val="none" w:sz="0" w:space="0" w:color="auto"/>
          </w:divBdr>
        </w:div>
      </w:divsChild>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 w:id="193150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90.png"/><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hyperlink" Target="https://gsdc.wa.gov.au/" TargetMode="External"/><Relationship Id="rId16" Type="http://schemas.openxmlformats.org/officeDocument/2006/relationships/image" Target="media/image4.emf"/><Relationship Id="rId107" Type="http://schemas.openxmlformats.org/officeDocument/2006/relationships/hyperlink" Target="https://www.kdc.wa.gov.au/" TargetMode="External"/><Relationship Id="rId11" Type="http://schemas.openxmlformats.org/officeDocument/2006/relationships/header" Target="header1.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102" Type="http://schemas.openxmlformats.org/officeDocument/2006/relationships/image" Target="media/image86.emf"/><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0.emf"/><Relationship Id="rId69" Type="http://schemas.openxmlformats.org/officeDocument/2006/relationships/image" Target="media/image55.emf"/><Relationship Id="rId113" Type="http://schemas.openxmlformats.org/officeDocument/2006/relationships/hyperlink" Target="https://www.peel.wa.gov.au/" TargetMode="External"/><Relationship Id="rId118" Type="http://schemas.openxmlformats.org/officeDocument/2006/relationships/image" Target="media/image91.png"/><Relationship Id="rId80" Type="http://schemas.openxmlformats.org/officeDocument/2006/relationships/image" Target="media/image66.emf"/><Relationship Id="rId85" Type="http://schemas.openxmlformats.org/officeDocument/2006/relationships/image" Target="media/image71.emf"/><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5.emf"/><Relationship Id="rId103" Type="http://schemas.openxmlformats.org/officeDocument/2006/relationships/image" Target="media/image87.emf"/><Relationship Id="rId108" Type="http://schemas.openxmlformats.org/officeDocument/2006/relationships/hyperlink" Target="https://www.pdc.wa.gov.au/" TargetMode="External"/><Relationship Id="rId54" Type="http://schemas.openxmlformats.org/officeDocument/2006/relationships/image" Target="media/image42.emf"/><Relationship Id="rId70" Type="http://schemas.openxmlformats.org/officeDocument/2006/relationships/image" Target="media/image56.emf"/><Relationship Id="rId75" Type="http://schemas.openxmlformats.org/officeDocument/2006/relationships/image" Target="media/image61.emf"/><Relationship Id="rId91" Type="http://schemas.openxmlformats.org/officeDocument/2006/relationships/image" Target="media/image77.emf"/><Relationship Id="rId96"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hyperlink" Target="https://www.wheatbelt.wa.gov.au/" TargetMode="External"/><Relationship Id="rId119" Type="http://schemas.openxmlformats.org/officeDocument/2006/relationships/image" Target="media/image92.png"/><Relationship Id="rId44" Type="http://schemas.openxmlformats.org/officeDocument/2006/relationships/image" Target="media/image32.emf"/><Relationship Id="rId60" Type="http://schemas.openxmlformats.org/officeDocument/2006/relationships/image" Target="media/image46.emf"/><Relationship Id="rId65" Type="http://schemas.openxmlformats.org/officeDocument/2006/relationships/image" Target="media/image51.emf"/><Relationship Id="rId81" Type="http://schemas.openxmlformats.org/officeDocument/2006/relationships/image" Target="media/image67.emf"/><Relationship Id="rId86" Type="http://schemas.openxmlformats.org/officeDocument/2006/relationships/image" Target="media/image7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hyperlink" Target="https://www.gedc.wa.gov.au/" TargetMode="External"/><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hyperlink" Target="https://www.wa.gov.au/organisation/department-of-jobs-tourism-science-and-innovation/diversify-wa-economic-development-framework" TargetMode="External"/><Relationship Id="rId76" Type="http://schemas.openxmlformats.org/officeDocument/2006/relationships/image" Target="media/image62.emf"/><Relationship Id="rId97" Type="http://schemas.openxmlformats.org/officeDocument/2006/relationships/image" Target="media/image83.emf"/><Relationship Id="rId104" Type="http://schemas.openxmlformats.org/officeDocument/2006/relationships/image" Target="media/image88.emf"/><Relationship Id="rId120" Type="http://schemas.openxmlformats.org/officeDocument/2006/relationships/hyperlink" Target="mailto:economic.analysis@jtsi.wa.gov.au" TargetMode="External"/><Relationship Id="rId7" Type="http://schemas.openxmlformats.org/officeDocument/2006/relationships/settings" Target="setting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2.emf"/><Relationship Id="rId87" Type="http://schemas.openxmlformats.org/officeDocument/2006/relationships/image" Target="media/image73.emf"/><Relationship Id="rId110" Type="http://schemas.openxmlformats.org/officeDocument/2006/relationships/hyperlink" Target="https://www.mwdc.wa.gov.au/" TargetMode="External"/><Relationship Id="rId115" Type="http://schemas.openxmlformats.org/officeDocument/2006/relationships/hyperlink" Target="https://www.wa.gov.au/government/publications/western-australias-economy-and-international-trade" TargetMode="External"/><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hyperlink" Target="https://www.wa.gov.au/government/publications/diversify-wa-future-state" TargetMode="External"/><Relationship Id="rId77" Type="http://schemas.openxmlformats.org/officeDocument/2006/relationships/image" Target="media/image63.emf"/><Relationship Id="rId100" Type="http://schemas.openxmlformats.org/officeDocument/2006/relationships/oleObject" Target="embeddings/oleObject1.bin"/><Relationship Id="rId105" Type="http://schemas.openxmlformats.org/officeDocument/2006/relationships/hyperlink" Target="https://regional-wa-rdmp.opendata.arcgis.com/" TargetMode="External"/><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58.emf"/><Relationship Id="rId93" Type="http://schemas.openxmlformats.org/officeDocument/2006/relationships/image" Target="media/image79.emf"/><Relationship Id="rId98" Type="http://schemas.openxmlformats.org/officeDocument/2006/relationships/header" Target="header2.xml"/><Relationship Id="rId121"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3.emf"/><Relationship Id="rId116" Type="http://schemas.openxmlformats.org/officeDocument/2006/relationships/image" Target="media/image89.png"/><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48.emf"/><Relationship Id="rId83" Type="http://schemas.openxmlformats.org/officeDocument/2006/relationships/image" Target="media/image69.emf"/><Relationship Id="rId88" Type="http://schemas.openxmlformats.org/officeDocument/2006/relationships/image" Target="media/image74.emf"/><Relationship Id="rId111" Type="http://schemas.openxmlformats.org/officeDocument/2006/relationships/hyperlink" Target="https://www.swdc.wa.gov.au/" TargetMode="Externa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image" Target="media/image43.emf"/><Relationship Id="rId106" Type="http://schemas.openxmlformats.org/officeDocument/2006/relationships/hyperlink" Target="https://www.gdc.wa.gov.au/" TargetMode="External"/><Relationship Id="rId10" Type="http://schemas.openxmlformats.org/officeDocument/2006/relationships/endnotes" Target="endnotes.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59.emf"/><Relationship Id="rId78" Type="http://schemas.openxmlformats.org/officeDocument/2006/relationships/image" Target="media/image64.emf"/><Relationship Id="rId94" Type="http://schemas.openxmlformats.org/officeDocument/2006/relationships/image" Target="media/image80.emf"/><Relationship Id="rId99" Type="http://schemas.openxmlformats.org/officeDocument/2006/relationships/image" Target="media/image84.png"/><Relationship Id="rId101" Type="http://schemas.openxmlformats.org/officeDocument/2006/relationships/image" Target="media/image85.emf"/><Relationship Id="rId1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AF0A7451CC954591965DDE4471A2DF" ma:contentTypeVersion="24" ma:contentTypeDescription="Create a new document." ma:contentTypeScope="" ma:versionID="81c82c67facace9a930f63c3b7b8be2b">
  <xsd:schema xmlns:xsd="http://www.w3.org/2001/XMLSchema" xmlns:xs="http://www.w3.org/2001/XMLSchema" xmlns:p="http://schemas.microsoft.com/office/2006/metadata/properties" xmlns:ns2="8219f49e-1d8c-490a-be32-6aea0c6194a3" xmlns:ns3="b695e632-941a-4900-8eef-0fbc4c43d3c0" targetNamespace="http://schemas.microsoft.com/office/2006/metadata/properties" ma:root="true" ma:fieldsID="3aec2397da5d8c636794bd91cb348799" ns2:_="" ns3:_="">
    <xsd:import namespace="8219f49e-1d8c-490a-be32-6aea0c6194a3"/>
    <xsd:import namespace="b695e632-941a-4900-8eef-0fbc4c43d3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19f49e-1d8c-490a-be32-6aea0c619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4" nillable="true" ma:displayName="Tags" ma:hidden="true"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hidden="true" ma:internalName="MediaServiceLocation"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36f0cfc-611e-4d38-a264-05700cd7d9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95e632-941a-4900-8eef-0fbc4c43d3c0"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63b5cc8b-b4de-4087-9176-0c72edb2e137}" ma:internalName="TaxCatchAll" ma:readOnly="false" ma:showField="CatchAllData" ma:web="b695e632-941a-4900-8eef-0fbc4c43d3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695e632-941a-4900-8eef-0fbc4c43d3c0" xsi:nil="true"/>
    <lcf76f155ced4ddcb4097134ff3c332f xmlns="8219f49e-1d8c-490a-be32-6aea0c6194a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0B069-4E3C-4A7E-B337-FF305337B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19f49e-1d8c-490a-be32-6aea0c6194a3"/>
    <ds:schemaRef ds:uri="b695e632-941a-4900-8eef-0fbc4c43d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3.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b695e632-941a-4900-8eef-0fbc4c43d3c0"/>
    <ds:schemaRef ds:uri="8219f49e-1d8c-490a-be32-6aea0c6194a3"/>
  </ds:schemaRefs>
</ds:datastoreItem>
</file>

<file path=customXml/itemProps4.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15749</Words>
  <Characters>85995</Characters>
  <Application>Microsoft Office Word</Application>
  <DocSecurity>0</DocSecurity>
  <Lines>2388</Lines>
  <Paragraphs>1183</Paragraphs>
  <ScaleCrop>false</ScaleCrop>
  <Company>Department of Mines and Petroleum</Company>
  <LinksUpToDate>false</LinksUpToDate>
  <CharactersWithSpaces>100561</CharactersWithSpaces>
  <SharedDoc>false</SharedDoc>
  <HLinks>
    <vt:vector size="414" baseType="variant">
      <vt:variant>
        <vt:i4>6553628</vt:i4>
      </vt:variant>
      <vt:variant>
        <vt:i4>207</vt:i4>
      </vt:variant>
      <vt:variant>
        <vt:i4>0</vt:i4>
      </vt:variant>
      <vt:variant>
        <vt:i4>5</vt:i4>
      </vt:variant>
      <vt:variant>
        <vt:lpwstr>mailto:economic.analysis@jtsi.wa.gov.au</vt:lpwstr>
      </vt:variant>
      <vt:variant>
        <vt:lpwstr/>
      </vt:variant>
      <vt:variant>
        <vt:i4>589845</vt:i4>
      </vt:variant>
      <vt:variant>
        <vt:i4>204</vt:i4>
      </vt:variant>
      <vt:variant>
        <vt:i4>0</vt:i4>
      </vt:variant>
      <vt:variant>
        <vt:i4>5</vt:i4>
      </vt:variant>
      <vt:variant>
        <vt:lpwstr>https://www.wa.gov.au/government/publications/western-australias-economy-and-international-trade</vt:lpwstr>
      </vt:variant>
      <vt:variant>
        <vt:lpwstr/>
      </vt:variant>
      <vt:variant>
        <vt:i4>6226010</vt:i4>
      </vt:variant>
      <vt:variant>
        <vt:i4>201</vt:i4>
      </vt:variant>
      <vt:variant>
        <vt:i4>0</vt:i4>
      </vt:variant>
      <vt:variant>
        <vt:i4>5</vt:i4>
      </vt:variant>
      <vt:variant>
        <vt:lpwstr>https://www.wheatbelt.wa.gov.au/</vt:lpwstr>
      </vt:variant>
      <vt:variant>
        <vt:lpwstr/>
      </vt:variant>
      <vt:variant>
        <vt:i4>2883690</vt:i4>
      </vt:variant>
      <vt:variant>
        <vt:i4>198</vt:i4>
      </vt:variant>
      <vt:variant>
        <vt:i4>0</vt:i4>
      </vt:variant>
      <vt:variant>
        <vt:i4>5</vt:i4>
      </vt:variant>
      <vt:variant>
        <vt:lpwstr>https://www.peel.wa.gov.au/</vt:lpwstr>
      </vt:variant>
      <vt:variant>
        <vt:lpwstr/>
      </vt:variant>
      <vt:variant>
        <vt:i4>7078012</vt:i4>
      </vt:variant>
      <vt:variant>
        <vt:i4>195</vt:i4>
      </vt:variant>
      <vt:variant>
        <vt:i4>0</vt:i4>
      </vt:variant>
      <vt:variant>
        <vt:i4>5</vt:i4>
      </vt:variant>
      <vt:variant>
        <vt:lpwstr>https://gsdc.wa.gov.au/</vt:lpwstr>
      </vt:variant>
      <vt:variant>
        <vt:lpwstr/>
      </vt:variant>
      <vt:variant>
        <vt:i4>3211368</vt:i4>
      </vt:variant>
      <vt:variant>
        <vt:i4>192</vt:i4>
      </vt:variant>
      <vt:variant>
        <vt:i4>0</vt:i4>
      </vt:variant>
      <vt:variant>
        <vt:i4>5</vt:i4>
      </vt:variant>
      <vt:variant>
        <vt:lpwstr>https://www.swdc.wa.gov.au/</vt:lpwstr>
      </vt:variant>
      <vt:variant>
        <vt:lpwstr/>
      </vt:variant>
      <vt:variant>
        <vt:i4>3211382</vt:i4>
      </vt:variant>
      <vt:variant>
        <vt:i4>189</vt:i4>
      </vt:variant>
      <vt:variant>
        <vt:i4>0</vt:i4>
      </vt:variant>
      <vt:variant>
        <vt:i4>5</vt:i4>
      </vt:variant>
      <vt:variant>
        <vt:lpwstr>https://www.mwdc.wa.gov.au/</vt:lpwstr>
      </vt:variant>
      <vt:variant>
        <vt:lpwstr/>
      </vt:variant>
      <vt:variant>
        <vt:i4>2293884</vt:i4>
      </vt:variant>
      <vt:variant>
        <vt:i4>186</vt:i4>
      </vt:variant>
      <vt:variant>
        <vt:i4>0</vt:i4>
      </vt:variant>
      <vt:variant>
        <vt:i4>5</vt:i4>
      </vt:variant>
      <vt:variant>
        <vt:lpwstr>https://www.gedc.wa.gov.au/</vt:lpwstr>
      </vt:variant>
      <vt:variant>
        <vt:lpwstr/>
      </vt:variant>
      <vt:variant>
        <vt:i4>3932222</vt:i4>
      </vt:variant>
      <vt:variant>
        <vt:i4>183</vt:i4>
      </vt:variant>
      <vt:variant>
        <vt:i4>0</vt:i4>
      </vt:variant>
      <vt:variant>
        <vt:i4>5</vt:i4>
      </vt:variant>
      <vt:variant>
        <vt:lpwstr>https://www.pdc.wa.gov.au/</vt:lpwstr>
      </vt:variant>
      <vt:variant>
        <vt:lpwstr/>
      </vt:variant>
      <vt:variant>
        <vt:i4>3932197</vt:i4>
      </vt:variant>
      <vt:variant>
        <vt:i4>180</vt:i4>
      </vt:variant>
      <vt:variant>
        <vt:i4>0</vt:i4>
      </vt:variant>
      <vt:variant>
        <vt:i4>5</vt:i4>
      </vt:variant>
      <vt:variant>
        <vt:lpwstr>https://www.kdc.wa.gov.au/</vt:lpwstr>
      </vt:variant>
      <vt:variant>
        <vt:lpwstr/>
      </vt:variant>
      <vt:variant>
        <vt:i4>3932201</vt:i4>
      </vt:variant>
      <vt:variant>
        <vt:i4>177</vt:i4>
      </vt:variant>
      <vt:variant>
        <vt:i4>0</vt:i4>
      </vt:variant>
      <vt:variant>
        <vt:i4>5</vt:i4>
      </vt:variant>
      <vt:variant>
        <vt:lpwstr>https://www.gdc.wa.gov.au/</vt:lpwstr>
      </vt:variant>
      <vt:variant>
        <vt:lpwstr/>
      </vt:variant>
      <vt:variant>
        <vt:i4>851986</vt:i4>
      </vt:variant>
      <vt:variant>
        <vt:i4>174</vt:i4>
      </vt:variant>
      <vt:variant>
        <vt:i4>0</vt:i4>
      </vt:variant>
      <vt:variant>
        <vt:i4>5</vt:i4>
      </vt:variant>
      <vt:variant>
        <vt:lpwstr>https://regional-wa-rdmp.opendata.arcgis.com/</vt:lpwstr>
      </vt:variant>
      <vt:variant>
        <vt:lpwstr/>
      </vt:variant>
      <vt:variant>
        <vt:i4>2686985</vt:i4>
      </vt:variant>
      <vt:variant>
        <vt:i4>168</vt:i4>
      </vt:variant>
      <vt:variant>
        <vt:i4>0</vt:i4>
      </vt:variant>
      <vt:variant>
        <vt:i4>5</vt:i4>
      </vt:variant>
      <vt:variant>
        <vt:lpwstr/>
      </vt:variant>
      <vt:variant>
        <vt:lpwstr>_Contents_of_economic</vt:lpwstr>
      </vt:variant>
      <vt:variant>
        <vt:i4>2686985</vt:i4>
      </vt:variant>
      <vt:variant>
        <vt:i4>165</vt:i4>
      </vt:variant>
      <vt:variant>
        <vt:i4>0</vt:i4>
      </vt:variant>
      <vt:variant>
        <vt:i4>5</vt:i4>
      </vt:variant>
      <vt:variant>
        <vt:lpwstr/>
      </vt:variant>
      <vt:variant>
        <vt:lpwstr>_Contents_of_economic</vt:lpwstr>
      </vt:variant>
      <vt:variant>
        <vt:i4>2686985</vt:i4>
      </vt:variant>
      <vt:variant>
        <vt:i4>162</vt:i4>
      </vt:variant>
      <vt:variant>
        <vt:i4>0</vt:i4>
      </vt:variant>
      <vt:variant>
        <vt:i4>5</vt:i4>
      </vt:variant>
      <vt:variant>
        <vt:lpwstr/>
      </vt:variant>
      <vt:variant>
        <vt:lpwstr>_Contents_of_economic</vt:lpwstr>
      </vt:variant>
      <vt:variant>
        <vt:i4>2686985</vt:i4>
      </vt:variant>
      <vt:variant>
        <vt:i4>159</vt:i4>
      </vt:variant>
      <vt:variant>
        <vt:i4>0</vt:i4>
      </vt:variant>
      <vt:variant>
        <vt:i4>5</vt:i4>
      </vt:variant>
      <vt:variant>
        <vt:lpwstr/>
      </vt:variant>
      <vt:variant>
        <vt:lpwstr>_Contents_of_economic</vt:lpwstr>
      </vt:variant>
      <vt:variant>
        <vt:i4>2686985</vt:i4>
      </vt:variant>
      <vt:variant>
        <vt:i4>156</vt:i4>
      </vt:variant>
      <vt:variant>
        <vt:i4>0</vt:i4>
      </vt:variant>
      <vt:variant>
        <vt:i4>5</vt:i4>
      </vt:variant>
      <vt:variant>
        <vt:lpwstr/>
      </vt:variant>
      <vt:variant>
        <vt:lpwstr>_Contents_of_economic</vt:lpwstr>
      </vt:variant>
      <vt:variant>
        <vt:i4>2686985</vt:i4>
      </vt:variant>
      <vt:variant>
        <vt:i4>153</vt:i4>
      </vt:variant>
      <vt:variant>
        <vt:i4>0</vt:i4>
      </vt:variant>
      <vt:variant>
        <vt:i4>5</vt:i4>
      </vt:variant>
      <vt:variant>
        <vt:lpwstr/>
      </vt:variant>
      <vt:variant>
        <vt:lpwstr>_Contents_of_economic</vt:lpwstr>
      </vt:variant>
      <vt:variant>
        <vt:i4>2686985</vt:i4>
      </vt:variant>
      <vt:variant>
        <vt:i4>150</vt:i4>
      </vt:variant>
      <vt:variant>
        <vt:i4>0</vt:i4>
      </vt:variant>
      <vt:variant>
        <vt:i4>5</vt:i4>
      </vt:variant>
      <vt:variant>
        <vt:lpwstr/>
      </vt:variant>
      <vt:variant>
        <vt:lpwstr>_Contents_of_economic</vt:lpwstr>
      </vt:variant>
      <vt:variant>
        <vt:i4>2686985</vt:i4>
      </vt:variant>
      <vt:variant>
        <vt:i4>147</vt:i4>
      </vt:variant>
      <vt:variant>
        <vt:i4>0</vt:i4>
      </vt:variant>
      <vt:variant>
        <vt:i4>5</vt:i4>
      </vt:variant>
      <vt:variant>
        <vt:lpwstr/>
      </vt:variant>
      <vt:variant>
        <vt:lpwstr>_Contents_of_economic</vt:lpwstr>
      </vt:variant>
      <vt:variant>
        <vt:i4>2686985</vt:i4>
      </vt:variant>
      <vt:variant>
        <vt:i4>144</vt:i4>
      </vt:variant>
      <vt:variant>
        <vt:i4>0</vt:i4>
      </vt:variant>
      <vt:variant>
        <vt:i4>5</vt:i4>
      </vt:variant>
      <vt:variant>
        <vt:lpwstr/>
      </vt:variant>
      <vt:variant>
        <vt:lpwstr>_Contents_of_economic</vt:lpwstr>
      </vt:variant>
      <vt:variant>
        <vt:i4>2686985</vt:i4>
      </vt:variant>
      <vt:variant>
        <vt:i4>141</vt:i4>
      </vt:variant>
      <vt:variant>
        <vt:i4>0</vt:i4>
      </vt:variant>
      <vt:variant>
        <vt:i4>5</vt:i4>
      </vt:variant>
      <vt:variant>
        <vt:lpwstr/>
      </vt:variant>
      <vt:variant>
        <vt:lpwstr>_Contents_of_economic</vt:lpwstr>
      </vt:variant>
      <vt:variant>
        <vt:i4>2686985</vt:i4>
      </vt:variant>
      <vt:variant>
        <vt:i4>138</vt:i4>
      </vt:variant>
      <vt:variant>
        <vt:i4>0</vt:i4>
      </vt:variant>
      <vt:variant>
        <vt:i4>5</vt:i4>
      </vt:variant>
      <vt:variant>
        <vt:lpwstr/>
      </vt:variant>
      <vt:variant>
        <vt:lpwstr>_Contents_of_economic</vt:lpwstr>
      </vt:variant>
      <vt:variant>
        <vt:i4>2686985</vt:i4>
      </vt:variant>
      <vt:variant>
        <vt:i4>135</vt:i4>
      </vt:variant>
      <vt:variant>
        <vt:i4>0</vt:i4>
      </vt:variant>
      <vt:variant>
        <vt:i4>5</vt:i4>
      </vt:variant>
      <vt:variant>
        <vt:lpwstr/>
      </vt:variant>
      <vt:variant>
        <vt:lpwstr>_Contents_of_economic</vt:lpwstr>
      </vt:variant>
      <vt:variant>
        <vt:i4>2686985</vt:i4>
      </vt:variant>
      <vt:variant>
        <vt:i4>132</vt:i4>
      </vt:variant>
      <vt:variant>
        <vt:i4>0</vt:i4>
      </vt:variant>
      <vt:variant>
        <vt:i4>5</vt:i4>
      </vt:variant>
      <vt:variant>
        <vt:lpwstr/>
      </vt:variant>
      <vt:variant>
        <vt:lpwstr>_Contents_of_economic</vt:lpwstr>
      </vt:variant>
      <vt:variant>
        <vt:i4>2686985</vt:i4>
      </vt:variant>
      <vt:variant>
        <vt:i4>129</vt:i4>
      </vt:variant>
      <vt:variant>
        <vt:i4>0</vt:i4>
      </vt:variant>
      <vt:variant>
        <vt:i4>5</vt:i4>
      </vt:variant>
      <vt:variant>
        <vt:lpwstr/>
      </vt:variant>
      <vt:variant>
        <vt:lpwstr>_Contents_of_economic</vt:lpwstr>
      </vt:variant>
      <vt:variant>
        <vt:i4>589885</vt:i4>
      </vt:variant>
      <vt:variant>
        <vt:i4>126</vt:i4>
      </vt:variant>
      <vt:variant>
        <vt:i4>0</vt:i4>
      </vt:variant>
      <vt:variant>
        <vt:i4>5</vt:i4>
      </vt:variant>
      <vt:variant>
        <vt:lpwstr/>
      </vt:variant>
      <vt:variant>
        <vt:lpwstr>_Regions</vt:lpwstr>
      </vt:variant>
      <vt:variant>
        <vt:i4>6619200</vt:i4>
      </vt:variant>
      <vt:variant>
        <vt:i4>123</vt:i4>
      </vt:variant>
      <vt:variant>
        <vt:i4>0</vt:i4>
      </vt:variant>
      <vt:variant>
        <vt:i4>5</vt:i4>
      </vt:variant>
      <vt:variant>
        <vt:lpwstr/>
      </vt:variant>
      <vt:variant>
        <vt:lpwstr>_Tourism_and_international</vt:lpwstr>
      </vt:variant>
      <vt:variant>
        <vt:i4>5832825</vt:i4>
      </vt:variant>
      <vt:variant>
        <vt:i4>120</vt:i4>
      </vt:variant>
      <vt:variant>
        <vt:i4>0</vt:i4>
      </vt:variant>
      <vt:variant>
        <vt:i4>5</vt:i4>
      </vt:variant>
      <vt:variant>
        <vt:lpwstr/>
      </vt:variant>
      <vt:variant>
        <vt:lpwstr>_Primary_industries_and</vt:lpwstr>
      </vt:variant>
      <vt:variant>
        <vt:i4>6684762</vt:i4>
      </vt:variant>
      <vt:variant>
        <vt:i4>117</vt:i4>
      </vt:variant>
      <vt:variant>
        <vt:i4>0</vt:i4>
      </vt:variant>
      <vt:variant>
        <vt:i4>5</vt:i4>
      </vt:variant>
      <vt:variant>
        <vt:lpwstr/>
      </vt:variant>
      <vt:variant>
        <vt:lpwstr>_Mining_and_energy</vt:lpwstr>
      </vt:variant>
      <vt:variant>
        <vt:i4>2883691</vt:i4>
      </vt:variant>
      <vt:variant>
        <vt:i4>114</vt:i4>
      </vt:variant>
      <vt:variant>
        <vt:i4>0</vt:i4>
      </vt:variant>
      <vt:variant>
        <vt:i4>5</vt:i4>
      </vt:variant>
      <vt:variant>
        <vt:lpwstr/>
      </vt:variant>
      <vt:variant>
        <vt:lpwstr>_Environment_2</vt:lpwstr>
      </vt:variant>
      <vt:variant>
        <vt:i4>4849730</vt:i4>
      </vt:variant>
      <vt:variant>
        <vt:i4>111</vt:i4>
      </vt:variant>
      <vt:variant>
        <vt:i4>0</vt:i4>
      </vt:variant>
      <vt:variant>
        <vt:i4>5</vt:i4>
      </vt:variant>
      <vt:variant>
        <vt:lpwstr/>
      </vt:variant>
      <vt:variant>
        <vt:lpwstr>_Aboriginal_Indicators</vt:lpwstr>
      </vt:variant>
      <vt:variant>
        <vt:i4>7864347</vt:i4>
      </vt:variant>
      <vt:variant>
        <vt:i4>108</vt:i4>
      </vt:variant>
      <vt:variant>
        <vt:i4>0</vt:i4>
      </vt:variant>
      <vt:variant>
        <vt:i4>5</vt:i4>
      </vt:variant>
      <vt:variant>
        <vt:lpwstr/>
      </vt:variant>
      <vt:variant>
        <vt:lpwstr>_Gender_indicators_1</vt:lpwstr>
      </vt:variant>
      <vt:variant>
        <vt:i4>3801136</vt:i4>
      </vt:variant>
      <vt:variant>
        <vt:i4>105</vt:i4>
      </vt:variant>
      <vt:variant>
        <vt:i4>0</vt:i4>
      </vt:variant>
      <vt:variant>
        <vt:i4>5</vt:i4>
      </vt:variant>
      <vt:variant>
        <vt:lpwstr/>
      </vt:variant>
      <vt:variant>
        <vt:lpwstr>_Industry_employment</vt:lpwstr>
      </vt:variant>
      <vt:variant>
        <vt:i4>3997734</vt:i4>
      </vt:variant>
      <vt:variant>
        <vt:i4>102</vt:i4>
      </vt:variant>
      <vt:variant>
        <vt:i4>0</vt:i4>
      </vt:variant>
      <vt:variant>
        <vt:i4>5</vt:i4>
      </vt:variant>
      <vt:variant>
        <vt:lpwstr/>
      </vt:variant>
      <vt:variant>
        <vt:lpwstr>_Industry_investment</vt:lpwstr>
      </vt:variant>
      <vt:variant>
        <vt:i4>1966132</vt:i4>
      </vt:variant>
      <vt:variant>
        <vt:i4>99</vt:i4>
      </vt:variant>
      <vt:variant>
        <vt:i4>0</vt:i4>
      </vt:variant>
      <vt:variant>
        <vt:i4>5</vt:i4>
      </vt:variant>
      <vt:variant>
        <vt:lpwstr/>
      </vt:variant>
      <vt:variant>
        <vt:lpwstr>_Environment</vt:lpwstr>
      </vt:variant>
      <vt:variant>
        <vt:i4>1835050</vt:i4>
      </vt:variant>
      <vt:variant>
        <vt:i4>96</vt:i4>
      </vt:variant>
      <vt:variant>
        <vt:i4>0</vt:i4>
      </vt:variant>
      <vt:variant>
        <vt:i4>5</vt:i4>
      </vt:variant>
      <vt:variant>
        <vt:lpwstr/>
      </vt:variant>
      <vt:variant>
        <vt:lpwstr>_Productivity</vt:lpwstr>
      </vt:variant>
      <vt:variant>
        <vt:i4>4849720</vt:i4>
      </vt:variant>
      <vt:variant>
        <vt:i4>93</vt:i4>
      </vt:variant>
      <vt:variant>
        <vt:i4>0</vt:i4>
      </vt:variant>
      <vt:variant>
        <vt:i4>5</vt:i4>
      </vt:variant>
      <vt:variant>
        <vt:lpwstr/>
      </vt:variant>
      <vt:variant>
        <vt:lpwstr>_International_trade_(annual)</vt:lpwstr>
      </vt:variant>
      <vt:variant>
        <vt:i4>6160491</vt:i4>
      </vt:variant>
      <vt:variant>
        <vt:i4>90</vt:i4>
      </vt:variant>
      <vt:variant>
        <vt:i4>0</vt:i4>
      </vt:variant>
      <vt:variant>
        <vt:i4>5</vt:i4>
      </vt:variant>
      <vt:variant>
        <vt:lpwstr/>
      </vt:variant>
      <vt:variant>
        <vt:lpwstr>_Per_capita_incomes</vt:lpwstr>
      </vt:variant>
      <vt:variant>
        <vt:i4>1179691</vt:i4>
      </vt:variant>
      <vt:variant>
        <vt:i4>87</vt:i4>
      </vt:variant>
      <vt:variant>
        <vt:i4>0</vt:i4>
      </vt:variant>
      <vt:variant>
        <vt:i4>5</vt:i4>
      </vt:variant>
      <vt:variant>
        <vt:lpwstr/>
      </vt:variant>
      <vt:variant>
        <vt:lpwstr>_Gross_state_product</vt:lpwstr>
      </vt:variant>
      <vt:variant>
        <vt:i4>2687021</vt:i4>
      </vt:variant>
      <vt:variant>
        <vt:i4>84</vt:i4>
      </vt:variant>
      <vt:variant>
        <vt:i4>0</vt:i4>
      </vt:variant>
      <vt:variant>
        <vt:i4>5</vt:i4>
      </vt:variant>
      <vt:variant>
        <vt:lpwstr>https://www.wa.gov.au/government/publications/diversify-wa-future-state</vt:lpwstr>
      </vt:variant>
      <vt:variant>
        <vt:lpwstr/>
      </vt:variant>
      <vt:variant>
        <vt:i4>1966152</vt:i4>
      </vt:variant>
      <vt:variant>
        <vt:i4>81</vt:i4>
      </vt:variant>
      <vt:variant>
        <vt:i4>0</vt:i4>
      </vt:variant>
      <vt:variant>
        <vt:i4>5</vt:i4>
      </vt:variant>
      <vt:variant>
        <vt:lpwstr>https://www.wa.gov.au/organisation/department-of-jobs-tourism-science-and-innovation/diversify-wa-economic-development-framework</vt:lpwstr>
      </vt:variant>
      <vt:variant>
        <vt:lpwstr/>
      </vt:variant>
      <vt:variant>
        <vt:i4>1835050</vt:i4>
      </vt:variant>
      <vt:variant>
        <vt:i4>78</vt:i4>
      </vt:variant>
      <vt:variant>
        <vt:i4>0</vt:i4>
      </vt:variant>
      <vt:variant>
        <vt:i4>5</vt:i4>
      </vt:variant>
      <vt:variant>
        <vt:lpwstr/>
      </vt:variant>
      <vt:variant>
        <vt:lpwstr>_Contents</vt:lpwstr>
      </vt:variant>
      <vt:variant>
        <vt:i4>1835050</vt:i4>
      </vt:variant>
      <vt:variant>
        <vt:i4>75</vt:i4>
      </vt:variant>
      <vt:variant>
        <vt:i4>0</vt:i4>
      </vt:variant>
      <vt:variant>
        <vt:i4>5</vt:i4>
      </vt:variant>
      <vt:variant>
        <vt:lpwstr/>
      </vt:variant>
      <vt:variant>
        <vt:lpwstr>_Contents</vt:lpwstr>
      </vt:variant>
      <vt:variant>
        <vt:i4>1835050</vt:i4>
      </vt:variant>
      <vt:variant>
        <vt:i4>72</vt:i4>
      </vt:variant>
      <vt:variant>
        <vt:i4>0</vt:i4>
      </vt:variant>
      <vt:variant>
        <vt:i4>5</vt:i4>
      </vt:variant>
      <vt:variant>
        <vt:lpwstr/>
      </vt:variant>
      <vt:variant>
        <vt:lpwstr>_Contents</vt:lpwstr>
      </vt:variant>
      <vt:variant>
        <vt:i4>1835050</vt:i4>
      </vt:variant>
      <vt:variant>
        <vt:i4>69</vt:i4>
      </vt:variant>
      <vt:variant>
        <vt:i4>0</vt:i4>
      </vt:variant>
      <vt:variant>
        <vt:i4>5</vt:i4>
      </vt:variant>
      <vt:variant>
        <vt:lpwstr/>
      </vt:variant>
      <vt:variant>
        <vt:lpwstr>_Contents</vt:lpwstr>
      </vt:variant>
      <vt:variant>
        <vt:i4>1835050</vt:i4>
      </vt:variant>
      <vt:variant>
        <vt:i4>66</vt:i4>
      </vt:variant>
      <vt:variant>
        <vt:i4>0</vt:i4>
      </vt:variant>
      <vt:variant>
        <vt:i4>5</vt:i4>
      </vt:variant>
      <vt:variant>
        <vt:lpwstr/>
      </vt:variant>
      <vt:variant>
        <vt:lpwstr>_Contents</vt:lpwstr>
      </vt:variant>
      <vt:variant>
        <vt:i4>1835050</vt:i4>
      </vt:variant>
      <vt:variant>
        <vt:i4>63</vt:i4>
      </vt:variant>
      <vt:variant>
        <vt:i4>0</vt:i4>
      </vt:variant>
      <vt:variant>
        <vt:i4>5</vt:i4>
      </vt:variant>
      <vt:variant>
        <vt:lpwstr/>
      </vt:variant>
      <vt:variant>
        <vt:lpwstr>_Contents</vt:lpwstr>
      </vt:variant>
      <vt:variant>
        <vt:i4>1835050</vt:i4>
      </vt:variant>
      <vt:variant>
        <vt:i4>60</vt:i4>
      </vt:variant>
      <vt:variant>
        <vt:i4>0</vt:i4>
      </vt:variant>
      <vt:variant>
        <vt:i4>5</vt:i4>
      </vt:variant>
      <vt:variant>
        <vt:lpwstr/>
      </vt:variant>
      <vt:variant>
        <vt:lpwstr>_Contents</vt:lpwstr>
      </vt:variant>
      <vt:variant>
        <vt:i4>1835050</vt:i4>
      </vt:variant>
      <vt:variant>
        <vt:i4>57</vt:i4>
      </vt:variant>
      <vt:variant>
        <vt:i4>0</vt:i4>
      </vt:variant>
      <vt:variant>
        <vt:i4>5</vt:i4>
      </vt:variant>
      <vt:variant>
        <vt:lpwstr/>
      </vt:variant>
      <vt:variant>
        <vt:lpwstr>_Contents</vt:lpwstr>
      </vt:variant>
      <vt:variant>
        <vt:i4>1835050</vt:i4>
      </vt:variant>
      <vt:variant>
        <vt:i4>54</vt:i4>
      </vt:variant>
      <vt:variant>
        <vt:i4>0</vt:i4>
      </vt:variant>
      <vt:variant>
        <vt:i4>5</vt:i4>
      </vt:variant>
      <vt:variant>
        <vt:lpwstr/>
      </vt:variant>
      <vt:variant>
        <vt:lpwstr>_Contents</vt:lpwstr>
      </vt:variant>
      <vt:variant>
        <vt:i4>1835050</vt:i4>
      </vt:variant>
      <vt:variant>
        <vt:i4>51</vt:i4>
      </vt:variant>
      <vt:variant>
        <vt:i4>0</vt:i4>
      </vt:variant>
      <vt:variant>
        <vt:i4>5</vt:i4>
      </vt:variant>
      <vt:variant>
        <vt:lpwstr/>
      </vt:variant>
      <vt:variant>
        <vt:lpwstr>_Contents</vt:lpwstr>
      </vt:variant>
      <vt:variant>
        <vt:i4>1835050</vt:i4>
      </vt:variant>
      <vt:variant>
        <vt:i4>48</vt:i4>
      </vt:variant>
      <vt:variant>
        <vt:i4>0</vt:i4>
      </vt:variant>
      <vt:variant>
        <vt:i4>5</vt:i4>
      </vt:variant>
      <vt:variant>
        <vt:lpwstr/>
      </vt:variant>
      <vt:variant>
        <vt:lpwstr>_Contents</vt:lpwstr>
      </vt:variant>
      <vt:variant>
        <vt:i4>1835050</vt:i4>
      </vt:variant>
      <vt:variant>
        <vt:i4>45</vt:i4>
      </vt:variant>
      <vt:variant>
        <vt:i4>0</vt:i4>
      </vt:variant>
      <vt:variant>
        <vt:i4>5</vt:i4>
      </vt:variant>
      <vt:variant>
        <vt:lpwstr/>
      </vt:variant>
      <vt:variant>
        <vt:lpwstr>_Contents</vt:lpwstr>
      </vt:variant>
      <vt:variant>
        <vt:i4>1835050</vt:i4>
      </vt:variant>
      <vt:variant>
        <vt:i4>42</vt:i4>
      </vt:variant>
      <vt:variant>
        <vt:i4>0</vt:i4>
      </vt:variant>
      <vt:variant>
        <vt:i4>5</vt:i4>
      </vt:variant>
      <vt:variant>
        <vt:lpwstr/>
      </vt:variant>
      <vt:variant>
        <vt:lpwstr>_Contents</vt:lpwstr>
      </vt:variant>
      <vt:variant>
        <vt:i4>2359382</vt:i4>
      </vt:variant>
      <vt:variant>
        <vt:i4>39</vt:i4>
      </vt:variant>
      <vt:variant>
        <vt:i4>0</vt:i4>
      </vt:variant>
      <vt:variant>
        <vt:i4>5</vt:i4>
      </vt:variant>
      <vt:variant>
        <vt:lpwstr/>
      </vt:variant>
      <vt:variant>
        <vt:lpwstr>_International_trade_1</vt:lpwstr>
      </vt:variant>
      <vt:variant>
        <vt:i4>2359314</vt:i4>
      </vt:variant>
      <vt:variant>
        <vt:i4>36</vt:i4>
      </vt:variant>
      <vt:variant>
        <vt:i4>0</vt:i4>
      </vt:variant>
      <vt:variant>
        <vt:i4>5</vt:i4>
      </vt:variant>
      <vt:variant>
        <vt:lpwstr/>
      </vt:variant>
      <vt:variant>
        <vt:lpwstr>_Regional_economic_conditions</vt:lpwstr>
      </vt:variant>
      <vt:variant>
        <vt:i4>1507387</vt:i4>
      </vt:variant>
      <vt:variant>
        <vt:i4>33</vt:i4>
      </vt:variant>
      <vt:variant>
        <vt:i4>0</vt:i4>
      </vt:variant>
      <vt:variant>
        <vt:i4>5</vt:i4>
      </vt:variant>
      <vt:variant>
        <vt:lpwstr/>
      </vt:variant>
      <vt:variant>
        <vt:lpwstr>_Construction</vt:lpwstr>
      </vt:variant>
      <vt:variant>
        <vt:i4>1245229</vt:i4>
      </vt:variant>
      <vt:variant>
        <vt:i4>30</vt:i4>
      </vt:variant>
      <vt:variant>
        <vt:i4>0</vt:i4>
      </vt:variant>
      <vt:variant>
        <vt:i4>5</vt:i4>
      </vt:variant>
      <vt:variant>
        <vt:lpwstr/>
      </vt:variant>
      <vt:variant>
        <vt:lpwstr>_Housing</vt:lpwstr>
      </vt:variant>
      <vt:variant>
        <vt:i4>7798861</vt:i4>
      </vt:variant>
      <vt:variant>
        <vt:i4>27</vt:i4>
      </vt:variant>
      <vt:variant>
        <vt:i4>0</vt:i4>
      </vt:variant>
      <vt:variant>
        <vt:i4>5</vt:i4>
      </vt:variant>
      <vt:variant>
        <vt:lpwstr/>
      </vt:variant>
      <vt:variant>
        <vt:lpwstr>_Population</vt:lpwstr>
      </vt:variant>
      <vt:variant>
        <vt:i4>544931929</vt:i4>
      </vt:variant>
      <vt:variant>
        <vt:i4>24</vt:i4>
      </vt:variant>
      <vt:variant>
        <vt:i4>0</vt:i4>
      </vt:variant>
      <vt:variant>
        <vt:i4>5</vt:i4>
      </vt:variant>
      <vt:variant>
        <vt:lpwstr/>
      </vt:variant>
      <vt:variant>
        <vt:lpwstr>_Labour_market_–_2</vt:lpwstr>
      </vt:variant>
      <vt:variant>
        <vt:i4>544276533</vt:i4>
      </vt:variant>
      <vt:variant>
        <vt:i4>21</vt:i4>
      </vt:variant>
      <vt:variant>
        <vt:i4>0</vt:i4>
      </vt:variant>
      <vt:variant>
        <vt:i4>5</vt:i4>
      </vt:variant>
      <vt:variant>
        <vt:lpwstr/>
      </vt:variant>
      <vt:variant>
        <vt:lpwstr>_Western_Australia_–</vt:lpwstr>
      </vt:variant>
      <vt:variant>
        <vt:i4>544735321</vt:i4>
      </vt:variant>
      <vt:variant>
        <vt:i4>18</vt:i4>
      </vt:variant>
      <vt:variant>
        <vt:i4>0</vt:i4>
      </vt:variant>
      <vt:variant>
        <vt:i4>5</vt:i4>
      </vt:variant>
      <vt:variant>
        <vt:lpwstr/>
      </vt:variant>
      <vt:variant>
        <vt:lpwstr>_Labour_market_–_1</vt:lpwstr>
      </vt:variant>
      <vt:variant>
        <vt:i4>541655046</vt:i4>
      </vt:variant>
      <vt:variant>
        <vt:i4>15</vt:i4>
      </vt:variant>
      <vt:variant>
        <vt:i4>0</vt:i4>
      </vt:variant>
      <vt:variant>
        <vt:i4>5</vt:i4>
      </vt:variant>
      <vt:variant>
        <vt:lpwstr/>
      </vt:variant>
      <vt:variant>
        <vt:lpwstr>_Labour_market_–</vt:lpwstr>
      </vt:variant>
      <vt:variant>
        <vt:i4>2424849</vt:i4>
      </vt:variant>
      <vt:variant>
        <vt:i4>12</vt:i4>
      </vt:variant>
      <vt:variant>
        <vt:i4>0</vt:i4>
      </vt:variant>
      <vt:variant>
        <vt:i4>5</vt:i4>
      </vt:variant>
      <vt:variant>
        <vt:lpwstr/>
      </vt:variant>
      <vt:variant>
        <vt:lpwstr>_Consumer_prices_and</vt:lpwstr>
      </vt:variant>
      <vt:variant>
        <vt:i4>3932177</vt:i4>
      </vt:variant>
      <vt:variant>
        <vt:i4>9</vt:i4>
      </vt:variant>
      <vt:variant>
        <vt:i4>0</vt:i4>
      </vt:variant>
      <vt:variant>
        <vt:i4>5</vt:i4>
      </vt:variant>
      <vt:variant>
        <vt:lpwstr/>
      </vt:variant>
      <vt:variant>
        <vt:lpwstr>_Commodity_prices_and</vt:lpwstr>
      </vt:variant>
      <vt:variant>
        <vt:i4>6357092</vt:i4>
      </vt:variant>
      <vt:variant>
        <vt:i4>6</vt:i4>
      </vt:variant>
      <vt:variant>
        <vt:i4>0</vt:i4>
      </vt:variant>
      <vt:variant>
        <vt:i4>5</vt:i4>
      </vt:variant>
      <vt:variant>
        <vt:lpwstr/>
      </vt:variant>
      <vt:variant>
        <vt:lpwstr>_Whole_economy</vt:lpwstr>
      </vt:variant>
      <vt:variant>
        <vt:i4>7602259</vt:i4>
      </vt:variant>
      <vt:variant>
        <vt:i4>3</vt:i4>
      </vt:variant>
      <vt:variant>
        <vt:i4>0</vt:i4>
      </vt:variant>
      <vt:variant>
        <vt:i4>5</vt:i4>
      </vt:variant>
      <vt:variant>
        <vt:lpwstr/>
      </vt:variant>
      <vt:variant>
        <vt:lpwstr>_State_final_demand</vt:lpwstr>
      </vt:variant>
      <vt:variant>
        <vt:i4>7536734</vt:i4>
      </vt:variant>
      <vt:variant>
        <vt:i4>0</vt:i4>
      </vt:variant>
      <vt:variant>
        <vt:i4>0</vt:i4>
      </vt:variant>
      <vt:variant>
        <vt:i4>5</vt:i4>
      </vt:variant>
      <vt:variant>
        <vt:lpwstr/>
      </vt:variant>
      <vt:variant>
        <vt:lpwstr>_Domestic_economy_-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MASTER</dc:title>
  <dc:subject/>
  <dc:creator>Mike Thomas</dc:creator>
  <cp:keywords/>
  <dc:description/>
  <cp:lastModifiedBy>THOMAS, Mike</cp:lastModifiedBy>
  <cp:revision>3</cp:revision>
  <cp:lastPrinted>2024-06-21T07:54:00Z</cp:lastPrinted>
  <dcterms:created xsi:type="dcterms:W3CDTF">2025-11-04T07:18:00Z</dcterms:created>
  <dcterms:modified xsi:type="dcterms:W3CDTF">2025-11-04T07:18:00Z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0x0101002BAF0A7451CC954591965DDE4471A2DF</vt:lpwstr>
  </property>
  <property fmtid="{D5CDD505-2E9C-101B-9397-08002B2CF9AE}" pid="3" name="DataStore">
    <vt:lpwstr>Central</vt:lpwstr>
  </property>
  <property fmtid="{D5CDD505-2E9C-101B-9397-08002B2CF9AE}" pid="4" name="MediaServiceImageTags">
    <vt:lpwstr/>
  </property>
</Properties>
</file>