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001" w14:textId="60029885" w:rsidR="009B423D" w:rsidRPr="00CB0482" w:rsidRDefault="00EB553E" w:rsidP="6126832E">
      <w:pPr>
        <w:pStyle w:val="Heading1"/>
        <w:spacing w:before="0"/>
        <w:rPr>
          <w:sz w:val="28"/>
        </w:rPr>
        <w:sectPr w:rsidR="009B423D" w:rsidRPr="00CB0482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0" w:name="_Hlk222234596"/>
      <w:bookmarkEnd w:id="0"/>
      <w:r w:rsidRPr="6126832E">
        <w:rPr>
          <w:sz w:val="28"/>
        </w:rPr>
        <w:t>W</w:t>
      </w:r>
      <w:r w:rsidR="00CB0482" w:rsidRPr="6126832E">
        <w:rPr>
          <w:sz w:val="28"/>
        </w:rPr>
        <w:t>estern Australia Battery and Critical Minerals Profile</w:t>
      </w:r>
      <w:r w:rsidR="009B423D" w:rsidRPr="6126832E">
        <w:rPr>
          <w:sz w:val="28"/>
        </w:rPr>
        <w:t xml:space="preserve"> </w:t>
      </w:r>
      <w:r w:rsidR="006056AC" w:rsidRPr="6126832E">
        <w:rPr>
          <w:sz w:val="28"/>
        </w:rPr>
        <w:t>–</w:t>
      </w:r>
      <w:r w:rsidR="009B423D" w:rsidRPr="6126832E">
        <w:rPr>
          <w:sz w:val="28"/>
        </w:rPr>
        <w:t xml:space="preserve"> </w:t>
      </w:r>
      <w:r w:rsidR="00E05CA6" w:rsidRPr="008D6A5D">
        <w:rPr>
          <w:sz w:val="28"/>
        </w:rPr>
        <w:t>February</w:t>
      </w:r>
      <w:r w:rsidR="0089221F" w:rsidRPr="008D6A5D">
        <w:rPr>
          <w:sz w:val="28"/>
        </w:rPr>
        <w:t> </w:t>
      </w:r>
      <w:r w:rsidR="007B6D08" w:rsidRPr="008D6A5D">
        <w:rPr>
          <w:sz w:val="28"/>
        </w:rPr>
        <w:t>2026</w:t>
      </w:r>
    </w:p>
    <w:p w14:paraId="64178EA3" w14:textId="77777777" w:rsidR="00C032E5" w:rsidRDefault="00DC7EC1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Battery minerals are minerals used in rechargeable batteries, such as lithium, nickel, cobalt, graphite, manganese, </w:t>
      </w:r>
      <w:r w:rsidR="00770075" w:rsidRPr="004A368F">
        <w:rPr>
          <w:sz w:val="16"/>
        </w:rPr>
        <w:t xml:space="preserve">high purity </w:t>
      </w:r>
      <w:r w:rsidRPr="004A368F">
        <w:rPr>
          <w:sz w:val="16"/>
        </w:rPr>
        <w:t xml:space="preserve">alumina, tin, tantalum, </w:t>
      </w:r>
      <w:r w:rsidR="00B1056F" w:rsidRPr="004A368F">
        <w:rPr>
          <w:sz w:val="16"/>
        </w:rPr>
        <w:t>magnesium,</w:t>
      </w:r>
      <w:r w:rsidRPr="004A368F">
        <w:rPr>
          <w:sz w:val="16"/>
        </w:rPr>
        <w:t xml:space="preserve"> and vanadium.</w:t>
      </w:r>
      <w:r w:rsidR="007A60CE" w:rsidRPr="004A368F">
        <w:rPr>
          <w:sz w:val="16"/>
        </w:rPr>
        <w:t xml:space="preserve"> </w:t>
      </w:r>
      <w:r w:rsidR="001D4F90">
        <w:rPr>
          <w:sz w:val="16"/>
        </w:rPr>
        <w:t>The definition of critical minerals is more subjective; jurisdictions use different definitions based on the minerals they deem to be critical to their economy and industries of strategic importance</w:t>
      </w:r>
      <w:r w:rsidR="0075544A">
        <w:rPr>
          <w:sz w:val="16"/>
        </w:rPr>
        <w:t xml:space="preserve">, </w:t>
      </w:r>
      <w:r w:rsidR="009B5AF7">
        <w:rPr>
          <w:sz w:val="16"/>
        </w:rPr>
        <w:t>as well as</w:t>
      </w:r>
      <w:r w:rsidR="0075544A">
        <w:rPr>
          <w:sz w:val="16"/>
        </w:rPr>
        <w:t xml:space="preserve"> how </w:t>
      </w:r>
      <w:r w:rsidR="00856A53">
        <w:rPr>
          <w:sz w:val="16"/>
        </w:rPr>
        <w:t xml:space="preserve">sensitive </w:t>
      </w:r>
      <w:r w:rsidR="009B5AF7">
        <w:rPr>
          <w:sz w:val="16"/>
        </w:rPr>
        <w:t xml:space="preserve">certain </w:t>
      </w:r>
      <w:r w:rsidR="0075544A">
        <w:rPr>
          <w:sz w:val="16"/>
        </w:rPr>
        <w:t>minerals are to changes in global supply</w:t>
      </w:r>
      <w:r w:rsidR="001D4F90">
        <w:rPr>
          <w:sz w:val="16"/>
        </w:rPr>
        <w:t>.</w:t>
      </w:r>
    </w:p>
    <w:p w14:paraId="21B414ED" w14:textId="0EB8D6DD" w:rsidR="001D4F90" w:rsidRDefault="007A60CE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The Australian Government maintains the </w:t>
      </w:r>
      <w:hyperlink r:id="rId14" w:history="1">
        <w:r w:rsidRPr="00492C1C">
          <w:rPr>
            <w:rStyle w:val="Hyperlink"/>
            <w:sz w:val="16"/>
          </w:rPr>
          <w:t>Critical Minerals List and Strategic Materials List</w:t>
        </w:r>
      </w:hyperlink>
      <w:r w:rsidRPr="004A368F">
        <w:rPr>
          <w:sz w:val="16"/>
        </w:rPr>
        <w:t xml:space="preserve"> for Australia. Minerals on the</w:t>
      </w:r>
      <w:r w:rsidR="00423115" w:rsidRPr="004A368F">
        <w:rPr>
          <w:sz w:val="16"/>
        </w:rPr>
        <w:t xml:space="preserve">se lists </w:t>
      </w:r>
      <w:r w:rsidRPr="004A368F">
        <w:rPr>
          <w:sz w:val="16"/>
        </w:rPr>
        <w:t xml:space="preserve">are essential to Australia’s </w:t>
      </w:r>
      <w:r w:rsidR="009B5AF7">
        <w:rPr>
          <w:sz w:val="16"/>
        </w:rPr>
        <w:t>net</w:t>
      </w:r>
      <w:r w:rsidR="009B5AF7">
        <w:rPr>
          <w:sz w:val="16"/>
        </w:rPr>
        <w:noBreakHyphen/>
        <w:t xml:space="preserve">zero </w:t>
      </w:r>
      <w:r w:rsidR="00423115" w:rsidRPr="004A368F">
        <w:rPr>
          <w:sz w:val="16"/>
        </w:rPr>
        <w:t>transition, advanced manufacturing, defence technologies and capabilities, and broader strategic applications. The</w:t>
      </w:r>
      <w:r w:rsidR="00115A07" w:rsidRPr="004A368F">
        <w:rPr>
          <w:sz w:val="16"/>
        </w:rPr>
        <w:t>se</w:t>
      </w:r>
      <w:r w:rsidR="00551A78" w:rsidRPr="004A368F">
        <w:rPr>
          <w:sz w:val="16"/>
        </w:rPr>
        <w:t xml:space="preserve"> </w:t>
      </w:r>
      <w:r w:rsidRPr="004A368F">
        <w:rPr>
          <w:sz w:val="16"/>
        </w:rPr>
        <w:t xml:space="preserve">minerals </w:t>
      </w:r>
      <w:r w:rsidR="00551A78" w:rsidRPr="004A368F">
        <w:rPr>
          <w:sz w:val="16"/>
        </w:rPr>
        <w:t xml:space="preserve">also have </w:t>
      </w:r>
      <w:r w:rsidRPr="004A368F">
        <w:rPr>
          <w:sz w:val="16"/>
        </w:rPr>
        <w:t>geological resource potential</w:t>
      </w:r>
      <w:r w:rsidR="00551A78" w:rsidRPr="004A368F">
        <w:rPr>
          <w:sz w:val="16"/>
        </w:rPr>
        <w:t xml:space="preserve"> in Australia</w:t>
      </w:r>
      <w:r w:rsidRPr="004A368F">
        <w:rPr>
          <w:sz w:val="16"/>
        </w:rPr>
        <w:t>, are in demand from strategic international partners and</w:t>
      </w:r>
      <w:r w:rsidR="006E2256" w:rsidRPr="004A368F">
        <w:rPr>
          <w:sz w:val="16"/>
        </w:rPr>
        <w:t xml:space="preserve"> </w:t>
      </w:r>
      <w:r w:rsidRPr="004A368F">
        <w:rPr>
          <w:sz w:val="16"/>
        </w:rPr>
        <w:t xml:space="preserve">are </w:t>
      </w:r>
      <w:r w:rsidR="00856A53">
        <w:rPr>
          <w:sz w:val="16"/>
        </w:rPr>
        <w:t>vulnerable</w:t>
      </w:r>
      <w:r w:rsidR="00856A53" w:rsidRPr="004A368F">
        <w:rPr>
          <w:sz w:val="16"/>
        </w:rPr>
        <w:t xml:space="preserve"> </w:t>
      </w:r>
      <w:r w:rsidRPr="004A368F">
        <w:rPr>
          <w:sz w:val="16"/>
        </w:rPr>
        <w:t>to supply chain disruption.</w:t>
      </w:r>
    </w:p>
    <w:p w14:paraId="0E93F450" w14:textId="63CD12ED" w:rsidR="006848C1" w:rsidRPr="00A72383" w:rsidRDefault="001D4F90" w:rsidP="00595DE6">
      <w:pPr>
        <w:pStyle w:val="BodyText"/>
        <w:spacing w:after="0"/>
        <w:jc w:val="both"/>
        <w:rPr>
          <w:sz w:val="16"/>
        </w:rPr>
      </w:pPr>
      <w:r>
        <w:rPr>
          <w:sz w:val="16"/>
        </w:rPr>
        <w:t xml:space="preserve">Of the </w:t>
      </w:r>
      <w:r w:rsidR="00423115" w:rsidRPr="004A368F">
        <w:rPr>
          <w:sz w:val="16"/>
        </w:rPr>
        <w:t xml:space="preserve">minerals included on Australia’s critical and strategic minerals lists, this profile focuses on </w:t>
      </w:r>
      <w:r w:rsidR="007E0684" w:rsidRPr="004A368F">
        <w:rPr>
          <w:sz w:val="16"/>
        </w:rPr>
        <w:t>lithium, nickel, cobalt, and rare earth elements.</w:t>
      </w:r>
    </w:p>
    <w:p w14:paraId="449A4F2F" w14:textId="77777777" w:rsidR="00392F36" w:rsidRDefault="00392F36" w:rsidP="003A76C2">
      <w:pPr>
        <w:pStyle w:val="BodyText"/>
        <w:spacing w:after="0"/>
        <w:jc w:val="both"/>
        <w:rPr>
          <w:sz w:val="16"/>
        </w:rPr>
        <w:sectPr w:rsidR="00392F36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66BB9F6B" w14:textId="77777777" w:rsidR="003A76C2" w:rsidRDefault="003A76C2" w:rsidP="003A76C2">
      <w:pPr>
        <w:pStyle w:val="BodyText"/>
        <w:spacing w:after="0"/>
        <w:jc w:val="both"/>
        <w:rPr>
          <w:sz w:val="16"/>
        </w:rPr>
      </w:pPr>
    </w:p>
    <w:p w14:paraId="685DFC8D" w14:textId="25D6A32D" w:rsidR="00EE50C5" w:rsidRPr="003C1A0B" w:rsidRDefault="008502FB" w:rsidP="00EE50C5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Demand and outlook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8AE8C74" w14:textId="0820614F" w:rsidR="00EE50C5" w:rsidRPr="000B6128" w:rsidRDefault="008502FB" w:rsidP="00EE50C5">
      <w:pPr>
        <w:pStyle w:val="BodyText"/>
        <w:spacing w:after="0"/>
        <w:ind w:right="-438"/>
        <w:jc w:val="both"/>
        <w:rPr>
          <w:sz w:val="16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5D41C3A7" wp14:editId="54A48725">
            <wp:extent cx="3420000" cy="2103446"/>
            <wp:effectExtent l="0" t="0" r="0" b="0"/>
            <wp:docPr id="282638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677C2" w14:textId="77777777" w:rsidR="008502FB" w:rsidRPr="00F55BC9" w:rsidRDefault="008502FB" w:rsidP="008502FB">
      <w:pPr>
        <w:spacing w:after="0"/>
        <w:jc w:val="both"/>
        <w:rPr>
          <w:rFonts w:cs="Arial"/>
          <w:sz w:val="10"/>
          <w:szCs w:val="20"/>
        </w:rPr>
      </w:pPr>
      <w:r w:rsidRPr="005F4CDE">
        <w:rPr>
          <w:sz w:val="10"/>
        </w:rPr>
        <w:t xml:space="preserve">Note – Forecasts start in </w:t>
      </w:r>
      <w:r w:rsidRPr="00F55BC9">
        <w:rPr>
          <w:sz w:val="10"/>
        </w:rPr>
        <w:t>202</w:t>
      </w:r>
      <w:r>
        <w:rPr>
          <w:sz w:val="10"/>
        </w:rPr>
        <w:t>6</w:t>
      </w:r>
      <w:r w:rsidRPr="00F55BC9">
        <w:rPr>
          <w:sz w:val="10"/>
        </w:rPr>
        <w:t xml:space="preserve">. Kt = Thousand tonnes of lithium carbonate equivalent. </w:t>
      </w: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Consumption of nickel and demand of lithium. Demand is ahead of consumption by around 12 months due to the time taken to manufacture batteries.</w:t>
      </w:r>
    </w:p>
    <w:p w14:paraId="59BD3AA5" w14:textId="77777777" w:rsidR="008502FB" w:rsidRPr="00F55BC9" w:rsidRDefault="008502FB" w:rsidP="008502FB">
      <w:pPr>
        <w:spacing w:after="0"/>
        <w:jc w:val="both"/>
        <w:rPr>
          <w:sz w:val="10"/>
          <w:szCs w:val="10"/>
        </w:rPr>
      </w:pPr>
      <w:r w:rsidRPr="4F4BB68E">
        <w:rPr>
          <w:rFonts w:cs="Arial"/>
          <w:sz w:val="10"/>
          <w:szCs w:val="10"/>
        </w:rPr>
        <w:t>Source: Office of the Chief Economist, Resources and Energy Quarterly (December quarter 2025).</w:t>
      </w:r>
    </w:p>
    <w:p w14:paraId="0AC6AD42" w14:textId="77777777" w:rsidR="00EE50C5" w:rsidRDefault="00EE50C5" w:rsidP="00EE50C5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8EA364D" w14:textId="77777777" w:rsidR="008502FB" w:rsidRDefault="008502FB" w:rsidP="008502FB">
      <w:pPr>
        <w:pStyle w:val="BodyText"/>
        <w:spacing w:before="40" w:after="40"/>
        <w:jc w:val="both"/>
        <w:rPr>
          <w:sz w:val="16"/>
        </w:rPr>
      </w:pPr>
    </w:p>
    <w:p w14:paraId="4C21E6D6" w14:textId="71767A7A" w:rsidR="009001FA" w:rsidRDefault="001272F9" w:rsidP="009001FA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>
        <w:rPr>
          <w:sz w:val="16"/>
        </w:rPr>
        <w:t>The global push to meet net</w:t>
      </w:r>
      <w:r>
        <w:rPr>
          <w:sz w:val="16"/>
        </w:rPr>
        <w:noBreakHyphen/>
        <w:t>zero emissions targets is creating more demand for battery and critical minerals</w:t>
      </w:r>
      <w:r w:rsidR="003D13CB">
        <w:rPr>
          <w:sz w:val="16"/>
        </w:rPr>
        <w:t>, with</w:t>
      </w:r>
      <w:r w:rsidR="009001FA" w:rsidRPr="009001FA">
        <w:rPr>
          <w:sz w:val="16"/>
        </w:rPr>
        <w:t xml:space="preserve"> </w:t>
      </w:r>
      <w:r w:rsidR="003D13CB">
        <w:rPr>
          <w:sz w:val="16"/>
        </w:rPr>
        <w:t>e</w:t>
      </w:r>
      <w:r w:rsidR="009001FA">
        <w:rPr>
          <w:sz w:val="16"/>
        </w:rPr>
        <w:t xml:space="preserve">lectric vehicles </w:t>
      </w:r>
      <w:r w:rsidR="003D13CB">
        <w:rPr>
          <w:sz w:val="16"/>
        </w:rPr>
        <w:t>being</w:t>
      </w:r>
      <w:r w:rsidR="009001FA">
        <w:rPr>
          <w:sz w:val="16"/>
        </w:rPr>
        <w:t xml:space="preserve"> a major driver of battery minerals demand. In 2024, global electric car sales rose 28% to 17.5 million. Under the International Energy Agency’s Stated Policy Scenario, global electric car sales will more than double to 40.0 million by 2030.</w:t>
      </w:r>
    </w:p>
    <w:p w14:paraId="292D9E19" w14:textId="45972A9C" w:rsidR="008502FB" w:rsidRDefault="001272F9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>
        <w:rPr>
          <w:sz w:val="16"/>
        </w:rPr>
        <w:t>World lithium demand rose 18% to 1.19 million tonnes in 2024</w:t>
      </w:r>
      <w:r w:rsidR="00596964">
        <w:rPr>
          <w:sz w:val="16"/>
        </w:rPr>
        <w:t>. The Office of the Chief Economist forecasts world lithium demand will rise 51% to 1.79 million tonnes between 2024 and 2027.</w:t>
      </w:r>
    </w:p>
    <w:p w14:paraId="025A307E" w14:textId="0AD24281" w:rsidR="00EE50C5" w:rsidRDefault="00596964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>
        <w:rPr>
          <w:sz w:val="16"/>
        </w:rPr>
        <w:t xml:space="preserve">World nickel consumption rose 8% to 3.35 million tonnes in 2024. The Office of the Chief Economist </w:t>
      </w:r>
      <w:r w:rsidR="00A724CC">
        <w:rPr>
          <w:sz w:val="16"/>
        </w:rPr>
        <w:t>forecasts world nickel consumption will rise 19% to 3.97 million tonnes between 2024 and 2027.</w:t>
      </w:r>
    </w:p>
    <w:p w14:paraId="31ECF08D" w14:textId="2EB972A0" w:rsidR="00A724CC" w:rsidRDefault="00A724CC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>
        <w:rPr>
          <w:sz w:val="16"/>
        </w:rPr>
        <w:t>World cobalt demand rose 6% to 191,000</w:t>
      </w:r>
      <w:r w:rsidR="00045643">
        <w:rPr>
          <w:sz w:val="16"/>
        </w:rPr>
        <w:t> tonnes in 2024. S&amp;P Global Market Intelligence forecasts world cobalt demand will rise 27% to 242,000 tonnes between 2024 and 2027.</w:t>
      </w:r>
    </w:p>
    <w:p w14:paraId="4ECE6543" w14:textId="77777777" w:rsidR="00045643" w:rsidRDefault="00045643" w:rsidP="00045643">
      <w:pPr>
        <w:pStyle w:val="BodyText"/>
        <w:spacing w:after="0"/>
        <w:ind w:left="284"/>
        <w:jc w:val="both"/>
        <w:rPr>
          <w:sz w:val="16"/>
        </w:rPr>
        <w:sectPr w:rsidR="00045643" w:rsidSect="00045643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64E06E7C" w14:textId="20BE2773" w:rsidR="006F0530" w:rsidRPr="003C1A0B" w:rsidRDefault="006F0530" w:rsidP="00595DE6">
      <w:pPr>
        <w:pStyle w:val="BodyText"/>
        <w:spacing w:after="60"/>
        <w:rPr>
          <w:b/>
          <w:bCs/>
          <w:color w:val="00997A"/>
          <w:sz w:val="20"/>
          <w:szCs w:val="20"/>
        </w:rPr>
        <w:sectPr w:rsidR="006F0530" w:rsidRPr="003C1A0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C1A0B">
        <w:rPr>
          <w:b/>
          <w:bCs/>
          <w:color w:val="00997A"/>
          <w:sz w:val="20"/>
          <w:szCs w:val="20"/>
        </w:rPr>
        <w:t>Western Australia</w:t>
      </w:r>
      <w:r w:rsidR="006C2ACA" w:rsidRPr="003C1A0B">
        <w:rPr>
          <w:b/>
          <w:bCs/>
          <w:color w:val="00997A"/>
          <w:sz w:val="20"/>
          <w:szCs w:val="20"/>
        </w:rPr>
        <w:t>’s battery and critical minerals</w:t>
      </w:r>
      <w:r w:rsidRPr="003C1A0B">
        <w:rPr>
          <w:b/>
          <w:bCs/>
          <w:color w:val="00997A"/>
          <w:sz w:val="20"/>
          <w:szCs w:val="20"/>
        </w:rPr>
        <w:t xml:space="preserve"> industry</w:t>
      </w:r>
    </w:p>
    <w:p w14:paraId="73A783DC" w14:textId="634E4E5E" w:rsidR="00455D8D" w:rsidRDefault="003C1FAA" w:rsidP="00EB0CB8">
      <w:pPr>
        <w:pStyle w:val="BodyText"/>
        <w:spacing w:beforeLines="40" w:before="96" w:afterLines="40" w:after="96"/>
        <w:jc w:val="both"/>
        <w:rPr>
          <w:sz w:val="16"/>
        </w:rPr>
      </w:pPr>
      <w:r>
        <w:rPr>
          <w:sz w:val="16"/>
        </w:rPr>
        <w:t xml:space="preserve">Western Australia accounts for a large proportion of the world’s production of many battery and critical minerals, producing </w:t>
      </w:r>
      <w:r w:rsidRPr="008E0C15">
        <w:rPr>
          <w:color w:val="000000" w:themeColor="text1"/>
          <w:sz w:val="16"/>
        </w:rPr>
        <w:t>over 40 per cent of the world’s lithium and being among the top five producers of nickel, cobalt, and rare earths</w:t>
      </w:r>
      <w:r w:rsidR="00412B6E">
        <w:rPr>
          <w:color w:val="000000" w:themeColor="text1"/>
          <w:sz w:val="16"/>
        </w:rPr>
        <w:t xml:space="preserve"> in 2024</w:t>
      </w:r>
      <w:r w:rsidRPr="008E0C15">
        <w:rPr>
          <w:color w:val="000000" w:themeColor="text1"/>
          <w:sz w:val="16"/>
        </w:rPr>
        <w:t>.</w:t>
      </w:r>
      <w:r w:rsidR="004A3CB5" w:rsidRPr="004A3CB5">
        <w:rPr>
          <w:sz w:val="16"/>
        </w:rPr>
        <w:t xml:space="preserve"> </w:t>
      </w:r>
      <w:r w:rsidR="004A3CB5" w:rsidRPr="00260332">
        <w:rPr>
          <w:sz w:val="16"/>
        </w:rPr>
        <w:t>Western Australia has advanced along the battery and critical minerals value chain in recent years, with lithium hydroxide now produced at processing plants in Kwinana.</w:t>
      </w:r>
    </w:p>
    <w:p w14:paraId="442ECD42" w14:textId="210202FB" w:rsidR="003C1FAA" w:rsidRPr="008D6A5D" w:rsidRDefault="00D01DC4" w:rsidP="00EB0CB8">
      <w:pPr>
        <w:pStyle w:val="BodyText"/>
        <w:spacing w:beforeLines="40" w:before="96" w:afterLines="40" w:after="96"/>
        <w:jc w:val="both"/>
        <w:rPr>
          <w:sz w:val="16"/>
          <w:szCs w:val="16"/>
        </w:rPr>
      </w:pPr>
      <w:r w:rsidRPr="008D6A5D">
        <w:rPr>
          <w:sz w:val="16"/>
          <w:szCs w:val="16"/>
        </w:rPr>
        <w:t xml:space="preserve">Prices for </w:t>
      </w:r>
      <w:r w:rsidR="009F602D" w:rsidRPr="008D6A5D">
        <w:rPr>
          <w:sz w:val="16"/>
          <w:szCs w:val="16"/>
        </w:rPr>
        <w:t xml:space="preserve">some battery and critical minerals increased significantly </w:t>
      </w:r>
      <w:r w:rsidR="00D21EB2" w:rsidRPr="008D6A5D">
        <w:rPr>
          <w:sz w:val="16"/>
          <w:szCs w:val="16"/>
        </w:rPr>
        <w:t xml:space="preserve">in 2021 and 2022, which </w:t>
      </w:r>
      <w:r w:rsidR="00BF2138" w:rsidRPr="008D6A5D">
        <w:rPr>
          <w:sz w:val="16"/>
          <w:szCs w:val="16"/>
        </w:rPr>
        <w:t xml:space="preserve">incentivised </w:t>
      </w:r>
      <w:r w:rsidR="004540E8" w:rsidRPr="008D6A5D">
        <w:rPr>
          <w:sz w:val="16"/>
          <w:szCs w:val="16"/>
        </w:rPr>
        <w:t xml:space="preserve">an increase in global supply and </w:t>
      </w:r>
      <w:r w:rsidR="002F4F08" w:rsidRPr="008D6A5D">
        <w:rPr>
          <w:sz w:val="16"/>
          <w:szCs w:val="16"/>
        </w:rPr>
        <w:t>led to</w:t>
      </w:r>
      <w:r w:rsidR="004540E8" w:rsidRPr="008D6A5D">
        <w:rPr>
          <w:sz w:val="16"/>
          <w:szCs w:val="16"/>
        </w:rPr>
        <w:t xml:space="preserve"> </w:t>
      </w:r>
      <w:r w:rsidR="001E355A" w:rsidRPr="008D6A5D">
        <w:rPr>
          <w:sz w:val="16"/>
          <w:szCs w:val="16"/>
        </w:rPr>
        <w:t xml:space="preserve">prices </w:t>
      </w:r>
      <w:r w:rsidR="005004AC" w:rsidRPr="008D6A5D">
        <w:rPr>
          <w:sz w:val="16"/>
          <w:szCs w:val="16"/>
        </w:rPr>
        <w:t>fall</w:t>
      </w:r>
      <w:r w:rsidR="00A86294" w:rsidRPr="008D6A5D">
        <w:rPr>
          <w:sz w:val="16"/>
          <w:szCs w:val="16"/>
        </w:rPr>
        <w:t>ing</w:t>
      </w:r>
      <w:r w:rsidR="005004AC" w:rsidRPr="008D6A5D">
        <w:rPr>
          <w:sz w:val="16"/>
          <w:szCs w:val="16"/>
        </w:rPr>
        <w:t xml:space="preserve"> </w:t>
      </w:r>
      <w:r w:rsidR="001E355A" w:rsidRPr="008D6A5D">
        <w:rPr>
          <w:sz w:val="16"/>
          <w:szCs w:val="16"/>
        </w:rPr>
        <w:t>in 2023 and 2024</w:t>
      </w:r>
      <w:r w:rsidR="00F56AC7" w:rsidRPr="008D6A5D">
        <w:rPr>
          <w:sz w:val="16"/>
          <w:szCs w:val="16"/>
        </w:rPr>
        <w:t xml:space="preserve">, </w:t>
      </w:r>
      <w:r w:rsidR="00A86294" w:rsidRPr="008D6A5D">
        <w:rPr>
          <w:sz w:val="16"/>
          <w:szCs w:val="16"/>
        </w:rPr>
        <w:t>returning</w:t>
      </w:r>
      <w:r w:rsidR="005004AC" w:rsidRPr="008D6A5D">
        <w:rPr>
          <w:sz w:val="16"/>
          <w:szCs w:val="16"/>
        </w:rPr>
        <w:t xml:space="preserve"> to </w:t>
      </w:r>
      <w:r w:rsidR="0027518B" w:rsidRPr="008D6A5D">
        <w:rPr>
          <w:sz w:val="16"/>
          <w:szCs w:val="16"/>
        </w:rPr>
        <w:t xml:space="preserve">around </w:t>
      </w:r>
      <w:r w:rsidR="005004AC" w:rsidRPr="008D6A5D">
        <w:rPr>
          <w:sz w:val="16"/>
          <w:szCs w:val="16"/>
        </w:rPr>
        <w:t xml:space="preserve">their </w:t>
      </w:r>
      <w:r w:rsidR="0027518B" w:rsidRPr="008D6A5D">
        <w:rPr>
          <w:sz w:val="16"/>
          <w:szCs w:val="16"/>
        </w:rPr>
        <w:t xml:space="preserve">2021 levels. </w:t>
      </w:r>
      <w:r w:rsidR="00403CA1" w:rsidRPr="008D6A5D">
        <w:rPr>
          <w:sz w:val="16"/>
          <w:szCs w:val="16"/>
        </w:rPr>
        <w:t xml:space="preserve">The </w:t>
      </w:r>
      <w:r w:rsidR="0030705E" w:rsidRPr="008D6A5D">
        <w:rPr>
          <w:sz w:val="16"/>
          <w:szCs w:val="16"/>
        </w:rPr>
        <w:t xml:space="preserve">price </w:t>
      </w:r>
      <w:r w:rsidR="00403CA1" w:rsidRPr="008D6A5D">
        <w:rPr>
          <w:sz w:val="16"/>
          <w:szCs w:val="16"/>
        </w:rPr>
        <w:t xml:space="preserve">volatility has been </w:t>
      </w:r>
      <w:r w:rsidR="001E355A" w:rsidRPr="008D6A5D">
        <w:rPr>
          <w:sz w:val="16"/>
          <w:szCs w:val="16"/>
        </w:rPr>
        <w:t xml:space="preserve">challenging </w:t>
      </w:r>
      <w:r w:rsidR="009B410F" w:rsidRPr="008D6A5D">
        <w:rPr>
          <w:sz w:val="16"/>
          <w:szCs w:val="16"/>
        </w:rPr>
        <w:t>for producers</w:t>
      </w:r>
      <w:r w:rsidR="001E355A" w:rsidRPr="008D6A5D">
        <w:rPr>
          <w:sz w:val="16"/>
          <w:szCs w:val="16"/>
        </w:rPr>
        <w:t xml:space="preserve"> </w:t>
      </w:r>
      <w:r w:rsidR="00AF2765" w:rsidRPr="008D6A5D">
        <w:rPr>
          <w:sz w:val="16"/>
          <w:szCs w:val="16"/>
        </w:rPr>
        <w:t xml:space="preserve">and </w:t>
      </w:r>
      <w:r w:rsidR="00C31F8E" w:rsidRPr="008D6A5D">
        <w:rPr>
          <w:sz w:val="16"/>
          <w:szCs w:val="16"/>
        </w:rPr>
        <w:t>led to</w:t>
      </w:r>
      <w:r w:rsidR="001E355A" w:rsidRPr="008D6A5D">
        <w:rPr>
          <w:sz w:val="16"/>
          <w:szCs w:val="16"/>
        </w:rPr>
        <w:t xml:space="preserve"> </w:t>
      </w:r>
      <w:r w:rsidR="004A2386" w:rsidRPr="008D6A5D">
        <w:rPr>
          <w:sz w:val="16"/>
          <w:szCs w:val="16"/>
        </w:rPr>
        <w:t xml:space="preserve">BHP suspending its Nickel West operations from October 2024, </w:t>
      </w:r>
      <w:r w:rsidR="001E355A" w:rsidRPr="008D6A5D">
        <w:rPr>
          <w:sz w:val="16"/>
          <w:szCs w:val="16"/>
        </w:rPr>
        <w:t>Tianqi Lithium halt</w:t>
      </w:r>
      <w:r w:rsidR="00843FF6" w:rsidRPr="008D6A5D">
        <w:rPr>
          <w:sz w:val="16"/>
          <w:szCs w:val="16"/>
        </w:rPr>
        <w:t>ing</w:t>
      </w:r>
      <w:r w:rsidR="001E355A" w:rsidRPr="008D6A5D">
        <w:rPr>
          <w:sz w:val="16"/>
          <w:szCs w:val="16"/>
        </w:rPr>
        <w:t xml:space="preserve"> Phase</w:t>
      </w:r>
      <w:r w:rsidR="007124C7" w:rsidRPr="008D6A5D">
        <w:rPr>
          <w:sz w:val="16"/>
          <w:szCs w:val="16"/>
        </w:rPr>
        <w:t> </w:t>
      </w:r>
      <w:r w:rsidR="001E355A" w:rsidRPr="008D6A5D">
        <w:rPr>
          <w:sz w:val="16"/>
          <w:szCs w:val="16"/>
        </w:rPr>
        <w:t xml:space="preserve">2 </w:t>
      </w:r>
      <w:r w:rsidR="009925C3" w:rsidRPr="008D6A5D">
        <w:rPr>
          <w:sz w:val="16"/>
          <w:szCs w:val="16"/>
        </w:rPr>
        <w:t xml:space="preserve">of </w:t>
      </w:r>
      <w:r w:rsidR="001E355A" w:rsidRPr="008D6A5D">
        <w:rPr>
          <w:sz w:val="16"/>
          <w:szCs w:val="16"/>
        </w:rPr>
        <w:t xml:space="preserve">construction at </w:t>
      </w:r>
      <w:r w:rsidR="009925C3" w:rsidRPr="008D6A5D">
        <w:rPr>
          <w:sz w:val="16"/>
          <w:szCs w:val="16"/>
        </w:rPr>
        <w:t xml:space="preserve">its </w:t>
      </w:r>
      <w:r w:rsidR="001E355A" w:rsidRPr="008D6A5D">
        <w:rPr>
          <w:sz w:val="16"/>
          <w:szCs w:val="16"/>
        </w:rPr>
        <w:t xml:space="preserve">Kwinana </w:t>
      </w:r>
      <w:r w:rsidR="009925C3" w:rsidRPr="008D6A5D">
        <w:rPr>
          <w:sz w:val="16"/>
          <w:szCs w:val="16"/>
        </w:rPr>
        <w:t xml:space="preserve">processing plant </w:t>
      </w:r>
      <w:r w:rsidR="001E355A" w:rsidRPr="008D6A5D">
        <w:rPr>
          <w:sz w:val="16"/>
          <w:szCs w:val="16"/>
        </w:rPr>
        <w:t>in January</w:t>
      </w:r>
      <w:r w:rsidR="009925C3" w:rsidRPr="008D6A5D">
        <w:rPr>
          <w:sz w:val="16"/>
          <w:szCs w:val="16"/>
        </w:rPr>
        <w:t> </w:t>
      </w:r>
      <w:r w:rsidR="001E355A" w:rsidRPr="008D6A5D">
        <w:rPr>
          <w:sz w:val="16"/>
          <w:szCs w:val="16"/>
        </w:rPr>
        <w:t>2025,</w:t>
      </w:r>
      <w:r w:rsidR="004A2386" w:rsidRPr="008D6A5D">
        <w:rPr>
          <w:sz w:val="16"/>
          <w:szCs w:val="16"/>
        </w:rPr>
        <w:t xml:space="preserve"> and Albemarle </w:t>
      </w:r>
      <w:r w:rsidR="00ED2E69" w:rsidRPr="008D6A5D">
        <w:rPr>
          <w:sz w:val="16"/>
          <w:szCs w:val="16"/>
        </w:rPr>
        <w:t xml:space="preserve">placing its </w:t>
      </w:r>
      <w:r w:rsidR="00987D62" w:rsidRPr="008D6A5D">
        <w:rPr>
          <w:sz w:val="16"/>
          <w:szCs w:val="16"/>
        </w:rPr>
        <w:t>lithium hydroxide refinery at Kemerton into care and maintenance in February 2026</w:t>
      </w:r>
      <w:r w:rsidR="001E355A" w:rsidRPr="008D6A5D">
        <w:rPr>
          <w:sz w:val="16"/>
          <w:szCs w:val="16"/>
        </w:rPr>
        <w:t xml:space="preserve">. </w:t>
      </w:r>
      <w:r w:rsidR="10F6A0F5" w:rsidRPr="008D6A5D">
        <w:rPr>
          <w:sz w:val="16"/>
          <w:szCs w:val="16"/>
        </w:rPr>
        <w:t>T</w:t>
      </w:r>
      <w:r w:rsidR="001E355A" w:rsidRPr="008D6A5D">
        <w:rPr>
          <w:sz w:val="16"/>
          <w:szCs w:val="16"/>
        </w:rPr>
        <w:t xml:space="preserve">he Western Australian Government introduced support </w:t>
      </w:r>
      <w:r w:rsidR="001E355A" w:rsidRPr="008D6A5D" w:rsidDel="0013790B">
        <w:rPr>
          <w:sz w:val="16"/>
          <w:szCs w:val="16"/>
        </w:rPr>
        <w:t>measures</w:t>
      </w:r>
      <w:r w:rsidR="0013790B" w:rsidRPr="008D6A5D">
        <w:rPr>
          <w:sz w:val="16"/>
          <w:szCs w:val="16"/>
        </w:rPr>
        <w:t>, including the Nickel</w:t>
      </w:r>
      <w:r w:rsidR="00324CA9" w:rsidRPr="008D6A5D">
        <w:rPr>
          <w:sz w:val="16"/>
          <w:szCs w:val="16"/>
        </w:rPr>
        <w:t> </w:t>
      </w:r>
      <w:r w:rsidR="0013790B" w:rsidRPr="008D6A5D">
        <w:rPr>
          <w:sz w:val="16"/>
          <w:szCs w:val="16"/>
        </w:rPr>
        <w:t>Financial Assistance Program and the Lithium Industry Support Program</w:t>
      </w:r>
      <w:r w:rsidR="7B29AD0D" w:rsidRPr="008D6A5D">
        <w:rPr>
          <w:sz w:val="16"/>
          <w:szCs w:val="16"/>
        </w:rPr>
        <w:t xml:space="preserve"> in response to these challenging conditions</w:t>
      </w:r>
      <w:r w:rsidR="0013790B" w:rsidRPr="008D6A5D">
        <w:rPr>
          <w:sz w:val="16"/>
          <w:szCs w:val="16"/>
        </w:rPr>
        <w:t>.</w:t>
      </w:r>
    </w:p>
    <w:p w14:paraId="4FC4C9E3" w14:textId="35C3D1E5" w:rsidR="007E5D90" w:rsidRPr="00873630" w:rsidRDefault="0018697C" w:rsidP="006511CC">
      <w:pPr>
        <w:pStyle w:val="BodyText"/>
        <w:spacing w:beforeLines="40" w:before="96" w:afterLines="40" w:after="96"/>
        <w:jc w:val="both"/>
        <w:rPr>
          <w:strike/>
          <w:sz w:val="16"/>
        </w:rPr>
        <w:sectPr w:rsidR="007E5D90" w:rsidRPr="00873630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4D20FC">
        <w:rPr>
          <w:sz w:val="16"/>
        </w:rPr>
        <w:t>Despite recent challenges, the</w:t>
      </w:r>
      <w:r w:rsidR="008B0479" w:rsidRPr="004D20FC">
        <w:rPr>
          <w:sz w:val="16"/>
        </w:rPr>
        <w:t xml:space="preserve"> </w:t>
      </w:r>
      <w:r w:rsidR="002E78A1" w:rsidRPr="004D20FC">
        <w:rPr>
          <w:sz w:val="16"/>
        </w:rPr>
        <w:t>longer</w:t>
      </w:r>
      <w:r w:rsidR="0030705E">
        <w:rPr>
          <w:sz w:val="16"/>
        </w:rPr>
        <w:noBreakHyphen/>
      </w:r>
      <w:r w:rsidR="002E78A1" w:rsidRPr="004D20FC">
        <w:rPr>
          <w:sz w:val="16"/>
        </w:rPr>
        <w:t>term prospects</w:t>
      </w:r>
      <w:r w:rsidR="007063FA" w:rsidRPr="004D20FC">
        <w:rPr>
          <w:sz w:val="16"/>
        </w:rPr>
        <w:t xml:space="preserve"> for battery and critical minerals</w:t>
      </w:r>
      <w:r w:rsidR="002E78A1" w:rsidRPr="004D20FC">
        <w:rPr>
          <w:sz w:val="16"/>
        </w:rPr>
        <w:t xml:space="preserve"> </w:t>
      </w:r>
      <w:r w:rsidR="007063FA" w:rsidRPr="004D20FC">
        <w:rPr>
          <w:sz w:val="16"/>
        </w:rPr>
        <w:t>are</w:t>
      </w:r>
      <w:r w:rsidR="002E78A1" w:rsidRPr="004D20FC">
        <w:rPr>
          <w:sz w:val="16"/>
        </w:rPr>
        <w:t xml:space="preserve"> positive</w:t>
      </w:r>
      <w:r w:rsidRPr="004D20FC">
        <w:rPr>
          <w:sz w:val="16"/>
        </w:rPr>
        <w:t>.</w:t>
      </w:r>
      <w:r w:rsidR="002E78A1" w:rsidRPr="004D20FC">
        <w:rPr>
          <w:sz w:val="16"/>
        </w:rPr>
        <w:t xml:space="preserve"> </w:t>
      </w:r>
      <w:r w:rsidR="00040154" w:rsidRPr="004D20FC">
        <w:rPr>
          <w:sz w:val="16"/>
        </w:rPr>
        <w:t xml:space="preserve">An indication of this was </w:t>
      </w:r>
      <w:r w:rsidR="002E78A1" w:rsidRPr="004D20FC">
        <w:rPr>
          <w:sz w:val="16"/>
        </w:rPr>
        <w:t>t</w:t>
      </w:r>
      <w:r w:rsidR="00A56D65" w:rsidRPr="004D20FC">
        <w:rPr>
          <w:sz w:val="16"/>
        </w:rPr>
        <w:t xml:space="preserve">he </w:t>
      </w:r>
      <w:r w:rsidR="00040154" w:rsidRPr="004D20FC">
        <w:rPr>
          <w:sz w:val="16"/>
        </w:rPr>
        <w:t xml:space="preserve">signing of the </w:t>
      </w:r>
      <w:r w:rsidR="00A56D65" w:rsidRPr="004D20FC">
        <w:rPr>
          <w:sz w:val="16"/>
        </w:rPr>
        <w:t>Australia</w:t>
      </w:r>
      <w:r w:rsidR="00040154" w:rsidRPr="004D20FC">
        <w:rPr>
          <w:sz w:val="16"/>
        </w:rPr>
        <w:noBreakHyphen/>
      </w:r>
      <w:r w:rsidR="00A56D65" w:rsidRPr="004D20FC">
        <w:rPr>
          <w:sz w:val="16"/>
        </w:rPr>
        <w:t>US critical minerals framework</w:t>
      </w:r>
      <w:r w:rsidR="002E78A1" w:rsidRPr="004D20FC">
        <w:rPr>
          <w:sz w:val="16"/>
        </w:rPr>
        <w:t xml:space="preserve"> </w:t>
      </w:r>
      <w:r w:rsidR="00822362" w:rsidRPr="004D20FC">
        <w:rPr>
          <w:sz w:val="16"/>
        </w:rPr>
        <w:t>in</w:t>
      </w:r>
      <w:r w:rsidR="00A56D65" w:rsidRPr="004D20FC">
        <w:rPr>
          <w:sz w:val="16"/>
        </w:rPr>
        <w:t xml:space="preserve"> October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2025</w:t>
      </w:r>
      <w:r w:rsidR="002E78A1" w:rsidRPr="004D20FC">
        <w:rPr>
          <w:sz w:val="16"/>
        </w:rPr>
        <w:t xml:space="preserve">. This agreement </w:t>
      </w:r>
      <w:r w:rsidR="00A56D65" w:rsidRPr="004D20FC">
        <w:rPr>
          <w:sz w:val="16"/>
        </w:rPr>
        <w:t>commits at least US$2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to fast-track an US$8.5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project pipeline supporting defence and advanced technologies</w:t>
      </w:r>
      <w:r w:rsidR="002E78A1" w:rsidRPr="004D20FC">
        <w:rPr>
          <w:sz w:val="16"/>
        </w:rPr>
        <w:t>.</w:t>
      </w:r>
      <w:r w:rsidR="00A56D65" w:rsidRPr="004D20FC">
        <w:rPr>
          <w:sz w:val="16"/>
        </w:rPr>
        <w:t xml:space="preserve"> Western Australia</w:t>
      </w:r>
      <w:r w:rsidR="00A637E0" w:rsidRPr="004D20FC">
        <w:rPr>
          <w:sz w:val="16"/>
        </w:rPr>
        <w:t xml:space="preserve"> </w:t>
      </w:r>
      <w:r w:rsidR="00026264" w:rsidRPr="004D20FC">
        <w:rPr>
          <w:sz w:val="16"/>
        </w:rPr>
        <w:t xml:space="preserve">is expected to be a major </w:t>
      </w:r>
      <w:r w:rsidR="00A56D65" w:rsidRPr="004D20FC">
        <w:rPr>
          <w:sz w:val="16"/>
        </w:rPr>
        <w:t>benefi</w:t>
      </w:r>
      <w:r w:rsidR="00026264" w:rsidRPr="004D20FC">
        <w:rPr>
          <w:sz w:val="16"/>
        </w:rPr>
        <w:t xml:space="preserve">ciary of the framework </w:t>
      </w:r>
      <w:r w:rsidR="00A56D65" w:rsidRPr="004D20FC">
        <w:rPr>
          <w:sz w:val="16"/>
        </w:rPr>
        <w:t xml:space="preserve">through investments in projects like the Wagerup gallium refinery and </w:t>
      </w:r>
      <w:r w:rsidR="000834F6" w:rsidRPr="004D20FC">
        <w:rPr>
          <w:sz w:val="16"/>
        </w:rPr>
        <w:t>Brown</w:t>
      </w:r>
      <w:r w:rsidR="0025095B" w:rsidRPr="004D20FC">
        <w:rPr>
          <w:sz w:val="16"/>
        </w:rPr>
        <w:t>s</w:t>
      </w:r>
      <w:r w:rsidR="000834F6" w:rsidRPr="004D20FC">
        <w:rPr>
          <w:sz w:val="16"/>
        </w:rPr>
        <w:t xml:space="preserve"> Range</w:t>
      </w:r>
      <w:r w:rsidR="0025095B" w:rsidRPr="004D20FC">
        <w:rPr>
          <w:sz w:val="16"/>
        </w:rPr>
        <w:t xml:space="preserve"> </w:t>
      </w:r>
      <w:r w:rsidR="007920C0" w:rsidRPr="004D20FC">
        <w:rPr>
          <w:sz w:val="16"/>
        </w:rPr>
        <w:t xml:space="preserve">rare earths </w:t>
      </w:r>
      <w:r w:rsidR="00A56D65" w:rsidRPr="004D20FC">
        <w:rPr>
          <w:sz w:val="16"/>
        </w:rPr>
        <w:t xml:space="preserve">operation, </w:t>
      </w:r>
      <w:r w:rsidR="00845B7B" w:rsidRPr="004D20FC">
        <w:rPr>
          <w:sz w:val="16"/>
        </w:rPr>
        <w:t xml:space="preserve">with </w:t>
      </w:r>
      <w:r w:rsidR="009E5886" w:rsidRPr="004D20FC">
        <w:rPr>
          <w:sz w:val="16"/>
        </w:rPr>
        <w:t xml:space="preserve">potentially </w:t>
      </w:r>
      <w:r w:rsidR="00A56D65" w:rsidRPr="004D20FC">
        <w:rPr>
          <w:sz w:val="16"/>
        </w:rPr>
        <w:t xml:space="preserve">more </w:t>
      </w:r>
      <w:r w:rsidR="00845B7B" w:rsidRPr="004D20FC">
        <w:rPr>
          <w:sz w:val="16"/>
        </w:rPr>
        <w:t xml:space="preserve">projects </w:t>
      </w:r>
      <w:r w:rsidR="00A56D65" w:rsidRPr="004D20FC">
        <w:rPr>
          <w:sz w:val="16"/>
        </w:rPr>
        <w:t>to follow.</w:t>
      </w:r>
    </w:p>
    <w:p w14:paraId="7476EDD2" w14:textId="3DF39454" w:rsidR="00460F9F" w:rsidRPr="0006784D" w:rsidRDefault="0006784D" w:rsidP="00460F9F">
      <w:pPr>
        <w:pStyle w:val="BodyText"/>
        <w:spacing w:after="60"/>
        <w:jc w:val="both"/>
        <w:rPr>
          <w:b/>
          <w:bCs/>
          <w:color w:val="00997A"/>
          <w:sz w:val="20"/>
          <w:szCs w:val="20"/>
        </w:rPr>
        <w:sectPr w:rsidR="00460F9F" w:rsidRPr="0006784D" w:rsidSect="00460F9F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>
        <w:rPr>
          <w:b/>
          <w:bCs/>
          <w:color w:val="00997A"/>
          <w:sz w:val="20"/>
          <w:szCs w:val="20"/>
        </w:rPr>
        <w:t>Minerals</w:t>
      </w:r>
      <w:r w:rsidR="0042003C" w:rsidRPr="0042003C">
        <w:rPr>
          <w:b/>
          <w:bCs/>
          <w:color w:val="00997A"/>
          <w:sz w:val="20"/>
          <w:szCs w:val="20"/>
          <w:vertAlign w:val="superscript"/>
        </w:rPr>
        <w:t>1</w:t>
      </w:r>
      <w:r>
        <w:rPr>
          <w:b/>
          <w:bCs/>
          <w:color w:val="00997A"/>
          <w:sz w:val="20"/>
          <w:szCs w:val="20"/>
        </w:rPr>
        <w:t xml:space="preserve"> p</w:t>
      </w:r>
      <w:r w:rsidR="00460F9F" w:rsidRPr="0006784D">
        <w:rPr>
          <w:b/>
          <w:bCs/>
          <w:color w:val="00997A"/>
          <w:sz w:val="20"/>
          <w:szCs w:val="20"/>
        </w:rPr>
        <w:t>roduction and resources: 2024</w:t>
      </w:r>
    </w:p>
    <w:tbl>
      <w:tblPr>
        <w:tblStyle w:val="LightList-Accent1"/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191"/>
        <w:gridCol w:w="2360"/>
        <w:gridCol w:w="2189"/>
        <w:gridCol w:w="2361"/>
      </w:tblGrid>
      <w:tr w:rsidR="00CF14ED" w:rsidRPr="00CD6BAF" w14:paraId="522C956E" w14:textId="77777777" w:rsidTr="00F17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tcBorders>
              <w:bottom w:val="single" w:sz="4" w:space="0" w:color="auto"/>
            </w:tcBorders>
            <w:shd w:val="clear" w:color="auto" w:fill="00725B"/>
            <w:vAlign w:val="center"/>
          </w:tcPr>
          <w:p w14:paraId="118E88CE" w14:textId="51E81BA7" w:rsidR="00736DFD" w:rsidRPr="00377FB6" w:rsidRDefault="00736DFD" w:rsidP="00736DFD">
            <w:pPr>
              <w:spacing w:line="276" w:lineRule="auto"/>
              <w:jc w:val="both"/>
              <w:rPr>
                <w:rFonts w:cstheme="minorHAnsi"/>
                <w:b w:val="0"/>
                <w:i/>
                <w:sz w:val="16"/>
                <w:szCs w:val="16"/>
              </w:rPr>
            </w:pPr>
            <w:r w:rsidRPr="00377FB6">
              <w:rPr>
                <w:rFonts w:cstheme="minorHAnsi"/>
                <w:i/>
                <w:sz w:val="16"/>
                <w:szCs w:val="16"/>
              </w:rPr>
              <w:t>Mineral</w:t>
            </w:r>
          </w:p>
        </w:tc>
        <w:tc>
          <w:tcPr>
            <w:tcW w:w="0" w:type="dxa"/>
            <w:gridSpan w:val="2"/>
            <w:shd w:val="clear" w:color="auto" w:fill="004C3D"/>
            <w:vAlign w:val="center"/>
          </w:tcPr>
          <w:p w14:paraId="2422EF86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Production</w:t>
            </w:r>
          </w:p>
        </w:tc>
        <w:tc>
          <w:tcPr>
            <w:tcW w:w="0" w:type="dxa"/>
            <w:gridSpan w:val="2"/>
            <w:shd w:val="clear" w:color="auto" w:fill="00725B"/>
            <w:vAlign w:val="center"/>
          </w:tcPr>
          <w:p w14:paraId="6B4BB35B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Resources</w:t>
            </w:r>
          </w:p>
        </w:tc>
      </w:tr>
      <w:tr w:rsidR="00BF204E" w:rsidRPr="00CD6BAF" w14:paraId="63791AA5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Merge/>
            <w:vAlign w:val="center"/>
          </w:tcPr>
          <w:p w14:paraId="136D820B" w14:textId="7500AD8B" w:rsidR="00736DFD" w:rsidRPr="0006784D" w:rsidRDefault="00736DFD" w:rsidP="005A14C9">
            <w:pPr>
              <w:spacing w:line="27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294BE" w14:textId="24228C59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1386F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EB418" w14:textId="50DE2246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D848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</w:tr>
      <w:tr w:rsidR="00460F9F" w:rsidRPr="00CD6BAF" w14:paraId="3DF84527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</w:tcBorders>
            <w:vAlign w:val="center"/>
          </w:tcPr>
          <w:p w14:paraId="380019A3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Cobalt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4590E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395BEF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889E65" w14:textId="4753ACF5" w:rsidR="00460F9F" w:rsidRPr="00F55BC9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312F82" w14:textId="3FF1C972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</w:t>
            </w:r>
            <w:r w:rsidR="00EF1373" w:rsidRPr="00F55BC9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0B4B8CCB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7881AD9D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Copper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1EE4A49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DA49BE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3EFCB38C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F80CD29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2ACC6F74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C64F4A0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Graphite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780996C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22E97B67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22FD9AF" w14:textId="098FF552" w:rsidR="00460F9F" w:rsidRPr="00F55BC9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0BF026A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</w:tr>
      <w:tr w:rsidR="00460F9F" w:rsidRPr="00CD6BAF" w14:paraId="2A0728EE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7FDC91E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Lithium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4BD61FD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708F40C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42B43648" w14:textId="3BC9DD96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</w:t>
            </w:r>
            <w:r w:rsidR="00DF56D7"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6933FE6" w14:textId="15B19C02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460F9F" w:rsidRPr="00CD6BAF" w14:paraId="462B5E7A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FBA0C2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Manganese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4F70F7E7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3BE33A8D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174A00B4" w14:textId="0FCFB16B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7</w:t>
            </w:r>
            <w:r w:rsidR="00DF56D7" w:rsidRPr="00F55BC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D09A5D4" w14:textId="79324D2E" w:rsidR="00460F9F" w:rsidRPr="00F55BC9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22</w:t>
            </w:r>
          </w:p>
        </w:tc>
      </w:tr>
      <w:tr w:rsidR="00460F9F" w:rsidRPr="00CD6BAF" w14:paraId="55525ED8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08D44B7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Nickel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535F98E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578AD4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19B755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3F0BB68" w14:textId="28B025A9" w:rsidR="00460F9F" w:rsidRPr="00F55BC9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17</w:t>
            </w:r>
          </w:p>
        </w:tc>
      </w:tr>
      <w:tr w:rsidR="00460F9F" w:rsidRPr="00CD6BAF" w14:paraId="3B98B63D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540D6B0B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Rare earths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1D07863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55A73D5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0BE80D9E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05F1AEC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460F9F" w:rsidRPr="00CD6BAF" w14:paraId="0C2D821D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C940837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Vanadium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060C1FD1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A2D55E4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844D1CF" w14:textId="4CBFB24B" w:rsidR="00460F9F" w:rsidRPr="00F55BC9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331E510" w14:textId="37C51D90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68709C9E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48E54A35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Zinc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1F5CAB86" w14:textId="6AA12146" w:rsidR="00460F9F" w:rsidRPr="00F55BC9" w:rsidRDefault="00E81BEC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A2168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12CE61B" w14:textId="42867370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A2168">
              <w:rPr>
                <w:rFonts w:cstheme="minorHAnsi"/>
                <w:sz w:val="16"/>
                <w:szCs w:val="16"/>
              </w:rPr>
              <w:t>0.</w:t>
            </w:r>
            <w:r w:rsidR="008D7D26" w:rsidRPr="009A2168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2847D03" w14:textId="1D8056A8" w:rsidR="00460F9F" w:rsidRPr="00F55BC9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FBCC8CF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641284DB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4335370F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Zircon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6B8E163C" w14:textId="3B0776F0" w:rsidR="00460F9F" w:rsidRPr="00F55BC9" w:rsidRDefault="008A61B6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A2168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4F7E931" w14:textId="286ABA91" w:rsidR="00460F9F" w:rsidRPr="00F55BC9" w:rsidRDefault="003C3281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A2168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5B9DE21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68B9650" w14:textId="01FF13EB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7</w:t>
            </w:r>
          </w:p>
        </w:tc>
      </w:tr>
    </w:tbl>
    <w:p w14:paraId="13149F5A" w14:textId="77777777" w:rsidR="00774527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</w:rPr>
        <w:t xml:space="preserve">Note – Western Australia’s global rankings and world shares presented in the table may differ from similar content in other parts of this report due to a different data source. </w:t>
      </w:r>
      <w:proofErr w:type="spellStart"/>
      <w:r w:rsidRPr="00460F9F">
        <w:rPr>
          <w:sz w:val="10"/>
        </w:rPr>
        <w:t>n.a.</w:t>
      </w:r>
      <w:proofErr w:type="spellEnd"/>
      <w:r w:rsidRPr="00460F9F">
        <w:rPr>
          <w:sz w:val="10"/>
        </w:rPr>
        <w:t xml:space="preserve"> not applicable or available.</w:t>
      </w:r>
    </w:p>
    <w:p w14:paraId="357FA0E6" w14:textId="1C80C50F" w:rsidR="00460F9F" w:rsidRPr="00460F9F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  <w:vertAlign w:val="superscript"/>
        </w:rPr>
        <w:t>1</w:t>
      </w:r>
      <w:r w:rsidRPr="00460F9F">
        <w:rPr>
          <w:sz w:val="10"/>
        </w:rPr>
        <w:t xml:space="preserve"> Includes a selection of minerals for which Western Australia has a significant share of global production or resources.</w:t>
      </w:r>
    </w:p>
    <w:p w14:paraId="511C25D8" w14:textId="7B00D582" w:rsidR="00B961D2" w:rsidRDefault="00460F9F" w:rsidP="00460F9F">
      <w:pPr>
        <w:pStyle w:val="BodyText"/>
        <w:spacing w:after="0"/>
        <w:jc w:val="both"/>
        <w:rPr>
          <w:sz w:val="10"/>
        </w:rPr>
      </w:pPr>
      <w:r w:rsidRPr="00F73C7E">
        <w:rPr>
          <w:sz w:val="10"/>
        </w:rPr>
        <w:t>Source</w:t>
      </w:r>
      <w:r w:rsidRPr="00F55BC9">
        <w:rPr>
          <w:sz w:val="10"/>
        </w:rPr>
        <w:t>: WA Department of Mines,</w:t>
      </w:r>
      <w:r w:rsidR="002D5D46" w:rsidRPr="00F55BC9">
        <w:rPr>
          <w:sz w:val="10"/>
        </w:rPr>
        <w:t xml:space="preserve"> Petroleum and Exploration</w:t>
      </w:r>
      <w:r w:rsidRPr="00F55BC9">
        <w:rPr>
          <w:sz w:val="10"/>
        </w:rPr>
        <w:t>, Resource Data Files; Geoscience Australia, Australia’s Identified Mineral Resources</w:t>
      </w:r>
      <w:r w:rsidR="00DF56D7" w:rsidRPr="00F55BC9">
        <w:rPr>
          <w:sz w:val="10"/>
        </w:rPr>
        <w:t xml:space="preserve"> 2024</w:t>
      </w:r>
      <w:r w:rsidRPr="00F55BC9">
        <w:rPr>
          <w:sz w:val="10"/>
        </w:rPr>
        <w:t xml:space="preserve">; and US </w:t>
      </w:r>
      <w:r w:rsidRPr="00F73C7E">
        <w:rPr>
          <w:sz w:val="10"/>
        </w:rPr>
        <w:t>Geological Survey, Mineral Commodity Summaries</w:t>
      </w:r>
      <w:r w:rsidR="007E5D90" w:rsidRPr="00F73C7E">
        <w:rPr>
          <w:sz w:val="10"/>
        </w:rPr>
        <w:t>.</w:t>
      </w:r>
    </w:p>
    <w:p w14:paraId="5C2DF32B" w14:textId="77777777" w:rsidR="00B961D2" w:rsidRDefault="00B961D2" w:rsidP="00460F9F">
      <w:pPr>
        <w:pStyle w:val="BodyText"/>
        <w:spacing w:after="0"/>
        <w:jc w:val="both"/>
        <w:rPr>
          <w:sz w:val="16"/>
        </w:rPr>
        <w:sectPr w:rsidR="00B961D2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5DE6B15" w14:textId="64FCEA4A" w:rsidR="008213CD" w:rsidRPr="00016A0C" w:rsidRDefault="008213CD" w:rsidP="00736DFD">
      <w:pPr>
        <w:pStyle w:val="BodyText"/>
        <w:spacing w:before="60" w:after="60"/>
        <w:jc w:val="both"/>
        <w:rPr>
          <w:sz w:val="12"/>
          <w:szCs w:val="12"/>
        </w:rPr>
      </w:pPr>
      <w:r w:rsidRPr="00016A0C">
        <w:rPr>
          <w:sz w:val="12"/>
          <w:szCs w:val="12"/>
          <w:u w:val="single"/>
        </w:rPr>
        <w:t>Note on lithium volumes</w:t>
      </w:r>
      <w:r w:rsidR="00D93E46" w:rsidRPr="00016A0C">
        <w:rPr>
          <w:sz w:val="12"/>
          <w:szCs w:val="12"/>
        </w:rPr>
        <w:t xml:space="preserve">: </w:t>
      </w:r>
      <w:r w:rsidR="00C032E5" w:rsidRPr="00016A0C">
        <w:rPr>
          <w:sz w:val="12"/>
          <w:szCs w:val="12"/>
        </w:rPr>
        <w:t>L</w:t>
      </w:r>
      <w:r w:rsidR="00B65F68" w:rsidRPr="00016A0C">
        <w:rPr>
          <w:sz w:val="12"/>
          <w:szCs w:val="12"/>
        </w:rPr>
        <w:t xml:space="preserve">ithium is </w:t>
      </w:r>
      <w:r w:rsidR="00C16E2C" w:rsidRPr="00016A0C">
        <w:rPr>
          <w:sz w:val="12"/>
          <w:szCs w:val="12"/>
        </w:rPr>
        <w:t>produced</w:t>
      </w:r>
      <w:r w:rsidR="00B65F68" w:rsidRPr="00016A0C">
        <w:rPr>
          <w:sz w:val="12"/>
          <w:szCs w:val="12"/>
        </w:rPr>
        <w:t xml:space="preserve"> </w:t>
      </w:r>
      <w:r w:rsidR="00C16E2C" w:rsidRPr="00016A0C">
        <w:rPr>
          <w:sz w:val="12"/>
          <w:szCs w:val="12"/>
        </w:rPr>
        <w:t>as</w:t>
      </w:r>
      <w:r w:rsidR="00B65F68" w:rsidRPr="00016A0C">
        <w:rPr>
          <w:sz w:val="12"/>
          <w:szCs w:val="12"/>
        </w:rPr>
        <w:t xml:space="preserve"> different compounds, </w:t>
      </w:r>
      <w:r w:rsidR="00C032E5" w:rsidRPr="00016A0C">
        <w:rPr>
          <w:sz w:val="12"/>
          <w:szCs w:val="12"/>
        </w:rPr>
        <w:t xml:space="preserve">so </w:t>
      </w:r>
      <w:r w:rsidR="00B65F68" w:rsidRPr="00016A0C">
        <w:rPr>
          <w:sz w:val="12"/>
          <w:szCs w:val="12"/>
        </w:rPr>
        <w:t xml:space="preserve">lithium volumes </w:t>
      </w:r>
      <w:r w:rsidR="00C032E5" w:rsidRPr="00016A0C">
        <w:rPr>
          <w:sz w:val="12"/>
          <w:szCs w:val="12"/>
        </w:rPr>
        <w:t>are</w:t>
      </w:r>
      <w:r w:rsidR="00B65F68" w:rsidRPr="00016A0C">
        <w:rPr>
          <w:sz w:val="12"/>
          <w:szCs w:val="12"/>
        </w:rPr>
        <w:t xml:space="preserve"> reported in different units. This profile </w:t>
      </w:r>
      <w:r w:rsidR="00C032E5" w:rsidRPr="00016A0C">
        <w:rPr>
          <w:sz w:val="12"/>
          <w:szCs w:val="12"/>
        </w:rPr>
        <w:t xml:space="preserve">uses the volumes </w:t>
      </w:r>
      <w:r w:rsidR="00B65F68" w:rsidRPr="00016A0C">
        <w:rPr>
          <w:sz w:val="12"/>
          <w:szCs w:val="12"/>
        </w:rPr>
        <w:t>as originally reported</w:t>
      </w:r>
      <w:r w:rsidR="00C032E5" w:rsidRPr="00016A0C">
        <w:rPr>
          <w:sz w:val="12"/>
          <w:szCs w:val="12"/>
        </w:rPr>
        <w:t xml:space="preserve"> in the source documents</w:t>
      </w:r>
      <w:r w:rsidR="00F55BC9" w:rsidRPr="00016A0C">
        <w:rPr>
          <w:sz w:val="12"/>
          <w:szCs w:val="12"/>
        </w:rPr>
        <w:t>.</w:t>
      </w:r>
      <w:r w:rsidR="00B65F68" w:rsidRPr="00016A0C">
        <w:rPr>
          <w:sz w:val="12"/>
          <w:szCs w:val="12"/>
        </w:rPr>
        <w:t xml:space="preserve"> As a guide, the lithium content of lithium carbonate is around 19</w:t>
      </w:r>
      <w:r w:rsidR="00C032E5" w:rsidRPr="00016A0C">
        <w:rPr>
          <w:sz w:val="12"/>
          <w:szCs w:val="12"/>
        </w:rPr>
        <w:t>%</w:t>
      </w:r>
      <w:r w:rsidR="00B65F68" w:rsidRPr="00016A0C">
        <w:rPr>
          <w:sz w:val="12"/>
          <w:szCs w:val="12"/>
        </w:rPr>
        <w:t xml:space="preserve">, so volumes reported in lithium carbonate equivalent </w:t>
      </w:r>
      <w:r w:rsidR="00C032E5" w:rsidRPr="00016A0C">
        <w:rPr>
          <w:sz w:val="12"/>
          <w:szCs w:val="12"/>
        </w:rPr>
        <w:t xml:space="preserve">(or LCE) </w:t>
      </w:r>
      <w:r w:rsidR="00B65F68" w:rsidRPr="00016A0C">
        <w:rPr>
          <w:sz w:val="12"/>
          <w:szCs w:val="12"/>
        </w:rPr>
        <w:t>are around 5.</w:t>
      </w:r>
      <w:r w:rsidR="00111082" w:rsidRPr="00016A0C">
        <w:rPr>
          <w:sz w:val="12"/>
          <w:szCs w:val="12"/>
        </w:rPr>
        <w:t>3</w:t>
      </w:r>
      <w:r w:rsidR="00C032E5" w:rsidRPr="00016A0C">
        <w:rPr>
          <w:sz w:val="12"/>
          <w:szCs w:val="12"/>
        </w:rPr>
        <w:t> </w:t>
      </w:r>
      <w:r w:rsidR="00B65F68" w:rsidRPr="00016A0C">
        <w:rPr>
          <w:sz w:val="12"/>
          <w:szCs w:val="12"/>
        </w:rPr>
        <w:t>times higher than volumes reported in lithium content.</w:t>
      </w:r>
    </w:p>
    <w:p w14:paraId="35232943" w14:textId="09BB8598" w:rsidR="008213CD" w:rsidRPr="00F73C7E" w:rsidRDefault="008213CD" w:rsidP="00CD591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  <w:sectPr w:rsidR="008213CD" w:rsidRPr="00F73C7E" w:rsidSect="00CD5914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D71462E" w14:textId="55DE9413" w:rsidR="0086014E" w:rsidRPr="00175E16" w:rsidRDefault="00E65560" w:rsidP="00EC57DD">
      <w:pPr>
        <w:pStyle w:val="Heading2"/>
        <w:spacing w:before="0"/>
        <w:rPr>
          <w:color w:val="004C3D"/>
          <w:sz w:val="24"/>
          <w:szCs w:val="24"/>
        </w:rPr>
        <w:sectPr w:rsidR="0086014E" w:rsidRPr="00175E16" w:rsidSect="0086014E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1" w:name="_Lithium"/>
      <w:bookmarkEnd w:id="1"/>
      <w:r w:rsidRPr="00175E16">
        <w:rPr>
          <w:color w:val="004C3D"/>
          <w:sz w:val="24"/>
          <w:szCs w:val="24"/>
        </w:rPr>
        <w:lastRenderedPageBreak/>
        <w:t xml:space="preserve">Contribution to the </w:t>
      </w:r>
      <w:r w:rsidR="0086014E" w:rsidRPr="00175E16">
        <w:rPr>
          <w:color w:val="004C3D"/>
          <w:sz w:val="24"/>
          <w:szCs w:val="24"/>
        </w:rPr>
        <w:t xml:space="preserve">Western </w:t>
      </w:r>
      <w:r w:rsidR="00175E16" w:rsidRPr="00A00E7D">
        <w:rPr>
          <w:color w:val="004C3D"/>
          <w:sz w:val="24"/>
          <w:szCs w:val="24"/>
        </w:rPr>
        <w:t>Australia</w:t>
      </w:r>
      <w:r w:rsidR="00175E16">
        <w:rPr>
          <w:color w:val="004C3D"/>
          <w:sz w:val="24"/>
          <w:szCs w:val="24"/>
        </w:rPr>
        <w:t>n</w:t>
      </w:r>
      <w:r w:rsidR="0086014E" w:rsidRPr="00175E16">
        <w:rPr>
          <w:color w:val="004C3D"/>
          <w:sz w:val="24"/>
          <w:szCs w:val="24"/>
        </w:rPr>
        <w:t xml:space="preserve"> </w:t>
      </w:r>
      <w:r w:rsidRPr="00175E16">
        <w:rPr>
          <w:color w:val="004C3D"/>
          <w:sz w:val="24"/>
          <w:szCs w:val="24"/>
        </w:rPr>
        <w:t>economy</w:t>
      </w:r>
    </w:p>
    <w:p w14:paraId="54AB6B2F" w14:textId="7429983F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S</w:t>
      </w:r>
      <w:r w:rsidR="00DB192F" w:rsidRPr="003C1A0B">
        <w:rPr>
          <w:b/>
          <w:bCs/>
          <w:color w:val="00997A"/>
          <w:sz w:val="20"/>
          <w:szCs w:val="20"/>
        </w:rPr>
        <w:t>ales</w:t>
      </w:r>
      <w:r w:rsidR="003918AC" w:rsidRPr="003C1A0B">
        <w:rPr>
          <w:b/>
          <w:bCs/>
          <w:color w:val="00997A"/>
          <w:sz w:val="20"/>
          <w:szCs w:val="20"/>
        </w:rPr>
        <w:t xml:space="preserve"> value</w:t>
      </w:r>
    </w:p>
    <w:p w14:paraId="015CB09B" w14:textId="24FAD8AB" w:rsidR="00C35826" w:rsidRPr="000B6128" w:rsidRDefault="00EF4055" w:rsidP="00D166D3">
      <w:pPr>
        <w:pStyle w:val="BodyText"/>
        <w:spacing w:after="0"/>
        <w:ind w:right="-43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5A22840" wp14:editId="08523FE6">
            <wp:extent cx="3420000" cy="2105827"/>
            <wp:effectExtent l="0" t="0" r="9525" b="8890"/>
            <wp:docPr id="20910920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D0DB" w14:textId="7B71A6D3" w:rsidR="00C35826" w:rsidRPr="00F55BC9" w:rsidRDefault="000F20FA" w:rsidP="00C35826">
      <w:pPr>
        <w:spacing w:after="0"/>
        <w:jc w:val="both"/>
        <w:rPr>
          <w:sz w:val="10"/>
        </w:rPr>
      </w:pPr>
      <w:r>
        <w:rPr>
          <w:sz w:val="10"/>
        </w:rPr>
        <w:t xml:space="preserve">Note – The value of </w:t>
      </w:r>
      <w:r w:rsidR="00D80000">
        <w:rPr>
          <w:sz w:val="10"/>
        </w:rPr>
        <w:t xml:space="preserve">some </w:t>
      </w:r>
      <w:r>
        <w:rPr>
          <w:sz w:val="10"/>
        </w:rPr>
        <w:t>minerals</w:t>
      </w:r>
      <w:r w:rsidR="00D80000">
        <w:rPr>
          <w:sz w:val="10"/>
        </w:rPr>
        <w:t xml:space="preserve"> in the ‘other’ category</w:t>
      </w:r>
      <w:r>
        <w:rPr>
          <w:sz w:val="10"/>
        </w:rPr>
        <w:t xml:space="preserve"> </w:t>
      </w:r>
      <w:r w:rsidR="00A318D7">
        <w:rPr>
          <w:sz w:val="10"/>
        </w:rPr>
        <w:t>is</w:t>
      </w:r>
      <w:r>
        <w:rPr>
          <w:sz w:val="10"/>
        </w:rPr>
        <w:t xml:space="preserve"> not included </w:t>
      </w:r>
      <w:r w:rsidR="00D80000">
        <w:rPr>
          <w:sz w:val="10"/>
        </w:rPr>
        <w:t xml:space="preserve">in the total for some years </w:t>
      </w:r>
      <w:r>
        <w:rPr>
          <w:sz w:val="10"/>
        </w:rPr>
        <w:t xml:space="preserve">due to </w:t>
      </w:r>
      <w:r w:rsidR="00A318D7">
        <w:rPr>
          <w:sz w:val="10"/>
        </w:rPr>
        <w:t>confidentiality</w:t>
      </w:r>
      <w:r>
        <w:rPr>
          <w:sz w:val="10"/>
        </w:rPr>
        <w:t xml:space="preserve"> restrictions. </w:t>
      </w:r>
      <w:r w:rsidR="003F2AF2">
        <w:rPr>
          <w:sz w:val="10"/>
        </w:rPr>
        <w:t>(a)</w:t>
      </w:r>
      <w:r w:rsidR="00C35826">
        <w:rPr>
          <w:sz w:val="10"/>
        </w:rPr>
        <w:t xml:space="preserve"> </w:t>
      </w:r>
      <w:r w:rsidR="00E95A06">
        <w:rPr>
          <w:sz w:val="10"/>
        </w:rPr>
        <w:t xml:space="preserve">Includes </w:t>
      </w:r>
      <w:r w:rsidR="000D4CBA">
        <w:rPr>
          <w:sz w:val="10"/>
        </w:rPr>
        <w:t xml:space="preserve">zircon, </w:t>
      </w:r>
      <w:r w:rsidR="00654A05">
        <w:rPr>
          <w:sz w:val="10"/>
        </w:rPr>
        <w:t xml:space="preserve">zinc, </w:t>
      </w:r>
      <w:r w:rsidR="00C35826">
        <w:rPr>
          <w:sz w:val="10"/>
        </w:rPr>
        <w:t xml:space="preserve">manganese, </w:t>
      </w:r>
      <w:r w:rsidR="00654A05">
        <w:rPr>
          <w:sz w:val="10"/>
        </w:rPr>
        <w:t xml:space="preserve">rare earths, platinum group elements, silica sands, </w:t>
      </w:r>
      <w:r w:rsidR="00654A05" w:rsidRPr="00F55BC9">
        <w:rPr>
          <w:sz w:val="10"/>
        </w:rPr>
        <w:t>tantalum, tin and chromite</w:t>
      </w:r>
      <w:r w:rsidR="00C35826" w:rsidRPr="00F55BC9">
        <w:rPr>
          <w:sz w:val="10"/>
        </w:rPr>
        <w:t>.</w:t>
      </w:r>
    </w:p>
    <w:p w14:paraId="1A2C4902" w14:textId="18AD22D4" w:rsidR="00C35826" w:rsidRPr="00F55BC9" w:rsidRDefault="00C35826" w:rsidP="00C35826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2D5D46" w:rsidRPr="00F55BC9">
        <w:rPr>
          <w:sz w:val="10"/>
        </w:rPr>
        <w:t>WA Department of Mines, Petroleum and Exploration</w:t>
      </w:r>
      <w:r w:rsidRPr="00F55BC9">
        <w:rPr>
          <w:sz w:val="10"/>
        </w:rPr>
        <w:t>, Resource Data Files</w:t>
      </w:r>
      <w:r w:rsidRPr="00F55BC9">
        <w:rPr>
          <w:rFonts w:cs="Arial"/>
          <w:sz w:val="10"/>
          <w:szCs w:val="20"/>
        </w:rPr>
        <w:t>.</w:t>
      </w:r>
    </w:p>
    <w:p w14:paraId="71F8DBA2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01ED30" w14:textId="143D1FE7" w:rsidR="00460F9F" w:rsidRPr="009A2168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A2168">
        <w:rPr>
          <w:sz w:val="16"/>
        </w:rPr>
        <w:t xml:space="preserve">Lithium (spodumene) accounted for </w:t>
      </w:r>
      <w:r w:rsidR="004D37EA" w:rsidRPr="009A2168">
        <w:rPr>
          <w:sz w:val="16"/>
        </w:rPr>
        <w:t>50</w:t>
      </w:r>
      <w:r w:rsidRPr="009A2168">
        <w:rPr>
          <w:sz w:val="16"/>
        </w:rPr>
        <w:t>% of the value of Western Australia’s battery and critical minerals sales in 2024</w:t>
      </w:r>
      <w:r w:rsidR="004D2C85" w:rsidRPr="009A2168">
        <w:rPr>
          <w:sz w:val="16"/>
        </w:rPr>
        <w:t>-25</w:t>
      </w:r>
      <w:r w:rsidRPr="009A2168">
        <w:rPr>
          <w:sz w:val="16"/>
        </w:rPr>
        <w:t xml:space="preserve">, with nickel accounting for </w:t>
      </w:r>
      <w:r w:rsidR="00292842" w:rsidRPr="009A2168">
        <w:rPr>
          <w:sz w:val="16"/>
        </w:rPr>
        <w:t>25</w:t>
      </w:r>
      <w:r w:rsidRPr="009A2168">
        <w:rPr>
          <w:sz w:val="16"/>
        </w:rPr>
        <w:t xml:space="preserve">% and copper </w:t>
      </w:r>
      <w:r w:rsidR="00292842" w:rsidRPr="009A2168">
        <w:rPr>
          <w:sz w:val="16"/>
        </w:rPr>
        <w:t>12</w:t>
      </w:r>
      <w:r w:rsidRPr="009A2168">
        <w:rPr>
          <w:sz w:val="16"/>
        </w:rPr>
        <w:t>%.</w:t>
      </w:r>
    </w:p>
    <w:p w14:paraId="79F4F6DE" w14:textId="5F83CFE3" w:rsidR="00460F9F" w:rsidRPr="009A2168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A2168">
        <w:rPr>
          <w:sz w:val="16"/>
        </w:rPr>
        <w:t>Significant falls in the price for some minerals</w:t>
      </w:r>
      <w:r w:rsidR="00AD1EBD" w:rsidRPr="009A2168">
        <w:rPr>
          <w:sz w:val="16"/>
        </w:rPr>
        <w:t>, as well as lower production volumes for nickel,</w:t>
      </w:r>
      <w:r w:rsidRPr="009A2168">
        <w:rPr>
          <w:sz w:val="16"/>
        </w:rPr>
        <w:t xml:space="preserve"> led to the value of Western Australia’s battery and critical minerals sales falling </w:t>
      </w:r>
      <w:r w:rsidR="00E8402C" w:rsidRPr="009A2168">
        <w:rPr>
          <w:sz w:val="16"/>
        </w:rPr>
        <w:t>41</w:t>
      </w:r>
      <w:r w:rsidRPr="009A2168">
        <w:rPr>
          <w:sz w:val="16"/>
        </w:rPr>
        <w:t>% to $</w:t>
      </w:r>
      <w:r w:rsidR="00EB6866" w:rsidRPr="009A2168">
        <w:rPr>
          <w:sz w:val="16"/>
        </w:rPr>
        <w:t>8.6</w:t>
      </w:r>
      <w:r w:rsidRPr="009A2168">
        <w:rPr>
          <w:sz w:val="16"/>
        </w:rPr>
        <w:t> billion in 2024</w:t>
      </w:r>
      <w:r w:rsidR="00BC1A54" w:rsidRPr="009A2168">
        <w:rPr>
          <w:sz w:val="16"/>
        </w:rPr>
        <w:t>-25</w:t>
      </w:r>
      <w:r w:rsidRPr="009A2168">
        <w:rPr>
          <w:sz w:val="16"/>
        </w:rPr>
        <w:t xml:space="preserve">. </w:t>
      </w:r>
      <w:r w:rsidR="00A00402" w:rsidRPr="009A2168">
        <w:rPr>
          <w:sz w:val="16"/>
        </w:rPr>
        <w:t xml:space="preserve">This fall came after a 51% </w:t>
      </w:r>
      <w:r w:rsidR="008C3A09" w:rsidRPr="009A2168">
        <w:rPr>
          <w:sz w:val="16"/>
        </w:rPr>
        <w:t>decrease in the value of battery and critical minerals sales in 202</w:t>
      </w:r>
      <w:r w:rsidR="004D441C" w:rsidRPr="009A2168">
        <w:rPr>
          <w:sz w:val="16"/>
        </w:rPr>
        <w:t>3-24.</w:t>
      </w:r>
    </w:p>
    <w:p w14:paraId="45AF97D6" w14:textId="7735B8AC" w:rsidR="00460F9F" w:rsidRPr="009A2168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A2168">
        <w:rPr>
          <w:sz w:val="16"/>
        </w:rPr>
        <w:t>In 2024</w:t>
      </w:r>
      <w:r w:rsidR="00055E07" w:rsidRPr="009A2168">
        <w:rPr>
          <w:sz w:val="16"/>
        </w:rPr>
        <w:t>-25</w:t>
      </w:r>
      <w:r w:rsidRPr="009A2168">
        <w:rPr>
          <w:sz w:val="16"/>
        </w:rPr>
        <w:t>, the sales value of:</w:t>
      </w:r>
    </w:p>
    <w:p w14:paraId="7C60C9E0" w14:textId="7824DAE5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 xml:space="preserve">lithium (spodumene) fell </w:t>
      </w:r>
      <w:r w:rsidR="001D3A74" w:rsidRPr="009A2168">
        <w:rPr>
          <w:sz w:val="16"/>
        </w:rPr>
        <w:t>49</w:t>
      </w:r>
      <w:r w:rsidRPr="009A2168">
        <w:rPr>
          <w:sz w:val="16"/>
        </w:rPr>
        <w:t>% to $</w:t>
      </w:r>
      <w:r w:rsidR="001D3A74" w:rsidRPr="009A2168">
        <w:rPr>
          <w:sz w:val="16"/>
        </w:rPr>
        <w:t>4.3</w:t>
      </w:r>
      <w:r w:rsidRPr="009A2168">
        <w:rPr>
          <w:sz w:val="16"/>
        </w:rPr>
        <w:t> billion</w:t>
      </w:r>
    </w:p>
    <w:p w14:paraId="282D8E1D" w14:textId="2F1723C1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 xml:space="preserve">nickel fell </w:t>
      </w:r>
      <w:r w:rsidR="001D3A74" w:rsidRPr="009A2168">
        <w:rPr>
          <w:sz w:val="16"/>
        </w:rPr>
        <w:t>44</w:t>
      </w:r>
      <w:r w:rsidRPr="009A2168">
        <w:rPr>
          <w:sz w:val="16"/>
        </w:rPr>
        <w:t>% to $</w:t>
      </w:r>
      <w:r w:rsidR="00F47214" w:rsidRPr="009A2168">
        <w:rPr>
          <w:sz w:val="16"/>
        </w:rPr>
        <w:t>2.1</w:t>
      </w:r>
      <w:r w:rsidRPr="009A2168">
        <w:rPr>
          <w:sz w:val="16"/>
        </w:rPr>
        <w:t> billion</w:t>
      </w:r>
    </w:p>
    <w:p w14:paraId="76B1AC33" w14:textId="53F73858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 xml:space="preserve">copper fell </w:t>
      </w:r>
      <w:r w:rsidR="00F47214" w:rsidRPr="009A2168">
        <w:rPr>
          <w:sz w:val="16"/>
        </w:rPr>
        <w:t>11</w:t>
      </w:r>
      <w:r w:rsidRPr="009A2168">
        <w:rPr>
          <w:sz w:val="16"/>
        </w:rPr>
        <w:t>% to $</w:t>
      </w:r>
      <w:r w:rsidR="00F47214" w:rsidRPr="009A2168">
        <w:rPr>
          <w:sz w:val="16"/>
        </w:rPr>
        <w:t xml:space="preserve">995 </w:t>
      </w:r>
      <w:r w:rsidRPr="009A2168">
        <w:rPr>
          <w:sz w:val="16"/>
        </w:rPr>
        <w:t>million</w:t>
      </w:r>
    </w:p>
    <w:p w14:paraId="19280D2D" w14:textId="4E395DFC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>cobalt fell 30% to $1</w:t>
      </w:r>
      <w:r w:rsidR="00C26C50" w:rsidRPr="009A2168">
        <w:rPr>
          <w:sz w:val="16"/>
        </w:rPr>
        <w:t>55</w:t>
      </w:r>
      <w:r w:rsidRPr="009A2168">
        <w:rPr>
          <w:sz w:val="16"/>
        </w:rPr>
        <w:t> million.</w:t>
      </w:r>
    </w:p>
    <w:p w14:paraId="3E7BA355" w14:textId="77777777" w:rsidR="00D15C5D" w:rsidRDefault="00D15C5D" w:rsidP="001E5817">
      <w:pPr>
        <w:pStyle w:val="BodyText"/>
        <w:spacing w:after="0"/>
        <w:ind w:left="284"/>
        <w:jc w:val="both"/>
        <w:rPr>
          <w:sz w:val="16"/>
        </w:rPr>
        <w:sectPr w:rsidR="00D15C5D" w:rsidSect="0086014E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2835C747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322AA8A4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0E3323DD" w14:textId="75019703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E</w:t>
      </w:r>
      <w:r w:rsidR="00DB192F" w:rsidRPr="003C1A0B">
        <w:rPr>
          <w:b/>
          <w:bCs/>
          <w:color w:val="00997A"/>
          <w:sz w:val="20"/>
          <w:szCs w:val="20"/>
        </w:rPr>
        <w:t>mployment</w:t>
      </w:r>
      <w:r w:rsidR="00DB192F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AF70EC2" w14:textId="421D27EB" w:rsidR="001300F3" w:rsidRPr="000B6128" w:rsidRDefault="00426607" w:rsidP="001300F3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AA5692E" wp14:editId="34FF0915">
            <wp:extent cx="3420000" cy="2092836"/>
            <wp:effectExtent l="0" t="0" r="0" b="3175"/>
            <wp:docPr id="1144612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F02F" w14:textId="43C925A4" w:rsidR="001300F3" w:rsidRPr="00E95A06" w:rsidRDefault="00B36E26" w:rsidP="00E95A06">
      <w:pPr>
        <w:spacing w:after="0"/>
        <w:jc w:val="both"/>
        <w:rPr>
          <w:sz w:val="10"/>
        </w:rPr>
      </w:pPr>
      <w:r w:rsidRPr="00B36E26">
        <w:rPr>
          <w:sz w:val="10"/>
          <w:vertAlign w:val="superscript"/>
        </w:rPr>
        <w:t>1</w:t>
      </w:r>
      <w:r>
        <w:rPr>
          <w:sz w:val="10"/>
        </w:rPr>
        <w:t xml:space="preserve"> Direct full-time equivalent (FTE)</w:t>
      </w:r>
      <w:r w:rsidR="00FC272F">
        <w:rPr>
          <w:sz w:val="10"/>
        </w:rPr>
        <w:t>. Includes operational and construction employment</w:t>
      </w:r>
      <w:r>
        <w:rPr>
          <w:sz w:val="10"/>
        </w:rPr>
        <w:t xml:space="preserve">. </w:t>
      </w:r>
      <w:r w:rsidR="00E95A06" w:rsidRPr="00E95A06">
        <w:rPr>
          <w:sz w:val="10"/>
        </w:rPr>
        <w:t>(a</w:t>
      </w:r>
      <w:r w:rsidR="00E95A06">
        <w:rPr>
          <w:sz w:val="10"/>
        </w:rPr>
        <w:t xml:space="preserve">) Includes lead. (b) Includes </w:t>
      </w:r>
      <w:r w:rsidR="001300F3" w:rsidRPr="00E95A06">
        <w:rPr>
          <w:sz w:val="10"/>
        </w:rPr>
        <w:t xml:space="preserve">manganese, </w:t>
      </w:r>
      <w:r>
        <w:rPr>
          <w:sz w:val="10"/>
        </w:rPr>
        <w:t xml:space="preserve">silica and silica sand, </w:t>
      </w:r>
      <w:r w:rsidR="006B12A3">
        <w:rPr>
          <w:sz w:val="10"/>
        </w:rPr>
        <w:t xml:space="preserve">zircon, </w:t>
      </w:r>
      <w:r>
        <w:rPr>
          <w:sz w:val="10"/>
        </w:rPr>
        <w:t xml:space="preserve">phosphate, </w:t>
      </w:r>
      <w:r w:rsidR="00A61944">
        <w:rPr>
          <w:sz w:val="10"/>
        </w:rPr>
        <w:t>vanadium,</w:t>
      </w:r>
      <w:r>
        <w:rPr>
          <w:sz w:val="10"/>
        </w:rPr>
        <w:t xml:space="preserve"> and magnesite</w:t>
      </w:r>
      <w:r w:rsidR="001300F3" w:rsidRPr="00E95A06">
        <w:rPr>
          <w:sz w:val="10"/>
        </w:rPr>
        <w:t>.</w:t>
      </w:r>
    </w:p>
    <w:p w14:paraId="4384D2CE" w14:textId="4294A780" w:rsidR="00D449C9" w:rsidRPr="00F55BC9" w:rsidRDefault="00D449C9" w:rsidP="00D449C9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7D911EE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5C8DCFF" w14:textId="77777777" w:rsidR="00243D30" w:rsidRDefault="00243D30" w:rsidP="001300F3">
      <w:pPr>
        <w:pStyle w:val="BodyText"/>
        <w:spacing w:after="0"/>
        <w:jc w:val="both"/>
        <w:rPr>
          <w:sz w:val="16"/>
        </w:rPr>
      </w:pPr>
    </w:p>
    <w:p w14:paraId="50151DDF" w14:textId="77777777" w:rsidR="00C272F1" w:rsidRDefault="00C272F1" w:rsidP="001300F3">
      <w:pPr>
        <w:pStyle w:val="BodyText"/>
        <w:spacing w:after="0"/>
        <w:jc w:val="both"/>
        <w:rPr>
          <w:sz w:val="16"/>
        </w:rPr>
      </w:pPr>
    </w:p>
    <w:p w14:paraId="7D73968A" w14:textId="1C8E16A0" w:rsidR="00676F4D" w:rsidRPr="009A2168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9A2168">
        <w:rPr>
          <w:sz w:val="16"/>
        </w:rPr>
        <w:t>Direct full</w:t>
      </w:r>
      <w:r w:rsidRPr="009A2168">
        <w:rPr>
          <w:sz w:val="16"/>
        </w:rPr>
        <w:noBreakHyphen/>
        <w:t xml:space="preserve">time equivalent (FTE) employment in Western Australia’s battery and critical minerals industry </w:t>
      </w:r>
      <w:r w:rsidR="00064488" w:rsidRPr="009A2168">
        <w:rPr>
          <w:sz w:val="16"/>
        </w:rPr>
        <w:t>fell</w:t>
      </w:r>
      <w:r w:rsidRPr="009A2168">
        <w:rPr>
          <w:sz w:val="16"/>
        </w:rPr>
        <w:t xml:space="preserve"> </w:t>
      </w:r>
      <w:r w:rsidR="00FF20F9" w:rsidRPr="009A2168">
        <w:rPr>
          <w:sz w:val="16"/>
        </w:rPr>
        <w:t>22</w:t>
      </w:r>
      <w:r w:rsidRPr="009A2168">
        <w:rPr>
          <w:sz w:val="16"/>
        </w:rPr>
        <w:t xml:space="preserve">% to </w:t>
      </w:r>
      <w:r w:rsidR="00FF20F9" w:rsidRPr="009A2168">
        <w:rPr>
          <w:sz w:val="16"/>
        </w:rPr>
        <w:t>1</w:t>
      </w:r>
      <w:r w:rsidR="000C4870" w:rsidRPr="009A2168">
        <w:rPr>
          <w:sz w:val="16"/>
        </w:rPr>
        <w:t>9,</w:t>
      </w:r>
      <w:r w:rsidR="00CB67AB" w:rsidRPr="009A2168">
        <w:rPr>
          <w:sz w:val="16"/>
        </w:rPr>
        <w:t>733</w:t>
      </w:r>
      <w:r w:rsidRPr="009A2168">
        <w:rPr>
          <w:sz w:val="16"/>
        </w:rPr>
        <w:t xml:space="preserve"> in 2024</w:t>
      </w:r>
      <w:r w:rsidR="00FF20F9" w:rsidRPr="009A2168">
        <w:rPr>
          <w:sz w:val="16"/>
        </w:rPr>
        <w:t>-25</w:t>
      </w:r>
      <w:r w:rsidR="00670CB0" w:rsidRPr="009A2168">
        <w:rPr>
          <w:sz w:val="16"/>
        </w:rPr>
        <w:t xml:space="preserve">, due mainly to a </w:t>
      </w:r>
      <w:r w:rsidR="00683C69" w:rsidRPr="009A2168">
        <w:rPr>
          <w:sz w:val="16"/>
        </w:rPr>
        <w:t>large fall employment in the nickel and cobalt industry</w:t>
      </w:r>
      <w:r w:rsidRPr="009A2168">
        <w:rPr>
          <w:sz w:val="16"/>
        </w:rPr>
        <w:t>.</w:t>
      </w:r>
    </w:p>
    <w:p w14:paraId="566337CC" w14:textId="38500E6D" w:rsidR="00676F4D" w:rsidRPr="009A2168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9A2168">
        <w:rPr>
          <w:sz w:val="16"/>
        </w:rPr>
        <w:t>In 2024</w:t>
      </w:r>
      <w:r w:rsidR="00CB67AB" w:rsidRPr="009A2168">
        <w:rPr>
          <w:sz w:val="16"/>
        </w:rPr>
        <w:t>-25</w:t>
      </w:r>
      <w:r w:rsidRPr="009A2168">
        <w:rPr>
          <w:sz w:val="16"/>
        </w:rPr>
        <w:t>, direct FTE employment in the:</w:t>
      </w:r>
    </w:p>
    <w:p w14:paraId="37607D21" w14:textId="0D188407" w:rsidR="00676F4D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lithium industry </w:t>
      </w:r>
      <w:r w:rsidR="004A2B28" w:rsidRPr="009A2168">
        <w:rPr>
          <w:sz w:val="16"/>
        </w:rPr>
        <w:t>increased by 0.4%</w:t>
      </w:r>
      <w:r w:rsidRPr="009A2168">
        <w:rPr>
          <w:sz w:val="16"/>
        </w:rPr>
        <w:t xml:space="preserve"> to 11,4</w:t>
      </w:r>
      <w:r w:rsidR="004A2B28" w:rsidRPr="009A2168">
        <w:rPr>
          <w:sz w:val="16"/>
        </w:rPr>
        <w:t>35</w:t>
      </w:r>
    </w:p>
    <w:p w14:paraId="0BAD23AC" w14:textId="5BF97DBF" w:rsidR="00676F4D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nickel and cobalt industry </w:t>
      </w:r>
      <w:r w:rsidR="00064488" w:rsidRPr="009A2168">
        <w:rPr>
          <w:sz w:val="16"/>
        </w:rPr>
        <w:t>fell</w:t>
      </w:r>
      <w:r w:rsidRPr="009A2168">
        <w:rPr>
          <w:sz w:val="16"/>
        </w:rPr>
        <w:t xml:space="preserve"> </w:t>
      </w:r>
      <w:r w:rsidR="00806025" w:rsidRPr="009A2168">
        <w:rPr>
          <w:sz w:val="16"/>
        </w:rPr>
        <w:t>55</w:t>
      </w:r>
      <w:r w:rsidRPr="009A2168">
        <w:rPr>
          <w:sz w:val="16"/>
        </w:rPr>
        <w:t xml:space="preserve">% to </w:t>
      </w:r>
      <w:r w:rsidR="00806025" w:rsidRPr="009A2168">
        <w:rPr>
          <w:sz w:val="16"/>
        </w:rPr>
        <w:t>4,</w:t>
      </w:r>
      <w:r w:rsidR="00995C0A" w:rsidRPr="009A2168">
        <w:rPr>
          <w:sz w:val="16"/>
        </w:rPr>
        <w:t>6</w:t>
      </w:r>
      <w:r w:rsidR="00806025" w:rsidRPr="009A2168">
        <w:rPr>
          <w:sz w:val="16"/>
        </w:rPr>
        <w:t>98</w:t>
      </w:r>
    </w:p>
    <w:p w14:paraId="0C3E384E" w14:textId="2CAFB057" w:rsidR="00676F4D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copper and zinc industry </w:t>
      </w:r>
      <w:r w:rsidR="00FA1685" w:rsidRPr="009A2168">
        <w:rPr>
          <w:sz w:val="16"/>
        </w:rPr>
        <w:t>rose 5</w:t>
      </w:r>
      <w:r w:rsidRPr="009A2168">
        <w:rPr>
          <w:sz w:val="16"/>
        </w:rPr>
        <w:t>% to 1,</w:t>
      </w:r>
      <w:r w:rsidR="00FA1685" w:rsidRPr="009A2168">
        <w:rPr>
          <w:sz w:val="16"/>
        </w:rPr>
        <w:t>579</w:t>
      </w:r>
    </w:p>
    <w:p w14:paraId="2780059D" w14:textId="363E2205" w:rsidR="00104591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rare earths industry </w:t>
      </w:r>
      <w:r w:rsidR="00FA1685" w:rsidRPr="009A2168">
        <w:rPr>
          <w:sz w:val="16"/>
        </w:rPr>
        <w:t xml:space="preserve">slightly fell by 0.5% </w:t>
      </w:r>
      <w:r w:rsidRPr="009A2168">
        <w:rPr>
          <w:sz w:val="16"/>
        </w:rPr>
        <w:t xml:space="preserve">to </w:t>
      </w:r>
      <w:r w:rsidR="00EE2693" w:rsidRPr="009A2168">
        <w:rPr>
          <w:sz w:val="16"/>
        </w:rPr>
        <w:t>830</w:t>
      </w:r>
      <w:r w:rsidR="00E16895" w:rsidRPr="009A2168">
        <w:rPr>
          <w:sz w:val="16"/>
        </w:rPr>
        <w:t>.</w:t>
      </w:r>
    </w:p>
    <w:p w14:paraId="6FC5C8FD" w14:textId="40C8E008" w:rsidR="00D15C5D" w:rsidRPr="00156F3B" w:rsidRDefault="00D15C5D" w:rsidP="00D15C5D">
      <w:pPr>
        <w:pStyle w:val="BodyText"/>
        <w:spacing w:after="0"/>
        <w:jc w:val="both"/>
        <w:rPr>
          <w:sz w:val="16"/>
        </w:rPr>
        <w:sectPr w:rsidR="00D15C5D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1BC7E09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4C764B24" w14:textId="151EA849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DB192F" w:rsidRPr="003C1A0B">
        <w:rPr>
          <w:b/>
          <w:bCs/>
          <w:color w:val="00997A"/>
          <w:sz w:val="20"/>
          <w:szCs w:val="20"/>
        </w:rPr>
        <w:t>oyalt</w:t>
      </w:r>
      <w:r w:rsidR="00507354" w:rsidRPr="003C1A0B">
        <w:rPr>
          <w:b/>
          <w:bCs/>
          <w:color w:val="00997A"/>
          <w:sz w:val="20"/>
          <w:szCs w:val="20"/>
        </w:rPr>
        <w:t>y revenue</w:t>
      </w:r>
    </w:p>
    <w:p w14:paraId="0A93E33E" w14:textId="456D83E6" w:rsidR="000747AE" w:rsidRPr="008E4605" w:rsidRDefault="00177F9F" w:rsidP="008E4605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E8E8279" wp14:editId="1C4AE399">
            <wp:extent cx="3420000" cy="2103104"/>
            <wp:effectExtent l="0" t="0" r="0" b="0"/>
            <wp:docPr id="1125453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F95C" w14:textId="6EE66FCB" w:rsidR="006A5F3C" w:rsidRDefault="006A5F3C" w:rsidP="000747AE">
      <w:pPr>
        <w:spacing w:after="0"/>
        <w:jc w:val="both"/>
        <w:rPr>
          <w:sz w:val="10"/>
        </w:rPr>
      </w:pPr>
      <w:r w:rsidRPr="00E95A06">
        <w:rPr>
          <w:sz w:val="10"/>
        </w:rPr>
        <w:t>(a</w:t>
      </w:r>
      <w:r>
        <w:rPr>
          <w:sz w:val="10"/>
        </w:rPr>
        <w:t>) Includes lead.</w:t>
      </w:r>
    </w:p>
    <w:p w14:paraId="7321DE2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1E7A3D4" w14:textId="77777777" w:rsidR="00C5796C" w:rsidRDefault="00C5796C" w:rsidP="00C5796C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F7239DD" w14:textId="77777777" w:rsidR="009D6407" w:rsidRDefault="009D6407" w:rsidP="00C5796C">
      <w:pPr>
        <w:pStyle w:val="BodyText"/>
        <w:spacing w:after="0"/>
        <w:jc w:val="both"/>
        <w:rPr>
          <w:sz w:val="16"/>
        </w:rPr>
      </w:pPr>
    </w:p>
    <w:p w14:paraId="375C8B97" w14:textId="314D5104" w:rsidR="0009423B" w:rsidRPr="004A600A" w:rsidRDefault="00832B00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E4605">
        <w:rPr>
          <w:sz w:val="16"/>
        </w:rPr>
        <w:t xml:space="preserve">Western Australia has a </w:t>
      </w:r>
      <w:r w:rsidRPr="008E4605">
        <w:rPr>
          <w:sz w:val="16"/>
          <w:lang w:val="en"/>
        </w:rPr>
        <w:t xml:space="preserve">5% royalty rate on the value of </w:t>
      </w:r>
      <w:r w:rsidRPr="004A600A">
        <w:rPr>
          <w:sz w:val="16"/>
          <w:lang w:val="en"/>
        </w:rPr>
        <w:t>lithium concentrate (spodumene) feedstock.</w:t>
      </w:r>
    </w:p>
    <w:p w14:paraId="28F70DCE" w14:textId="77777777" w:rsidR="007707D2" w:rsidRPr="00530D1B" w:rsidRDefault="00676F4D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Lithium royalties fell 6</w:t>
      </w:r>
      <w:r w:rsidR="00E87668" w:rsidRPr="00530D1B">
        <w:rPr>
          <w:sz w:val="16"/>
        </w:rPr>
        <w:t>5</w:t>
      </w:r>
      <w:r w:rsidRPr="00530D1B">
        <w:rPr>
          <w:sz w:val="16"/>
        </w:rPr>
        <w:t>% to $</w:t>
      </w:r>
      <w:r w:rsidR="008C5B3C" w:rsidRPr="00530D1B">
        <w:rPr>
          <w:sz w:val="16"/>
        </w:rPr>
        <w:t>249 </w:t>
      </w:r>
      <w:r w:rsidRPr="00530D1B">
        <w:rPr>
          <w:sz w:val="16"/>
        </w:rPr>
        <w:t>million in 2024</w:t>
      </w:r>
      <w:r w:rsidR="008C5B3C" w:rsidRPr="00530D1B">
        <w:rPr>
          <w:sz w:val="16"/>
        </w:rPr>
        <w:t>-25</w:t>
      </w:r>
      <w:r w:rsidRPr="00530D1B">
        <w:rPr>
          <w:sz w:val="16"/>
        </w:rPr>
        <w:t>.</w:t>
      </w:r>
    </w:p>
    <w:p w14:paraId="78FE6633" w14:textId="6F8DAB71" w:rsidR="007707D2" w:rsidRPr="00530D1B" w:rsidRDefault="007707D2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Lithium accounted for 2% of Western Australia’s royalty revenue</w:t>
      </w:r>
      <w:r w:rsidRPr="00530D1B">
        <w:rPr>
          <w:sz w:val="16"/>
          <w:vertAlign w:val="superscript"/>
        </w:rPr>
        <w:t xml:space="preserve"> </w:t>
      </w:r>
      <w:r w:rsidRPr="00530D1B">
        <w:rPr>
          <w:sz w:val="16"/>
        </w:rPr>
        <w:t xml:space="preserve">(including </w:t>
      </w:r>
      <w:proofErr w:type="gramStart"/>
      <w:r w:rsidRPr="00530D1B">
        <w:rPr>
          <w:sz w:val="16"/>
        </w:rPr>
        <w:t>North West</w:t>
      </w:r>
      <w:proofErr w:type="gramEnd"/>
      <w:r w:rsidRPr="00530D1B">
        <w:rPr>
          <w:sz w:val="16"/>
        </w:rPr>
        <w:t xml:space="preserve"> Shelf grants) in 2024-25.</w:t>
      </w:r>
    </w:p>
    <w:p w14:paraId="2CC2038D" w14:textId="19D9BB7A" w:rsidR="0009423B" w:rsidRPr="00530D1B" w:rsidRDefault="00C938B7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Western Australia has a 2.</w:t>
      </w:r>
      <w:r w:rsidRPr="00530D1B">
        <w:rPr>
          <w:sz w:val="16"/>
          <w:lang w:val="en"/>
        </w:rPr>
        <w:t>5% royalty rate on the value of nickel sold</w:t>
      </w:r>
      <w:r w:rsidR="00243D30" w:rsidRPr="00530D1B">
        <w:rPr>
          <w:sz w:val="16"/>
          <w:lang w:val="en"/>
        </w:rPr>
        <w:t>.</w:t>
      </w:r>
      <w:r w:rsidR="004F565D" w:rsidRPr="00530D1B">
        <w:rPr>
          <w:sz w:val="16"/>
          <w:lang w:val="en"/>
        </w:rPr>
        <w:t xml:space="preserve"> </w:t>
      </w:r>
      <w:r w:rsidR="00413E74" w:rsidRPr="00530D1B">
        <w:rPr>
          <w:sz w:val="16"/>
          <w:lang w:val="en"/>
        </w:rPr>
        <w:t>In 2024</w:t>
      </w:r>
      <w:r w:rsidR="00413E74" w:rsidRPr="00530D1B">
        <w:rPr>
          <w:sz w:val="16"/>
          <w:lang w:val="en"/>
        </w:rPr>
        <w:noBreakHyphen/>
        <w:t>25, t</w:t>
      </w:r>
      <w:r w:rsidR="004F565D" w:rsidRPr="00530D1B">
        <w:rPr>
          <w:sz w:val="16"/>
          <w:lang w:val="en"/>
        </w:rPr>
        <w:t xml:space="preserve">he </w:t>
      </w:r>
      <w:r w:rsidRPr="00530D1B">
        <w:rPr>
          <w:sz w:val="16"/>
        </w:rPr>
        <w:t xml:space="preserve">nickel industry </w:t>
      </w:r>
      <w:r w:rsidR="00413E74" w:rsidRPr="00530D1B">
        <w:rPr>
          <w:sz w:val="16"/>
        </w:rPr>
        <w:t>received</w:t>
      </w:r>
      <w:r w:rsidRPr="00530D1B">
        <w:rPr>
          <w:sz w:val="16"/>
        </w:rPr>
        <w:t xml:space="preserve"> support through the WA Government’s Nickel Financial Assistance Program</w:t>
      </w:r>
      <w:r w:rsidR="00243D30" w:rsidRPr="00530D1B">
        <w:rPr>
          <w:sz w:val="16"/>
        </w:rPr>
        <w:t>, which</w:t>
      </w:r>
      <w:r w:rsidR="00507354" w:rsidRPr="00530D1B">
        <w:rPr>
          <w:sz w:val="16"/>
        </w:rPr>
        <w:t xml:space="preserve"> </w:t>
      </w:r>
      <w:r w:rsidRPr="00530D1B">
        <w:rPr>
          <w:sz w:val="16"/>
        </w:rPr>
        <w:t>provide</w:t>
      </w:r>
      <w:r w:rsidR="00413E74" w:rsidRPr="00530D1B">
        <w:rPr>
          <w:sz w:val="16"/>
        </w:rPr>
        <w:t>d</w:t>
      </w:r>
      <w:r w:rsidRPr="00530D1B">
        <w:rPr>
          <w:sz w:val="16"/>
        </w:rPr>
        <w:t xml:space="preserve"> a 50% rebate on royalties paid on nickel sales each quarter between March 2024 to June 2025</w:t>
      </w:r>
      <w:r w:rsidR="00507354" w:rsidRPr="00530D1B">
        <w:rPr>
          <w:sz w:val="16"/>
        </w:rPr>
        <w:t xml:space="preserve">, </w:t>
      </w:r>
      <w:r w:rsidRPr="00530D1B">
        <w:rPr>
          <w:sz w:val="16"/>
        </w:rPr>
        <w:t xml:space="preserve">if the average price of nickel in concentrate </w:t>
      </w:r>
      <w:r w:rsidR="00413E74" w:rsidRPr="00530D1B">
        <w:rPr>
          <w:sz w:val="16"/>
        </w:rPr>
        <w:t>was</w:t>
      </w:r>
      <w:r w:rsidRPr="00530D1B">
        <w:rPr>
          <w:sz w:val="16"/>
        </w:rPr>
        <w:t xml:space="preserve"> below US$20,000 a tonne for a given quarter.</w:t>
      </w:r>
    </w:p>
    <w:p w14:paraId="43D9F069" w14:textId="77777777" w:rsidR="007707D2" w:rsidRPr="00530D1B" w:rsidRDefault="007707D2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Nickel royalties fell 35% to $64 million in 2024-25.</w:t>
      </w:r>
    </w:p>
    <w:p w14:paraId="5F508E35" w14:textId="4763A36A" w:rsidR="00AA0253" w:rsidRPr="00530D1B" w:rsidRDefault="00AA0253" w:rsidP="00AA025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 xml:space="preserve">Nickel accounted for 1% of Western Australia’s royalty revenue (including </w:t>
      </w:r>
      <w:proofErr w:type="gramStart"/>
      <w:r w:rsidRPr="00530D1B">
        <w:rPr>
          <w:sz w:val="16"/>
        </w:rPr>
        <w:t>North West</w:t>
      </w:r>
      <w:proofErr w:type="gramEnd"/>
      <w:r w:rsidRPr="00530D1B">
        <w:rPr>
          <w:sz w:val="16"/>
        </w:rPr>
        <w:t xml:space="preserve"> Shelf grants) in 2024-25.</w:t>
      </w:r>
    </w:p>
    <w:p w14:paraId="5480FEE3" w14:textId="77777777" w:rsidR="00AA0253" w:rsidRDefault="00AA0253">
      <w:pPr>
        <w:rPr>
          <w:sz w:val="16"/>
        </w:rPr>
      </w:pPr>
      <w:r>
        <w:rPr>
          <w:sz w:val="16"/>
        </w:rPr>
        <w:br w:type="page"/>
      </w:r>
    </w:p>
    <w:p w14:paraId="377B7E8C" w14:textId="662B0FFA" w:rsidR="00025C90" w:rsidRPr="00C5796C" w:rsidRDefault="00C5796C" w:rsidP="00AA0253">
      <w:pPr>
        <w:pStyle w:val="BodyText"/>
        <w:spacing w:after="40"/>
        <w:jc w:val="both"/>
        <w:rPr>
          <w:rFonts w:asciiTheme="majorHAnsi" w:eastAsiaTheme="majorEastAsia" w:hAnsiTheme="majorHAnsi" w:cstheme="majorBidi"/>
          <w:b/>
          <w:bCs/>
          <w:color w:val="004C3D"/>
        </w:rPr>
      </w:pPr>
      <w:r w:rsidRPr="00C5796C">
        <w:rPr>
          <w:rFonts w:asciiTheme="majorHAnsi" w:eastAsiaTheme="majorEastAsia" w:hAnsiTheme="majorHAnsi" w:cstheme="majorBidi"/>
          <w:b/>
          <w:bCs/>
          <w:color w:val="004C3D"/>
        </w:rPr>
        <w:lastRenderedPageBreak/>
        <w:t>Lithium</w:t>
      </w:r>
    </w:p>
    <w:p w14:paraId="646E233A" w14:textId="236F3F20" w:rsidR="001025DA" w:rsidRPr="003C1A0B" w:rsidRDefault="00E4571D" w:rsidP="001025DA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</w:t>
      </w:r>
      <w:r w:rsidR="00DA44F5" w:rsidRPr="003C1A0B">
        <w:rPr>
          <w:b/>
          <w:bCs/>
          <w:color w:val="00997A"/>
          <w:sz w:val="20"/>
          <w:szCs w:val="20"/>
        </w:rPr>
        <w:t>ithium</w:t>
      </w:r>
      <w:r w:rsidR="00ED3297" w:rsidRPr="003C1A0B">
        <w:rPr>
          <w:b/>
          <w:bCs/>
          <w:color w:val="00997A"/>
          <w:sz w:val="20"/>
          <w:szCs w:val="20"/>
        </w:rPr>
        <w:t xml:space="preserve"> supply</w:t>
      </w:r>
      <w:r w:rsidR="00C83322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36695E" w:rsidRPr="003C1A0B">
        <w:rPr>
          <w:b/>
          <w:bCs/>
          <w:color w:val="00997A"/>
          <w:sz w:val="20"/>
          <w:szCs w:val="20"/>
        </w:rPr>
        <w:t xml:space="preserve"> </w:t>
      </w:r>
      <w:r w:rsidR="0036695E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36695E" w:rsidRPr="003C1A0B">
        <w:rPr>
          <w:b/>
          <w:bCs/>
          <w:color w:val="00997A"/>
          <w:sz w:val="20"/>
          <w:szCs w:val="20"/>
        </w:rPr>
        <w:t>: 2024</w:t>
      </w:r>
    </w:p>
    <w:p w14:paraId="704A5BAF" w14:textId="1D44F3FF" w:rsidR="001025DA" w:rsidRPr="008B167C" w:rsidRDefault="00A55605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465E477" wp14:editId="7E6CF7AC">
            <wp:extent cx="3420000" cy="2110163"/>
            <wp:effectExtent l="0" t="0" r="9525" b="4445"/>
            <wp:docPr id="6645417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F30C" w14:textId="7128000E" w:rsidR="002060AA" w:rsidRPr="00F55BC9" w:rsidRDefault="002060AA" w:rsidP="002060AA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</w:t>
      </w:r>
      <w:r w:rsidR="00D43321" w:rsidRPr="00F55BC9">
        <w:rPr>
          <w:sz w:val="10"/>
        </w:rPr>
        <w:t>L</w:t>
      </w:r>
      <w:r w:rsidR="00FF50F8" w:rsidRPr="00F55BC9">
        <w:rPr>
          <w:sz w:val="10"/>
        </w:rPr>
        <w:t xml:space="preserve">ithium </w:t>
      </w:r>
      <w:r w:rsidR="00D43321" w:rsidRPr="00F55BC9">
        <w:rPr>
          <w:sz w:val="10"/>
        </w:rPr>
        <w:t xml:space="preserve">content </w:t>
      </w:r>
      <w:r w:rsidR="00FF50F8" w:rsidRPr="00F55BC9">
        <w:rPr>
          <w:sz w:val="10"/>
        </w:rPr>
        <w:t xml:space="preserve">from </w:t>
      </w:r>
      <w:proofErr w:type="gramStart"/>
      <w:r w:rsidR="00FF50F8" w:rsidRPr="00F55BC9">
        <w:rPr>
          <w:sz w:val="10"/>
        </w:rPr>
        <w:t>m</w:t>
      </w:r>
      <w:r w:rsidRPr="00F55BC9">
        <w:rPr>
          <w:sz w:val="10"/>
        </w:rPr>
        <w:t>ine</w:t>
      </w:r>
      <w:proofErr w:type="gramEnd"/>
      <w:r w:rsidRPr="00F55BC9">
        <w:rPr>
          <w:sz w:val="10"/>
        </w:rPr>
        <w:t xml:space="preserve"> production.</w:t>
      </w:r>
    </w:p>
    <w:p w14:paraId="1C2AF0CC" w14:textId="41DEC8CC" w:rsidR="002060AA" w:rsidRPr="00F55BC9" w:rsidRDefault="002060AA" w:rsidP="002060AA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62EE253" w14:textId="77777777" w:rsidR="00A57176" w:rsidRDefault="00A57176" w:rsidP="001025DA">
      <w:pPr>
        <w:pStyle w:val="BodyText"/>
        <w:spacing w:after="0"/>
        <w:jc w:val="both"/>
        <w:rPr>
          <w:sz w:val="16"/>
        </w:rPr>
      </w:pPr>
    </w:p>
    <w:p w14:paraId="217451FA" w14:textId="272E709E" w:rsidR="00843238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>Lithium</w:t>
      </w:r>
      <w:r w:rsidR="00E86487">
        <w:rPr>
          <w:sz w:val="16"/>
        </w:rPr>
        <w:t xml:space="preserve">’s main </w:t>
      </w:r>
      <w:r w:rsidRPr="004A368F">
        <w:rPr>
          <w:sz w:val="16"/>
        </w:rPr>
        <w:t>use</w:t>
      </w:r>
      <w:r w:rsidR="00E86487">
        <w:rPr>
          <w:sz w:val="16"/>
        </w:rPr>
        <w:t xml:space="preserve"> is</w:t>
      </w:r>
      <w:r w:rsidRPr="004A368F">
        <w:rPr>
          <w:sz w:val="16"/>
        </w:rPr>
        <w:t xml:space="preserve"> in rechargeable batteries </w:t>
      </w:r>
      <w:r w:rsidR="00670405">
        <w:rPr>
          <w:sz w:val="16"/>
        </w:rPr>
        <w:t>(</w:t>
      </w:r>
      <w:r w:rsidRPr="004A368F">
        <w:rPr>
          <w:sz w:val="16"/>
        </w:rPr>
        <w:t>for mobile phones, laptops, digital cameras and electric vehicles</w:t>
      </w:r>
      <w:r w:rsidR="00670405">
        <w:rPr>
          <w:sz w:val="16"/>
        </w:rPr>
        <w:t>)</w:t>
      </w:r>
      <w:r w:rsidRPr="004A368F">
        <w:rPr>
          <w:sz w:val="16"/>
        </w:rPr>
        <w:t xml:space="preserve">, </w:t>
      </w:r>
      <w:r>
        <w:rPr>
          <w:sz w:val="16"/>
        </w:rPr>
        <w:t xml:space="preserve">which </w:t>
      </w:r>
      <w:r w:rsidRPr="004A368F">
        <w:rPr>
          <w:sz w:val="16"/>
        </w:rPr>
        <w:t>account</w:t>
      </w:r>
      <w:r>
        <w:rPr>
          <w:sz w:val="16"/>
        </w:rPr>
        <w:t>s</w:t>
      </w:r>
      <w:r w:rsidRPr="004A368F">
        <w:rPr>
          <w:sz w:val="16"/>
        </w:rPr>
        <w:t xml:space="preserve"> for 80% of </w:t>
      </w:r>
      <w:r>
        <w:rPr>
          <w:sz w:val="16"/>
        </w:rPr>
        <w:t>global</w:t>
      </w:r>
      <w:r w:rsidRPr="004A368F">
        <w:rPr>
          <w:sz w:val="16"/>
        </w:rPr>
        <w:t xml:space="preserve"> </w:t>
      </w:r>
      <w:r>
        <w:rPr>
          <w:sz w:val="16"/>
        </w:rPr>
        <w:t xml:space="preserve">lithium </w:t>
      </w:r>
      <w:r w:rsidRPr="004A368F">
        <w:rPr>
          <w:sz w:val="16"/>
        </w:rPr>
        <w:t>consumption.</w:t>
      </w:r>
    </w:p>
    <w:p w14:paraId="0679AB88" w14:textId="77777777" w:rsidR="00843238" w:rsidRPr="004D20FC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(42%) was the largest lithium supplier in the world in 2024, followed by Chile (20%), China (17%), Zimbabwe (9%) and Argentina (8%).</w:t>
      </w:r>
    </w:p>
    <w:p w14:paraId="6657F902" w14:textId="01DD6482" w:rsidR="00AD0CD2" w:rsidRPr="00F55BC9" w:rsidRDefault="00027CB6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average cost of </w:t>
      </w:r>
      <w:r w:rsidR="00AD0CD2" w:rsidRPr="00F55BC9">
        <w:rPr>
          <w:sz w:val="16"/>
        </w:rPr>
        <w:t>Western Australia’s lithium supply</w:t>
      </w:r>
      <w:r w:rsidRPr="00F55BC9">
        <w:rPr>
          <w:sz w:val="16"/>
        </w:rPr>
        <w:t>, which is largely spodumene concentrate,</w:t>
      </w:r>
      <w:r w:rsidR="00AD0CD2" w:rsidRPr="00F55BC9">
        <w:rPr>
          <w:sz w:val="16"/>
        </w:rPr>
        <w:t xml:space="preserve"> is competitive against other major lithium suppliers.</w:t>
      </w:r>
    </w:p>
    <w:p w14:paraId="04B62D5E" w14:textId="0CA0A1D9" w:rsidR="00843238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>The average total cash cost of Western Australia’s lithium production was US$4,701 a lithium carbonate equivalent (LCE) in 2024</w:t>
      </w:r>
      <w:r w:rsidR="007A57F6">
        <w:rPr>
          <w:color w:val="000000" w:themeColor="text1"/>
          <w:sz w:val="16"/>
        </w:rPr>
        <w:t>. This was</w:t>
      </w:r>
      <w:r w:rsidRPr="00AD0CD2">
        <w:rPr>
          <w:color w:val="000000" w:themeColor="text1"/>
          <w:sz w:val="16"/>
        </w:rPr>
        <w:t xml:space="preserve"> </w:t>
      </w:r>
      <w:r w:rsidR="00DD70B8">
        <w:rPr>
          <w:color w:val="000000" w:themeColor="text1"/>
          <w:sz w:val="16"/>
        </w:rPr>
        <w:t>36%</w:t>
      </w:r>
      <w:r w:rsidRPr="00AD0CD2">
        <w:rPr>
          <w:color w:val="000000" w:themeColor="text1"/>
          <w:sz w:val="16"/>
        </w:rPr>
        <w:t xml:space="preserve"> below the world average </w:t>
      </w:r>
      <w:r w:rsidR="00F62495">
        <w:rPr>
          <w:color w:val="000000" w:themeColor="text1"/>
          <w:sz w:val="16"/>
        </w:rPr>
        <w:t>(</w:t>
      </w:r>
      <w:r w:rsidRPr="00AD0CD2">
        <w:rPr>
          <w:color w:val="000000" w:themeColor="text1"/>
          <w:sz w:val="16"/>
        </w:rPr>
        <w:t xml:space="preserve">US$7,293 </w:t>
      </w:r>
      <w:proofErr w:type="gramStart"/>
      <w:r w:rsidRPr="00AD0CD2">
        <w:rPr>
          <w:color w:val="000000" w:themeColor="text1"/>
          <w:sz w:val="16"/>
        </w:rPr>
        <w:t>a</w:t>
      </w:r>
      <w:proofErr w:type="gramEnd"/>
      <w:r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), </w:t>
      </w:r>
      <w:r w:rsidR="00F62495" w:rsidRPr="00AD0CD2">
        <w:rPr>
          <w:color w:val="000000" w:themeColor="text1"/>
          <w:sz w:val="16"/>
        </w:rPr>
        <w:t>73% lower than Chile’s average total cash cost</w:t>
      </w:r>
      <w:r w:rsidR="00F62495">
        <w:rPr>
          <w:color w:val="000000" w:themeColor="text1"/>
          <w:sz w:val="16"/>
        </w:rPr>
        <w:t xml:space="preserve"> (</w:t>
      </w:r>
      <w:r w:rsidR="00F62495" w:rsidRPr="00AD0CD2">
        <w:rPr>
          <w:color w:val="000000" w:themeColor="text1"/>
          <w:sz w:val="16"/>
        </w:rPr>
        <w:t xml:space="preserve">US$17,657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 and </w:t>
      </w:r>
      <w:r w:rsidR="00F62495" w:rsidRPr="00AD0CD2">
        <w:rPr>
          <w:color w:val="000000" w:themeColor="text1"/>
          <w:sz w:val="16"/>
        </w:rPr>
        <w:t xml:space="preserve">15% lower than China’s average total cash cost </w:t>
      </w:r>
      <w:r w:rsidR="00F62495">
        <w:rPr>
          <w:color w:val="000000" w:themeColor="text1"/>
          <w:sz w:val="16"/>
        </w:rPr>
        <w:t>(</w:t>
      </w:r>
      <w:r w:rsidR="00F62495" w:rsidRPr="00AD0CD2">
        <w:rPr>
          <w:color w:val="000000" w:themeColor="text1"/>
          <w:sz w:val="16"/>
        </w:rPr>
        <w:t xml:space="preserve">US$5,552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>).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B3DF86" w14:textId="24CEBED6" w:rsidR="00812901" w:rsidRPr="003C1A0B" w:rsidRDefault="00812901" w:rsidP="00812901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lithium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200FC4C3" w14:textId="112698C7" w:rsidR="00812901" w:rsidRDefault="00366D1D" w:rsidP="00812901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11B87F2" wp14:editId="1DCA0CAA">
            <wp:extent cx="3420000" cy="2105827"/>
            <wp:effectExtent l="0" t="0" r="9525" b="8890"/>
            <wp:docPr id="2148583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1F58" w14:textId="49EAD14B" w:rsidR="00812901" w:rsidRPr="00F55BC9" w:rsidRDefault="00812901" w:rsidP="00812901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Spodumene concentrate.</w:t>
      </w:r>
      <w:r w:rsidR="00EB2BF0" w:rsidRPr="00F55BC9">
        <w:rPr>
          <w:sz w:val="10"/>
        </w:rPr>
        <w:t xml:space="preserve"> Index </w:t>
      </w:r>
      <w:r w:rsidR="00DA28B4" w:rsidRPr="00530D1B">
        <w:rPr>
          <w:sz w:val="10"/>
        </w:rPr>
        <w:t>2023</w:t>
      </w:r>
      <w:r w:rsidR="001123A9" w:rsidRPr="00530D1B">
        <w:rPr>
          <w:sz w:val="10"/>
        </w:rPr>
        <w:noBreakHyphen/>
        <w:t>24</w:t>
      </w:r>
      <w:r w:rsidR="00DA28B4" w:rsidRPr="00530D1B">
        <w:rPr>
          <w:sz w:val="10"/>
        </w:rPr>
        <w:t xml:space="preserve"> = </w:t>
      </w:r>
      <w:r w:rsidR="00EB2BF0" w:rsidRPr="00530D1B">
        <w:rPr>
          <w:sz w:val="10"/>
        </w:rPr>
        <w:t>100</w:t>
      </w:r>
      <w:r w:rsidR="00EB2BF0" w:rsidRPr="00F55BC9">
        <w:rPr>
          <w:sz w:val="10"/>
        </w:rPr>
        <w:t>.</w:t>
      </w:r>
    </w:p>
    <w:p w14:paraId="7553B8B5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9CACAC6" w14:textId="05DF5E35" w:rsidR="008E3EBF" w:rsidRPr="00530D1B" w:rsidRDefault="00363DB5" w:rsidP="4F4BB68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530D1B">
        <w:rPr>
          <w:sz w:val="16"/>
          <w:szCs w:val="16"/>
        </w:rPr>
        <w:t>T</w:t>
      </w:r>
      <w:r w:rsidR="008E3EBF" w:rsidRPr="00530D1B">
        <w:rPr>
          <w:sz w:val="16"/>
          <w:szCs w:val="16"/>
        </w:rPr>
        <w:t xml:space="preserve">he value of Western Australia’s lithium sales fell </w:t>
      </w:r>
      <w:r w:rsidR="00711A5A" w:rsidRPr="00530D1B">
        <w:rPr>
          <w:sz w:val="16"/>
          <w:szCs w:val="16"/>
        </w:rPr>
        <w:t>49</w:t>
      </w:r>
      <w:r w:rsidR="008E3EBF" w:rsidRPr="00530D1B">
        <w:rPr>
          <w:sz w:val="16"/>
          <w:szCs w:val="16"/>
        </w:rPr>
        <w:t>% to $</w:t>
      </w:r>
      <w:r w:rsidR="00711A5A" w:rsidRPr="00530D1B">
        <w:rPr>
          <w:sz w:val="16"/>
          <w:szCs w:val="16"/>
        </w:rPr>
        <w:t>4.3</w:t>
      </w:r>
      <w:r w:rsidR="008E3EBF" w:rsidRPr="00530D1B">
        <w:rPr>
          <w:sz w:val="16"/>
          <w:szCs w:val="16"/>
        </w:rPr>
        <w:t> billion</w:t>
      </w:r>
      <w:r w:rsidRPr="00530D1B">
        <w:rPr>
          <w:sz w:val="16"/>
          <w:szCs w:val="16"/>
        </w:rPr>
        <w:t xml:space="preserve"> in 2024</w:t>
      </w:r>
      <w:r w:rsidR="618D065E" w:rsidRPr="00530D1B">
        <w:rPr>
          <w:sz w:val="16"/>
          <w:szCs w:val="16"/>
        </w:rPr>
        <w:t>-</w:t>
      </w:r>
      <w:r w:rsidRPr="00530D1B">
        <w:rPr>
          <w:sz w:val="16"/>
          <w:szCs w:val="16"/>
        </w:rPr>
        <w:t>25</w:t>
      </w:r>
      <w:r w:rsidR="008E3EBF" w:rsidRPr="00530D1B">
        <w:rPr>
          <w:sz w:val="16"/>
          <w:szCs w:val="16"/>
        </w:rPr>
        <w:t>, which was the net result from the:</w:t>
      </w:r>
    </w:p>
    <w:p w14:paraId="23D2096A" w14:textId="64E5C8CC" w:rsidR="008E3EBF" w:rsidRPr="00530D1B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average unit price of sales falling </w:t>
      </w:r>
      <w:r w:rsidR="00A00681" w:rsidRPr="00530D1B">
        <w:rPr>
          <w:sz w:val="16"/>
        </w:rPr>
        <w:t>53</w:t>
      </w:r>
      <w:r w:rsidRPr="00530D1B">
        <w:rPr>
          <w:sz w:val="16"/>
        </w:rPr>
        <w:t>%</w:t>
      </w:r>
    </w:p>
    <w:p w14:paraId="4BBFE82C" w14:textId="024CB30C" w:rsidR="008E3EBF" w:rsidRPr="00530D1B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quantity of sales </w:t>
      </w:r>
      <w:r w:rsidR="000D2704" w:rsidRPr="00530D1B">
        <w:rPr>
          <w:sz w:val="16"/>
        </w:rPr>
        <w:t>increasing 7</w:t>
      </w:r>
      <w:r w:rsidRPr="00530D1B">
        <w:rPr>
          <w:sz w:val="16"/>
        </w:rPr>
        <w:t>% to 3.8 million tonnes.</w:t>
      </w:r>
    </w:p>
    <w:p w14:paraId="1C3AB076" w14:textId="4A86ED60" w:rsidR="008E3EBF" w:rsidRPr="00530D1B" w:rsidRDefault="008E3EBF" w:rsidP="008E3EBF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Greenbushes is Western Australia’s largest lithium mine</w:t>
      </w:r>
      <w:r w:rsidR="002972C2" w:rsidRPr="00530D1B">
        <w:rPr>
          <w:sz w:val="16"/>
        </w:rPr>
        <w:t xml:space="preserve">, accounting for </w:t>
      </w:r>
      <w:r w:rsidRPr="00530D1B">
        <w:rPr>
          <w:sz w:val="16"/>
        </w:rPr>
        <w:t>37% of the State’s lithium production</w:t>
      </w:r>
      <w:r w:rsidR="002972C2" w:rsidRPr="00530D1B">
        <w:rPr>
          <w:sz w:val="16"/>
        </w:rPr>
        <w:t xml:space="preserve"> in 2024</w:t>
      </w:r>
      <w:r w:rsidRPr="00530D1B">
        <w:rPr>
          <w:sz w:val="16"/>
        </w:rPr>
        <w:t xml:space="preserve">, followed by </w:t>
      </w:r>
      <w:proofErr w:type="spellStart"/>
      <w:r w:rsidRPr="00530D1B">
        <w:rPr>
          <w:sz w:val="16"/>
        </w:rPr>
        <w:t>Pilgangoora</w:t>
      </w:r>
      <w:proofErr w:type="spellEnd"/>
      <w:r w:rsidRPr="00530D1B">
        <w:rPr>
          <w:sz w:val="16"/>
        </w:rPr>
        <w:t xml:space="preserve"> (16%), Mt Marion (14%) and </w:t>
      </w:r>
      <w:proofErr w:type="spellStart"/>
      <w:r w:rsidRPr="00530D1B">
        <w:rPr>
          <w:sz w:val="16"/>
        </w:rPr>
        <w:t>Wodgina</w:t>
      </w:r>
      <w:proofErr w:type="spellEnd"/>
      <w:r w:rsidRPr="00530D1B">
        <w:rPr>
          <w:sz w:val="16"/>
        </w:rPr>
        <w:t xml:space="preserve"> (10%).</w:t>
      </w:r>
    </w:p>
    <w:p w14:paraId="6567A4D9" w14:textId="78D500F3" w:rsidR="000228E5" w:rsidRPr="00F55BC9" w:rsidRDefault="006A3017" w:rsidP="00E26013">
      <w:pPr>
        <w:pStyle w:val="ListParagraph"/>
        <w:numPr>
          <w:ilvl w:val="0"/>
          <w:numId w:val="9"/>
        </w:numPr>
        <w:spacing w:before="40" w:after="40"/>
        <w:contextualSpacing w:val="0"/>
        <w:jc w:val="both"/>
        <w:rPr>
          <w:sz w:val="16"/>
        </w:rPr>
      </w:pPr>
      <w:r w:rsidRPr="00F55BC9">
        <w:rPr>
          <w:sz w:val="16"/>
        </w:rPr>
        <w:t xml:space="preserve">Spodumene concentrate production </w:t>
      </w:r>
      <w:r w:rsidR="0063639E" w:rsidRPr="00F55BC9">
        <w:rPr>
          <w:sz w:val="16"/>
        </w:rPr>
        <w:t xml:space="preserve">capacity </w:t>
      </w:r>
      <w:r w:rsidR="00F57610" w:rsidRPr="00F55BC9">
        <w:rPr>
          <w:sz w:val="16"/>
        </w:rPr>
        <w:t>i</w:t>
      </w:r>
      <w:r w:rsidRPr="00F55BC9">
        <w:rPr>
          <w:sz w:val="16"/>
        </w:rPr>
        <w:t>n Western Australia</w:t>
      </w:r>
      <w:r w:rsidR="00FF7C3D" w:rsidRPr="00F55BC9">
        <w:rPr>
          <w:sz w:val="16"/>
        </w:rPr>
        <w:t xml:space="preserve"> </w:t>
      </w:r>
      <w:r w:rsidR="002972C2" w:rsidRPr="00F55BC9">
        <w:rPr>
          <w:sz w:val="16"/>
        </w:rPr>
        <w:t xml:space="preserve">has </w:t>
      </w:r>
      <w:r w:rsidR="00FF7C3D" w:rsidRPr="00F55BC9">
        <w:rPr>
          <w:sz w:val="16"/>
        </w:rPr>
        <w:t xml:space="preserve">increased </w:t>
      </w:r>
      <w:r w:rsidR="00C100B0" w:rsidRPr="00F55BC9">
        <w:rPr>
          <w:sz w:val="16"/>
        </w:rPr>
        <w:t>in recent years from</w:t>
      </w:r>
      <w:r w:rsidR="0063639E" w:rsidRPr="00F55BC9">
        <w:rPr>
          <w:sz w:val="16"/>
        </w:rPr>
        <w:t>:</w:t>
      </w:r>
    </w:p>
    <w:p w14:paraId="09650F33" w14:textId="65390CD5" w:rsidR="00F5695F" w:rsidRDefault="00556E82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  <w:szCs w:val="16"/>
        </w:rPr>
      </w:pPr>
      <w:r w:rsidRPr="246308DE">
        <w:rPr>
          <w:sz w:val="16"/>
          <w:szCs w:val="16"/>
        </w:rPr>
        <w:t>The Earl Grey lithium mine</w:t>
      </w:r>
      <w:r w:rsidR="00A40D78" w:rsidRPr="246308DE">
        <w:rPr>
          <w:sz w:val="16"/>
          <w:szCs w:val="16"/>
        </w:rPr>
        <w:t xml:space="preserve"> (as part of the Mt</w:t>
      </w:r>
      <w:r w:rsidR="00655013" w:rsidRPr="246308DE">
        <w:rPr>
          <w:sz w:val="16"/>
          <w:szCs w:val="16"/>
        </w:rPr>
        <w:t> </w:t>
      </w:r>
      <w:r w:rsidR="00A40D78" w:rsidRPr="246308DE">
        <w:rPr>
          <w:sz w:val="16"/>
          <w:szCs w:val="16"/>
        </w:rPr>
        <w:t>Holland project)</w:t>
      </w:r>
      <w:r w:rsidR="00E114B0" w:rsidRPr="246308DE">
        <w:rPr>
          <w:sz w:val="16"/>
          <w:szCs w:val="16"/>
        </w:rPr>
        <w:t>, which began production in March</w:t>
      </w:r>
      <w:r w:rsidR="00655013" w:rsidRPr="246308DE">
        <w:rPr>
          <w:sz w:val="16"/>
          <w:szCs w:val="16"/>
        </w:rPr>
        <w:t> </w:t>
      </w:r>
      <w:r w:rsidR="00E114B0" w:rsidRPr="246308DE">
        <w:rPr>
          <w:sz w:val="16"/>
          <w:szCs w:val="16"/>
        </w:rPr>
        <w:t>2024</w:t>
      </w:r>
      <w:r w:rsidR="00D632DC" w:rsidRPr="246308DE">
        <w:rPr>
          <w:sz w:val="16"/>
          <w:szCs w:val="16"/>
        </w:rPr>
        <w:t xml:space="preserve"> with </w:t>
      </w:r>
      <w:r w:rsidR="00177148" w:rsidRPr="246308DE">
        <w:rPr>
          <w:sz w:val="16"/>
          <w:szCs w:val="16"/>
        </w:rPr>
        <w:t>a</w:t>
      </w:r>
      <w:r w:rsidR="00D632DC" w:rsidRPr="246308DE">
        <w:rPr>
          <w:sz w:val="16"/>
          <w:szCs w:val="16"/>
        </w:rPr>
        <w:t xml:space="preserve"> </w:t>
      </w:r>
      <w:r w:rsidR="004961C3" w:rsidRPr="246308DE">
        <w:rPr>
          <w:sz w:val="16"/>
          <w:szCs w:val="16"/>
        </w:rPr>
        <w:t>capacity of 400,000 tonnes</w:t>
      </w:r>
      <w:r w:rsidR="00177148" w:rsidRPr="246308DE">
        <w:rPr>
          <w:sz w:val="16"/>
          <w:szCs w:val="16"/>
        </w:rPr>
        <w:t xml:space="preserve"> a year</w:t>
      </w:r>
      <w:r w:rsidR="004961C3" w:rsidRPr="246308DE">
        <w:rPr>
          <w:sz w:val="16"/>
          <w:szCs w:val="16"/>
        </w:rPr>
        <w:t>.</w:t>
      </w:r>
    </w:p>
    <w:p w14:paraId="375C8763" w14:textId="40F17011" w:rsidR="000228E5" w:rsidRPr="00F55BC9" w:rsidRDefault="006A3017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The Kathleen Valley lithium project</w:t>
      </w:r>
      <w:r w:rsidR="00FF7C3D" w:rsidRPr="00F55BC9">
        <w:rPr>
          <w:sz w:val="16"/>
        </w:rPr>
        <w:t xml:space="preserve">, which </w:t>
      </w:r>
      <w:r w:rsidR="00E87D5E" w:rsidRPr="00F55BC9">
        <w:rPr>
          <w:sz w:val="16"/>
        </w:rPr>
        <w:t>began</w:t>
      </w:r>
      <w:r w:rsidR="00D64B86" w:rsidRPr="00F55BC9">
        <w:rPr>
          <w:sz w:val="16"/>
        </w:rPr>
        <w:t xml:space="preserve"> </w:t>
      </w:r>
      <w:r w:rsidRPr="00F55BC9">
        <w:rPr>
          <w:sz w:val="16"/>
        </w:rPr>
        <w:t xml:space="preserve">production in </w:t>
      </w:r>
      <w:r w:rsidR="00E87D5E" w:rsidRPr="00F55BC9">
        <w:rPr>
          <w:sz w:val="16"/>
        </w:rPr>
        <w:t>July </w:t>
      </w:r>
      <w:r w:rsidRPr="00F55BC9">
        <w:rPr>
          <w:sz w:val="16"/>
        </w:rPr>
        <w:t>2024.</w:t>
      </w:r>
    </w:p>
    <w:p w14:paraId="0F1832EF" w14:textId="73F212BC" w:rsidR="000228E5" w:rsidRPr="00F55BC9" w:rsidRDefault="006A3017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 xml:space="preserve">The P1000 expansion of the </w:t>
      </w:r>
      <w:proofErr w:type="spellStart"/>
      <w:r w:rsidRPr="00F55BC9">
        <w:rPr>
          <w:sz w:val="16"/>
        </w:rPr>
        <w:t>Pilgangoora</w:t>
      </w:r>
      <w:proofErr w:type="spellEnd"/>
      <w:r w:rsidRPr="00F55BC9">
        <w:rPr>
          <w:sz w:val="16"/>
        </w:rPr>
        <w:t xml:space="preserve"> lithium operation</w:t>
      </w:r>
      <w:r w:rsidR="003A693D" w:rsidRPr="00F55BC9">
        <w:rPr>
          <w:sz w:val="16"/>
        </w:rPr>
        <w:t xml:space="preserve">, which </w:t>
      </w:r>
      <w:r w:rsidRPr="00F55BC9">
        <w:rPr>
          <w:sz w:val="16"/>
        </w:rPr>
        <w:t>will increase the project’s production by 47% to 1</w:t>
      </w:r>
      <w:r w:rsidR="00C272F1" w:rsidRPr="00F55BC9">
        <w:rPr>
          <w:sz w:val="16"/>
        </w:rPr>
        <w:t> </w:t>
      </w:r>
      <w:r w:rsidRPr="00F55BC9">
        <w:rPr>
          <w:sz w:val="16"/>
        </w:rPr>
        <w:t>million tonnes a year.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03A73E" w14:textId="30CE17E9" w:rsidR="00B705C0" w:rsidRPr="003C1A0B" w:rsidRDefault="00B705C0" w:rsidP="00B705C0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Lithium prices</w:t>
      </w:r>
      <w:r w:rsidR="007247A4" w:rsidRPr="007247A4">
        <w:rPr>
          <w:b/>
          <w:bCs/>
          <w:color w:val="00997A"/>
          <w:sz w:val="20"/>
          <w:szCs w:val="20"/>
          <w:vertAlign w:val="superscript"/>
        </w:rPr>
        <w:t>1</w:t>
      </w:r>
    </w:p>
    <w:p w14:paraId="6833B8E2" w14:textId="21DAE16D" w:rsidR="00B705C0" w:rsidRPr="00A14DA8" w:rsidRDefault="00B51F2E" w:rsidP="00A14DA8">
      <w:pPr>
        <w:spacing w:after="0" w:line="240" w:lineRule="auto"/>
        <w:rPr>
          <w:rFonts w:ascii="Times New Roman" w:hAnsi="Times New Roman" w:cs="Times New Roman"/>
          <w:lang w:eastAsia="en-AU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0E0967E" wp14:editId="4FB01B29">
            <wp:extent cx="3420000" cy="2097890"/>
            <wp:effectExtent l="0" t="0" r="0" b="0"/>
            <wp:docPr id="1085600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9B4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  <w:vertAlign w:val="superscript"/>
        </w:rPr>
        <w:t>1</w:t>
      </w:r>
      <w:r w:rsidRPr="0056014A">
        <w:rPr>
          <w:sz w:val="10"/>
        </w:rPr>
        <w:t xml:space="preserve"> Price per tonne. (a) Cost, insurance, and freight Asia. (b) Concentrate free-on-board Australia.</w:t>
      </w:r>
    </w:p>
    <w:p w14:paraId="3378EEB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</w:rPr>
        <w:t>Note – Spodumene concentrate prices are available from January 2022.</w:t>
      </w:r>
    </w:p>
    <w:p w14:paraId="4169F396" w14:textId="77777777" w:rsidR="00B705C0" w:rsidRPr="0056014A" w:rsidRDefault="00B705C0" w:rsidP="00B705C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6014A">
        <w:rPr>
          <w:sz w:val="10"/>
        </w:rPr>
        <w:t>Source: S&amp;P Global Market Intelligence.</w:t>
      </w:r>
    </w:p>
    <w:p w14:paraId="17FAD22C" w14:textId="2393C8F5" w:rsidR="00B705C0" w:rsidRPr="00F55BC9" w:rsidRDefault="00B705C0" w:rsidP="00B705C0">
      <w:pPr>
        <w:pStyle w:val="BodyText"/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C5DA9FE" w14:textId="563365A1" w:rsidR="00B705C0" w:rsidRPr="008D6A5D" w:rsidRDefault="00B705C0" w:rsidP="00B705C0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8D6A5D">
        <w:rPr>
          <w:sz w:val="16"/>
        </w:rPr>
        <w:t xml:space="preserve">Lithium prices </w:t>
      </w:r>
      <w:r w:rsidR="002A4C4F" w:rsidRPr="008D6A5D">
        <w:rPr>
          <w:sz w:val="16"/>
        </w:rPr>
        <w:t>fell significantly</w:t>
      </w:r>
      <w:r w:rsidR="003A37BB" w:rsidRPr="008D6A5D">
        <w:rPr>
          <w:sz w:val="16"/>
        </w:rPr>
        <w:t xml:space="preserve"> from </w:t>
      </w:r>
      <w:r w:rsidR="00A452DD" w:rsidRPr="008D6A5D">
        <w:rPr>
          <w:sz w:val="16"/>
        </w:rPr>
        <w:t>their</w:t>
      </w:r>
      <w:r w:rsidR="003A37BB" w:rsidRPr="008D6A5D">
        <w:rPr>
          <w:sz w:val="16"/>
        </w:rPr>
        <w:t xml:space="preserve"> peak in 2023 </w:t>
      </w:r>
      <w:r w:rsidRPr="008D6A5D">
        <w:rPr>
          <w:sz w:val="16"/>
        </w:rPr>
        <w:t>due to a large rise in global supply and slowing demand from China's electric vehicle sector.</w:t>
      </w:r>
      <w:r w:rsidR="002A4C4F" w:rsidRPr="008D6A5D">
        <w:rPr>
          <w:sz w:val="16"/>
        </w:rPr>
        <w:t xml:space="preserve"> Prices</w:t>
      </w:r>
      <w:r w:rsidR="002A4C4F" w:rsidRPr="008D6A5D" w:rsidDel="008D0985">
        <w:rPr>
          <w:sz w:val="16"/>
        </w:rPr>
        <w:t xml:space="preserve"> </w:t>
      </w:r>
      <w:r w:rsidR="009B1CBE" w:rsidRPr="008D6A5D">
        <w:rPr>
          <w:sz w:val="16"/>
        </w:rPr>
        <w:t>were</w:t>
      </w:r>
      <w:r w:rsidR="00F14338" w:rsidRPr="008D6A5D">
        <w:rPr>
          <w:sz w:val="16"/>
        </w:rPr>
        <w:t xml:space="preserve"> more stable</w:t>
      </w:r>
      <w:r w:rsidR="000E5BA1" w:rsidRPr="008D6A5D">
        <w:rPr>
          <w:sz w:val="16"/>
        </w:rPr>
        <w:t xml:space="preserve"> in 2025</w:t>
      </w:r>
      <w:r w:rsidR="002A0CA2" w:rsidRPr="008D6A5D">
        <w:rPr>
          <w:sz w:val="16"/>
        </w:rPr>
        <w:t xml:space="preserve"> </w:t>
      </w:r>
      <w:r w:rsidR="006D7BAF" w:rsidRPr="008D6A5D">
        <w:rPr>
          <w:sz w:val="16"/>
        </w:rPr>
        <w:t xml:space="preserve">and </w:t>
      </w:r>
      <w:r w:rsidR="001E556A" w:rsidRPr="008D6A5D">
        <w:rPr>
          <w:sz w:val="16"/>
        </w:rPr>
        <w:t>have</w:t>
      </w:r>
      <w:r w:rsidR="002326DD" w:rsidRPr="008D6A5D">
        <w:rPr>
          <w:sz w:val="16"/>
        </w:rPr>
        <w:t xml:space="preserve"> </w:t>
      </w:r>
      <w:r w:rsidR="006D7BAF" w:rsidRPr="008D6A5D">
        <w:rPr>
          <w:sz w:val="16"/>
        </w:rPr>
        <w:t xml:space="preserve">increased sharply in </w:t>
      </w:r>
      <w:r w:rsidR="001E556A" w:rsidRPr="008D6A5D">
        <w:rPr>
          <w:sz w:val="16"/>
        </w:rPr>
        <w:t xml:space="preserve">early </w:t>
      </w:r>
      <w:r w:rsidR="006D7BAF" w:rsidRPr="008D6A5D">
        <w:rPr>
          <w:sz w:val="16"/>
        </w:rPr>
        <w:t>2026</w:t>
      </w:r>
      <w:r w:rsidR="00417464" w:rsidRPr="008D6A5D">
        <w:rPr>
          <w:sz w:val="16"/>
        </w:rPr>
        <w:t xml:space="preserve">, owing to higher demand </w:t>
      </w:r>
      <w:r w:rsidR="00841BB3" w:rsidRPr="008D6A5D">
        <w:rPr>
          <w:sz w:val="16"/>
        </w:rPr>
        <w:t xml:space="preserve">for energy storage systems, </w:t>
      </w:r>
      <w:r w:rsidR="00E11189" w:rsidRPr="008D6A5D">
        <w:rPr>
          <w:sz w:val="16"/>
        </w:rPr>
        <w:t>a bringing forward of demand after the announcement of the phase</w:t>
      </w:r>
      <w:r w:rsidR="00E11189" w:rsidRPr="008D6A5D">
        <w:rPr>
          <w:sz w:val="16"/>
        </w:rPr>
        <w:noBreakHyphen/>
        <w:t xml:space="preserve">out of tax rebates for exports of battery products in China, and </w:t>
      </w:r>
      <w:r w:rsidR="00983E52" w:rsidRPr="008D6A5D">
        <w:rPr>
          <w:sz w:val="16"/>
        </w:rPr>
        <w:t xml:space="preserve">Zimbabwe </w:t>
      </w:r>
      <w:r w:rsidR="002A314C" w:rsidRPr="008D6A5D">
        <w:rPr>
          <w:sz w:val="16"/>
        </w:rPr>
        <w:t>introducing</w:t>
      </w:r>
      <w:r w:rsidR="0091377E" w:rsidRPr="008D6A5D">
        <w:rPr>
          <w:sz w:val="16"/>
        </w:rPr>
        <w:t xml:space="preserve"> </w:t>
      </w:r>
      <w:r w:rsidR="005B1BA3" w:rsidRPr="008D6A5D">
        <w:rPr>
          <w:sz w:val="16"/>
        </w:rPr>
        <w:t>a ban on lithium concentrate</w:t>
      </w:r>
      <w:r w:rsidR="00147221" w:rsidRPr="008D6A5D">
        <w:rPr>
          <w:sz w:val="16"/>
        </w:rPr>
        <w:t xml:space="preserve"> </w:t>
      </w:r>
      <w:r w:rsidR="00BC09A5" w:rsidRPr="008D6A5D">
        <w:rPr>
          <w:sz w:val="16"/>
        </w:rPr>
        <w:t>exports</w:t>
      </w:r>
      <w:r w:rsidR="00CB6EC6" w:rsidRPr="008D6A5D">
        <w:rPr>
          <w:sz w:val="16"/>
        </w:rPr>
        <w:t>.</w:t>
      </w:r>
    </w:p>
    <w:p w14:paraId="522AF190" w14:textId="14B902C0" w:rsidR="00B959FD" w:rsidRPr="008D6A5D" w:rsidRDefault="00B959FD" w:rsidP="00B959FD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r w:rsidRPr="008D6A5D">
        <w:rPr>
          <w:sz w:val="16"/>
          <w:szCs w:val="16"/>
        </w:rPr>
        <w:t xml:space="preserve">In </w:t>
      </w:r>
      <w:r w:rsidR="00201A7E" w:rsidRPr="008D6A5D">
        <w:rPr>
          <w:sz w:val="16"/>
          <w:szCs w:val="16"/>
        </w:rPr>
        <w:t>February</w:t>
      </w:r>
      <w:r w:rsidR="60B2B404" w:rsidRPr="008D6A5D">
        <w:rPr>
          <w:sz w:val="16"/>
          <w:szCs w:val="16"/>
        </w:rPr>
        <w:t xml:space="preserve"> </w:t>
      </w:r>
      <w:r w:rsidRPr="008D6A5D">
        <w:rPr>
          <w:sz w:val="16"/>
          <w:szCs w:val="16"/>
        </w:rPr>
        <w:t>202</w:t>
      </w:r>
      <w:r w:rsidR="00710DB8" w:rsidRPr="008D6A5D">
        <w:rPr>
          <w:sz w:val="16"/>
          <w:szCs w:val="16"/>
        </w:rPr>
        <w:t>6</w:t>
      </w:r>
      <w:r w:rsidRPr="008D6A5D">
        <w:rPr>
          <w:sz w:val="16"/>
          <w:szCs w:val="16"/>
        </w:rPr>
        <w:t>, the monthly average price for:</w:t>
      </w:r>
    </w:p>
    <w:p w14:paraId="548207D0" w14:textId="63905628" w:rsidR="00B959FD" w:rsidRPr="008D6A5D" w:rsidRDefault="00B959FD" w:rsidP="00B959FD">
      <w:pPr>
        <w:pStyle w:val="BodyText"/>
        <w:numPr>
          <w:ilvl w:val="1"/>
          <w:numId w:val="36"/>
        </w:numPr>
        <w:spacing w:before="40" w:after="40"/>
        <w:ind w:left="568" w:hanging="284"/>
        <w:jc w:val="both"/>
        <w:rPr>
          <w:sz w:val="16"/>
          <w:szCs w:val="16"/>
        </w:rPr>
      </w:pPr>
      <w:bookmarkStart w:id="2" w:name="_Hlk194928424"/>
      <w:bookmarkStart w:id="3" w:name="_Hlk194928406"/>
      <w:r w:rsidRPr="008D6A5D">
        <w:rPr>
          <w:sz w:val="16"/>
          <w:szCs w:val="16"/>
        </w:rPr>
        <w:t>lithium spodumene was US$</w:t>
      </w:r>
      <w:r w:rsidR="00201A7E" w:rsidRPr="008D6A5D">
        <w:rPr>
          <w:sz w:val="16"/>
          <w:szCs w:val="16"/>
        </w:rPr>
        <w:t>1,940</w:t>
      </w:r>
      <w:r w:rsidRPr="008D6A5D">
        <w:rPr>
          <w:sz w:val="16"/>
          <w:szCs w:val="16"/>
        </w:rPr>
        <w:t xml:space="preserve"> a tonne, </w:t>
      </w:r>
      <w:r w:rsidR="00F43502" w:rsidRPr="008D6A5D">
        <w:rPr>
          <w:sz w:val="16"/>
          <w:szCs w:val="16"/>
        </w:rPr>
        <w:t>12</w:t>
      </w:r>
      <w:r w:rsidRPr="008D6A5D">
        <w:rPr>
          <w:sz w:val="16"/>
          <w:szCs w:val="16"/>
        </w:rPr>
        <w:t xml:space="preserve">% </w:t>
      </w:r>
      <w:r w:rsidR="00F43502" w:rsidRPr="008D6A5D">
        <w:rPr>
          <w:sz w:val="16"/>
          <w:szCs w:val="16"/>
        </w:rPr>
        <w:t>lower</w:t>
      </w:r>
      <w:r w:rsidR="005E086F" w:rsidRPr="008D6A5D">
        <w:rPr>
          <w:sz w:val="16"/>
          <w:szCs w:val="16"/>
        </w:rPr>
        <w:t xml:space="preserve"> </w:t>
      </w:r>
      <w:r w:rsidRPr="008D6A5D">
        <w:rPr>
          <w:sz w:val="16"/>
          <w:szCs w:val="16"/>
        </w:rPr>
        <w:t>than previous month</w:t>
      </w:r>
      <w:r w:rsidR="00D6385B" w:rsidRPr="008D6A5D">
        <w:rPr>
          <w:sz w:val="16"/>
          <w:szCs w:val="16"/>
        </w:rPr>
        <w:t xml:space="preserve"> </w:t>
      </w:r>
      <w:r w:rsidR="00EC6170" w:rsidRPr="008D6A5D">
        <w:rPr>
          <w:sz w:val="16"/>
          <w:szCs w:val="16"/>
        </w:rPr>
        <w:t>but 132</w:t>
      </w:r>
      <w:r w:rsidRPr="008D6A5D">
        <w:rPr>
          <w:sz w:val="16"/>
          <w:szCs w:val="16"/>
        </w:rPr>
        <w:t>%</w:t>
      </w:r>
      <w:r w:rsidR="00FB640E" w:rsidRPr="008D6A5D">
        <w:rPr>
          <w:sz w:val="16"/>
          <w:szCs w:val="16"/>
        </w:rPr>
        <w:t xml:space="preserve"> </w:t>
      </w:r>
      <w:r w:rsidR="00D6385B" w:rsidRPr="008D6A5D">
        <w:rPr>
          <w:sz w:val="16"/>
          <w:szCs w:val="16"/>
        </w:rPr>
        <w:t>higher</w:t>
      </w:r>
      <w:r w:rsidRPr="008D6A5D">
        <w:rPr>
          <w:sz w:val="16"/>
          <w:szCs w:val="16"/>
        </w:rPr>
        <w:t xml:space="preserve"> than</w:t>
      </w:r>
      <w:r w:rsidR="00724277" w:rsidRPr="008D6A5D">
        <w:rPr>
          <w:sz w:val="16"/>
          <w:szCs w:val="16"/>
        </w:rPr>
        <w:t xml:space="preserve"> a </w:t>
      </w:r>
      <w:r w:rsidRPr="008D6A5D">
        <w:rPr>
          <w:sz w:val="16"/>
          <w:szCs w:val="16"/>
        </w:rPr>
        <w:t>year ago</w:t>
      </w:r>
      <w:bookmarkEnd w:id="2"/>
    </w:p>
    <w:p w14:paraId="17E37105" w14:textId="5A09C255" w:rsidR="00B959FD" w:rsidRPr="008D6A5D" w:rsidRDefault="00B959FD" w:rsidP="00B959FD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4" w:name="_Hlk194928445"/>
      <w:r w:rsidRPr="008D6A5D">
        <w:rPr>
          <w:sz w:val="16"/>
          <w:szCs w:val="16"/>
        </w:rPr>
        <w:t>lithium hydroxide was US$</w:t>
      </w:r>
      <w:r w:rsidR="008C1311" w:rsidRPr="008D6A5D">
        <w:rPr>
          <w:sz w:val="16"/>
          <w:szCs w:val="16"/>
        </w:rPr>
        <w:t>1</w:t>
      </w:r>
      <w:r w:rsidR="00834D17" w:rsidRPr="008D6A5D">
        <w:rPr>
          <w:sz w:val="16"/>
          <w:szCs w:val="16"/>
        </w:rPr>
        <w:t>6,250</w:t>
      </w:r>
      <w:r w:rsidRPr="008D6A5D">
        <w:rPr>
          <w:sz w:val="16"/>
          <w:szCs w:val="16"/>
        </w:rPr>
        <w:t xml:space="preserve"> a tonne,</w:t>
      </w:r>
      <w:r w:rsidR="00D2723B" w:rsidRPr="008D6A5D">
        <w:rPr>
          <w:sz w:val="16"/>
          <w:szCs w:val="16"/>
        </w:rPr>
        <w:t xml:space="preserve"> </w:t>
      </w:r>
      <w:r w:rsidR="00834D17" w:rsidRPr="008D6A5D">
        <w:rPr>
          <w:sz w:val="16"/>
          <w:szCs w:val="16"/>
        </w:rPr>
        <w:t>18</w:t>
      </w:r>
      <w:r w:rsidRPr="008D6A5D">
        <w:rPr>
          <w:sz w:val="16"/>
          <w:szCs w:val="16"/>
        </w:rPr>
        <w:t xml:space="preserve">% </w:t>
      </w:r>
      <w:r w:rsidR="00D05098" w:rsidRPr="008D6A5D">
        <w:rPr>
          <w:sz w:val="16"/>
          <w:szCs w:val="16"/>
        </w:rPr>
        <w:t>higher</w:t>
      </w:r>
      <w:r w:rsidRPr="008D6A5D">
        <w:rPr>
          <w:sz w:val="16"/>
          <w:szCs w:val="16"/>
        </w:rPr>
        <w:t xml:space="preserve"> than the previous month </w:t>
      </w:r>
      <w:r w:rsidR="00451E8D" w:rsidRPr="008D6A5D">
        <w:rPr>
          <w:sz w:val="16"/>
          <w:szCs w:val="16"/>
        </w:rPr>
        <w:t>and</w:t>
      </w:r>
      <w:r w:rsidRPr="008D6A5D">
        <w:rPr>
          <w:sz w:val="16"/>
          <w:szCs w:val="16"/>
        </w:rPr>
        <w:t xml:space="preserve"> </w:t>
      </w:r>
      <w:r w:rsidR="00834D17" w:rsidRPr="008D6A5D">
        <w:rPr>
          <w:sz w:val="16"/>
          <w:szCs w:val="16"/>
        </w:rPr>
        <w:t>77</w:t>
      </w:r>
      <w:r w:rsidRPr="008D6A5D">
        <w:rPr>
          <w:sz w:val="16"/>
          <w:szCs w:val="16"/>
        </w:rPr>
        <w:t xml:space="preserve">% </w:t>
      </w:r>
      <w:r w:rsidR="00451E8D" w:rsidRPr="008D6A5D">
        <w:rPr>
          <w:sz w:val="16"/>
          <w:szCs w:val="16"/>
        </w:rPr>
        <w:t>higher</w:t>
      </w:r>
      <w:r w:rsidRPr="008D6A5D">
        <w:rPr>
          <w:sz w:val="16"/>
          <w:szCs w:val="16"/>
        </w:rPr>
        <w:t xml:space="preserve"> than a year ago</w:t>
      </w:r>
      <w:bookmarkEnd w:id="4"/>
    </w:p>
    <w:p w14:paraId="14A2022E" w14:textId="00835634" w:rsidR="00027FE6" w:rsidRPr="008D6A5D" w:rsidRDefault="00027FE6" w:rsidP="00027FE6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5" w:name="_Hlk194928436"/>
      <w:r w:rsidRPr="008D6A5D">
        <w:rPr>
          <w:sz w:val="16"/>
          <w:szCs w:val="16"/>
        </w:rPr>
        <w:t>lithium carbonate was US$</w:t>
      </w:r>
      <w:r w:rsidR="69AA1C30" w:rsidRPr="008D6A5D">
        <w:rPr>
          <w:sz w:val="16"/>
          <w:szCs w:val="16"/>
        </w:rPr>
        <w:t>1</w:t>
      </w:r>
      <w:r w:rsidR="00834D17" w:rsidRPr="008D6A5D">
        <w:rPr>
          <w:sz w:val="16"/>
          <w:szCs w:val="16"/>
        </w:rPr>
        <w:t>7,500</w:t>
      </w:r>
      <w:r w:rsidRPr="008D6A5D">
        <w:rPr>
          <w:sz w:val="16"/>
          <w:szCs w:val="16"/>
        </w:rPr>
        <w:t xml:space="preserve"> a tonne, </w:t>
      </w:r>
      <w:r w:rsidR="00834D17" w:rsidRPr="008D6A5D">
        <w:rPr>
          <w:sz w:val="16"/>
          <w:szCs w:val="16"/>
        </w:rPr>
        <w:t>27</w:t>
      </w:r>
      <w:r w:rsidRPr="008D6A5D">
        <w:rPr>
          <w:sz w:val="16"/>
          <w:szCs w:val="16"/>
        </w:rPr>
        <w:t xml:space="preserve">% </w:t>
      </w:r>
      <w:r w:rsidR="21916A7D" w:rsidRPr="008D6A5D">
        <w:rPr>
          <w:sz w:val="16"/>
          <w:szCs w:val="16"/>
        </w:rPr>
        <w:t>higher</w:t>
      </w:r>
      <w:r w:rsidR="0078320D" w:rsidRPr="008D6A5D">
        <w:rPr>
          <w:sz w:val="16"/>
          <w:szCs w:val="16"/>
        </w:rPr>
        <w:t xml:space="preserve"> </w:t>
      </w:r>
      <w:r w:rsidRPr="008D6A5D">
        <w:rPr>
          <w:sz w:val="16"/>
          <w:szCs w:val="16"/>
        </w:rPr>
        <w:t xml:space="preserve">than the previous month </w:t>
      </w:r>
      <w:r w:rsidR="00097B2F" w:rsidRPr="008D6A5D">
        <w:rPr>
          <w:sz w:val="16"/>
          <w:szCs w:val="16"/>
        </w:rPr>
        <w:t>and</w:t>
      </w:r>
      <w:r w:rsidR="0B35F9C4" w:rsidRPr="008D6A5D">
        <w:rPr>
          <w:sz w:val="16"/>
          <w:szCs w:val="16"/>
        </w:rPr>
        <w:t xml:space="preserve"> </w:t>
      </w:r>
      <w:r w:rsidR="007F69FE" w:rsidRPr="008D6A5D">
        <w:rPr>
          <w:sz w:val="16"/>
          <w:szCs w:val="16"/>
        </w:rPr>
        <w:t>75</w:t>
      </w:r>
      <w:r w:rsidRPr="008D6A5D">
        <w:rPr>
          <w:sz w:val="16"/>
          <w:szCs w:val="16"/>
        </w:rPr>
        <w:t xml:space="preserve">% </w:t>
      </w:r>
      <w:r w:rsidR="00097B2F" w:rsidRPr="008D6A5D">
        <w:rPr>
          <w:sz w:val="16"/>
          <w:szCs w:val="16"/>
        </w:rPr>
        <w:t>higher</w:t>
      </w:r>
      <w:r w:rsidRPr="008D6A5D">
        <w:rPr>
          <w:sz w:val="16"/>
          <w:szCs w:val="16"/>
        </w:rPr>
        <w:t xml:space="preserve"> than a year ago</w:t>
      </w:r>
      <w:bookmarkEnd w:id="5"/>
    </w:p>
    <w:bookmarkEnd w:id="3"/>
    <w:p w14:paraId="09BC760C" w14:textId="02A2619E" w:rsidR="00B705C0" w:rsidRPr="008D6A5D" w:rsidRDefault="00C60D61" w:rsidP="00B705C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8D6A5D">
        <w:rPr>
          <w:sz w:val="16"/>
        </w:rPr>
        <w:t xml:space="preserve">Prior to the </w:t>
      </w:r>
      <w:r w:rsidR="0054724C" w:rsidRPr="008D6A5D">
        <w:rPr>
          <w:sz w:val="16"/>
        </w:rPr>
        <w:t xml:space="preserve">early </w:t>
      </w:r>
      <w:r w:rsidRPr="008D6A5D">
        <w:rPr>
          <w:sz w:val="16"/>
        </w:rPr>
        <w:t xml:space="preserve">2026 </w:t>
      </w:r>
      <w:r w:rsidR="00F50AF0" w:rsidRPr="008D6A5D">
        <w:rPr>
          <w:sz w:val="16"/>
        </w:rPr>
        <w:t xml:space="preserve">price </w:t>
      </w:r>
      <w:r w:rsidRPr="008D6A5D">
        <w:rPr>
          <w:sz w:val="16"/>
        </w:rPr>
        <w:t>increase</w:t>
      </w:r>
      <w:r w:rsidR="0054724C" w:rsidRPr="008D6A5D">
        <w:rPr>
          <w:sz w:val="16"/>
        </w:rPr>
        <w:t>s</w:t>
      </w:r>
      <w:r w:rsidRPr="008D6A5D">
        <w:rPr>
          <w:sz w:val="16"/>
        </w:rPr>
        <w:t>, t</w:t>
      </w:r>
      <w:r w:rsidR="00B705C0" w:rsidRPr="008D6A5D">
        <w:rPr>
          <w:sz w:val="16"/>
        </w:rPr>
        <w:t>he Office of the Chief Economist forecast</w:t>
      </w:r>
      <w:r w:rsidRPr="008D6A5D">
        <w:rPr>
          <w:sz w:val="16"/>
        </w:rPr>
        <w:t>ed</w:t>
      </w:r>
      <w:r w:rsidR="00B705C0" w:rsidRPr="008D6A5D">
        <w:rPr>
          <w:sz w:val="16"/>
        </w:rPr>
        <w:t xml:space="preserve"> </w:t>
      </w:r>
      <w:r w:rsidRPr="008D6A5D">
        <w:rPr>
          <w:sz w:val="16"/>
        </w:rPr>
        <w:t>t</w:t>
      </w:r>
      <w:r w:rsidR="002A4C4F" w:rsidRPr="008D6A5D">
        <w:rPr>
          <w:sz w:val="16"/>
        </w:rPr>
        <w:t>he annual average price for:</w:t>
      </w:r>
    </w:p>
    <w:p w14:paraId="1E095FB6" w14:textId="4DF2C6EA" w:rsidR="00B705C0" w:rsidRPr="004B205B" w:rsidRDefault="002A4C4F" w:rsidP="00B705C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4B205B">
        <w:rPr>
          <w:sz w:val="16"/>
        </w:rPr>
        <w:t>l</w:t>
      </w:r>
      <w:r w:rsidR="00B705C0" w:rsidRPr="004B205B">
        <w:rPr>
          <w:sz w:val="16"/>
        </w:rPr>
        <w:t xml:space="preserve">ithium spodumene </w:t>
      </w:r>
      <w:r w:rsidR="002600A8" w:rsidRPr="004B205B">
        <w:rPr>
          <w:sz w:val="16"/>
        </w:rPr>
        <w:t>to</w:t>
      </w:r>
      <w:r w:rsidR="00B705C0" w:rsidRPr="004B205B">
        <w:rPr>
          <w:sz w:val="16"/>
        </w:rPr>
        <w:t xml:space="preserve"> be US$</w:t>
      </w:r>
      <w:r w:rsidR="008E39CD" w:rsidRPr="004B205B">
        <w:rPr>
          <w:sz w:val="16"/>
        </w:rPr>
        <w:t xml:space="preserve">900 </w:t>
      </w:r>
      <w:r w:rsidR="00B705C0" w:rsidRPr="004B205B">
        <w:rPr>
          <w:sz w:val="16"/>
        </w:rPr>
        <w:t xml:space="preserve">a tonne in </w:t>
      </w:r>
      <w:r w:rsidR="008E39CD" w:rsidRPr="004B205B">
        <w:rPr>
          <w:sz w:val="16"/>
        </w:rPr>
        <w:t xml:space="preserve">2026 </w:t>
      </w:r>
      <w:r w:rsidR="00B705C0" w:rsidRPr="004B205B">
        <w:rPr>
          <w:sz w:val="16"/>
        </w:rPr>
        <w:t>and US$</w:t>
      </w:r>
      <w:r w:rsidR="00FA5268" w:rsidRPr="004B205B">
        <w:rPr>
          <w:sz w:val="16"/>
        </w:rPr>
        <w:t xml:space="preserve">950 </w:t>
      </w:r>
      <w:r w:rsidR="00B705C0" w:rsidRPr="004B205B">
        <w:rPr>
          <w:sz w:val="16"/>
        </w:rPr>
        <w:t xml:space="preserve">a tonne in </w:t>
      </w:r>
      <w:r w:rsidR="00FA5268" w:rsidRPr="004B205B">
        <w:rPr>
          <w:sz w:val="16"/>
        </w:rPr>
        <w:t>2027</w:t>
      </w:r>
    </w:p>
    <w:p w14:paraId="26E496D7" w14:textId="58ED76E0" w:rsidR="00C30BF8" w:rsidRPr="00F55BC9" w:rsidRDefault="002A4C4F" w:rsidP="005A14C9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4B205B">
        <w:rPr>
          <w:sz w:val="16"/>
        </w:rPr>
        <w:t>l</w:t>
      </w:r>
      <w:r w:rsidR="00C30BF8" w:rsidRPr="004B205B">
        <w:rPr>
          <w:sz w:val="16"/>
        </w:rPr>
        <w:t>ithium hydroxide to be US$</w:t>
      </w:r>
      <w:r w:rsidR="00A3283D" w:rsidRPr="004B205B">
        <w:rPr>
          <w:sz w:val="16"/>
        </w:rPr>
        <w:t>10</w:t>
      </w:r>
      <w:r w:rsidR="004324F9" w:rsidRPr="004B205B">
        <w:rPr>
          <w:sz w:val="16"/>
        </w:rPr>
        <w:t>,</w:t>
      </w:r>
      <w:r w:rsidR="00A3283D" w:rsidRPr="004B205B">
        <w:rPr>
          <w:sz w:val="16"/>
        </w:rPr>
        <w:t xml:space="preserve">250 </w:t>
      </w:r>
      <w:r w:rsidR="00C30BF8" w:rsidRPr="004B205B">
        <w:rPr>
          <w:sz w:val="16"/>
        </w:rPr>
        <w:t xml:space="preserve">a tonne in </w:t>
      </w:r>
      <w:r w:rsidR="00A3283D" w:rsidRPr="004B205B">
        <w:rPr>
          <w:sz w:val="16"/>
        </w:rPr>
        <w:t xml:space="preserve">2026 </w:t>
      </w:r>
      <w:r w:rsidR="00C30BF8" w:rsidRPr="004B205B">
        <w:rPr>
          <w:sz w:val="16"/>
        </w:rPr>
        <w:t>and US$</w:t>
      </w:r>
      <w:r w:rsidR="00A3283D" w:rsidRPr="004B205B">
        <w:rPr>
          <w:sz w:val="16"/>
        </w:rPr>
        <w:t>12</w:t>
      </w:r>
      <w:r w:rsidR="004324F9" w:rsidRPr="004B205B">
        <w:rPr>
          <w:sz w:val="16"/>
        </w:rPr>
        <w:t>,</w:t>
      </w:r>
      <w:r w:rsidR="004743FB" w:rsidRPr="004B205B">
        <w:rPr>
          <w:sz w:val="16"/>
        </w:rPr>
        <w:t>250</w:t>
      </w:r>
      <w:r w:rsidR="00C30BF8" w:rsidRPr="004B205B">
        <w:rPr>
          <w:sz w:val="16"/>
        </w:rPr>
        <w:t xml:space="preserve"> a tonne in </w:t>
      </w:r>
      <w:r w:rsidR="00284BFC" w:rsidRPr="004B205B">
        <w:rPr>
          <w:sz w:val="16"/>
        </w:rPr>
        <w:t>2027</w:t>
      </w:r>
      <w:r w:rsidR="00C30BF8" w:rsidRPr="00F50AF0">
        <w:rPr>
          <w:color w:val="FF0000"/>
          <w:sz w:val="16"/>
        </w:rPr>
        <w:t>.</w:t>
      </w:r>
      <w:r w:rsidR="00C30BF8" w:rsidRPr="00F55BC9">
        <w:rPr>
          <w:sz w:val="16"/>
        </w:rPr>
        <w:br w:type="page"/>
      </w:r>
    </w:p>
    <w:p w14:paraId="5FA80ABA" w14:textId="2C496DB3" w:rsidR="00B52B91" w:rsidRPr="0042003C" w:rsidRDefault="00B52B91" w:rsidP="00C30BF8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Nickel</w:t>
      </w:r>
      <w:r w:rsidR="00345519" w:rsidRPr="0042003C">
        <w:rPr>
          <w:color w:val="004C3D"/>
          <w:sz w:val="24"/>
          <w:szCs w:val="24"/>
        </w:rPr>
        <w:t xml:space="preserve"> and cobalt</w:t>
      </w:r>
    </w:p>
    <w:p w14:paraId="2F218733" w14:textId="058C707B" w:rsidR="00BD0F4B" w:rsidRPr="003C1A0B" w:rsidRDefault="00E4571D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BD0F4B" w:rsidRPr="003C1A0B">
        <w:rPr>
          <w:b/>
          <w:bCs/>
          <w:color w:val="00997A"/>
          <w:sz w:val="20"/>
          <w:szCs w:val="20"/>
        </w:rPr>
        <w:t xml:space="preserve"> </w:t>
      </w:r>
      <w:r w:rsidR="006179B9" w:rsidRPr="003C1A0B">
        <w:rPr>
          <w:b/>
          <w:bCs/>
          <w:color w:val="00997A"/>
          <w:sz w:val="20"/>
          <w:szCs w:val="20"/>
        </w:rPr>
        <w:t xml:space="preserve">and cobalt </w:t>
      </w:r>
      <w:r w:rsidR="001E4619" w:rsidRPr="003C1A0B">
        <w:rPr>
          <w:b/>
          <w:bCs/>
          <w:color w:val="00997A"/>
          <w:sz w:val="20"/>
          <w:szCs w:val="20"/>
        </w:rPr>
        <w:t>s</w:t>
      </w:r>
      <w:r w:rsidR="00BD0F4B" w:rsidRPr="003C1A0B">
        <w:rPr>
          <w:b/>
          <w:bCs/>
          <w:color w:val="00997A"/>
          <w:sz w:val="20"/>
          <w:szCs w:val="20"/>
        </w:rPr>
        <w:t>upply</w:t>
      </w:r>
      <w:r w:rsidR="00E16C3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BD0F4B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E16C3B" w:rsidRPr="003C1A0B">
        <w:rPr>
          <w:b/>
          <w:bCs/>
          <w:color w:val="00997A"/>
          <w:sz w:val="20"/>
          <w:szCs w:val="20"/>
        </w:rPr>
        <w:t>: 2024</w:t>
      </w:r>
    </w:p>
    <w:p w14:paraId="344C822D" w14:textId="41958CD6" w:rsidR="00BD0F4B" w:rsidRPr="008B167C" w:rsidRDefault="00BE5B04" w:rsidP="007349FB">
      <w:pPr>
        <w:pStyle w:val="BodyText"/>
        <w:spacing w:after="0"/>
        <w:ind w:right="11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3706307" wp14:editId="1A23BD35">
            <wp:extent cx="1710000" cy="2091315"/>
            <wp:effectExtent l="0" t="0" r="5080" b="4445"/>
            <wp:docPr id="1893505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09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6BB5602D" wp14:editId="5120E69B">
            <wp:extent cx="1710000" cy="2116448"/>
            <wp:effectExtent l="0" t="0" r="5080" b="0"/>
            <wp:docPr id="63152518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58F6" w14:textId="529C5C9E" w:rsidR="00CD4FEB" w:rsidRPr="005C18A3" w:rsidRDefault="00BC6919" w:rsidP="00CD4FEB">
      <w:pPr>
        <w:spacing w:after="0"/>
        <w:jc w:val="both"/>
        <w:rPr>
          <w:sz w:val="10"/>
        </w:rPr>
      </w:pPr>
      <w:r>
        <w:rPr>
          <w:sz w:val="10"/>
        </w:rPr>
        <w:t xml:space="preserve">DRC = Democratic Republic of Congo. </w:t>
      </w:r>
      <w:r w:rsidR="00CD4FEB" w:rsidRPr="005C18A3">
        <w:rPr>
          <w:sz w:val="10"/>
          <w:vertAlign w:val="superscript"/>
        </w:rPr>
        <w:t>1</w:t>
      </w:r>
      <w:r w:rsidR="00CD4FEB" w:rsidRPr="005C18A3">
        <w:rPr>
          <w:sz w:val="10"/>
        </w:rPr>
        <w:t xml:space="preserve"> </w:t>
      </w:r>
      <w:r w:rsidR="00335788" w:rsidRPr="005C18A3">
        <w:rPr>
          <w:sz w:val="10"/>
        </w:rPr>
        <w:t xml:space="preserve">Nickel </w:t>
      </w:r>
      <w:r w:rsidR="009F5B24">
        <w:rPr>
          <w:sz w:val="10"/>
        </w:rPr>
        <w:t xml:space="preserve">and cobalt </w:t>
      </w:r>
      <w:r w:rsidR="00335788" w:rsidRPr="005C18A3">
        <w:rPr>
          <w:sz w:val="10"/>
        </w:rPr>
        <w:t xml:space="preserve">content from </w:t>
      </w:r>
      <w:proofErr w:type="gramStart"/>
      <w:r w:rsidR="00335788" w:rsidRPr="005C18A3">
        <w:rPr>
          <w:sz w:val="10"/>
        </w:rPr>
        <w:t>m</w:t>
      </w:r>
      <w:r w:rsidR="00CD4FEB" w:rsidRPr="005C18A3">
        <w:rPr>
          <w:sz w:val="10"/>
        </w:rPr>
        <w:t>ine</w:t>
      </w:r>
      <w:proofErr w:type="gramEnd"/>
      <w:r w:rsidR="00CD4FEB" w:rsidRPr="005C18A3">
        <w:rPr>
          <w:sz w:val="10"/>
        </w:rPr>
        <w:t xml:space="preserve"> production.</w:t>
      </w:r>
    </w:p>
    <w:p w14:paraId="1ABAB427" w14:textId="3C4910A9" w:rsidR="00CD4FEB" w:rsidRPr="00F55BC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</w:t>
      </w:r>
      <w:r w:rsidR="00FB7E06" w:rsidRPr="00F55BC9">
        <w:rPr>
          <w:rFonts w:cs="Arial"/>
          <w:sz w:val="10"/>
          <w:szCs w:val="20"/>
        </w:rPr>
        <w:t>mmodity Summaries</w:t>
      </w:r>
      <w:r w:rsidRPr="00F55BC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54FAB9" w14:textId="77777777" w:rsidR="005A18D6" w:rsidRDefault="005A18D6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5A18D6">
      <w:pPr>
        <w:pStyle w:val="BodyText"/>
        <w:spacing w:after="0"/>
        <w:jc w:val="both"/>
        <w:rPr>
          <w:sz w:val="16"/>
        </w:rPr>
      </w:pPr>
    </w:p>
    <w:p w14:paraId="495470E8" w14:textId="0B9CFAEF" w:rsidR="009451E4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is mainly used to make stainless steel</w:t>
      </w:r>
      <w:r w:rsidR="00FB78CA" w:rsidRPr="00BA6916">
        <w:rPr>
          <w:color w:val="000000" w:themeColor="text1"/>
          <w:sz w:val="16"/>
        </w:rPr>
        <w:t>.</w:t>
      </w:r>
      <w:r w:rsidRPr="00BA6916">
        <w:rPr>
          <w:color w:val="000000" w:themeColor="text1"/>
          <w:sz w:val="16"/>
        </w:rPr>
        <w:t xml:space="preserve"> </w:t>
      </w:r>
      <w:r w:rsidR="00FB78CA" w:rsidRPr="00BA6916">
        <w:rPr>
          <w:color w:val="000000" w:themeColor="text1"/>
          <w:sz w:val="16"/>
        </w:rPr>
        <w:t>A</w:t>
      </w:r>
      <w:r w:rsidRPr="00BA6916">
        <w:rPr>
          <w:color w:val="000000" w:themeColor="text1"/>
          <w:sz w:val="16"/>
        </w:rPr>
        <w:t xml:space="preserve">round 15% of the world’s nickel </w:t>
      </w:r>
      <w:r w:rsidR="00AC661D">
        <w:rPr>
          <w:color w:val="000000" w:themeColor="text1"/>
          <w:sz w:val="16"/>
        </w:rPr>
        <w:t>consumption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is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for</w:t>
      </w:r>
      <w:r w:rsidRPr="00BA6916">
        <w:rPr>
          <w:color w:val="000000" w:themeColor="text1"/>
          <w:sz w:val="16"/>
        </w:rPr>
        <w:t xml:space="preserve"> batteries.</w:t>
      </w:r>
    </w:p>
    <w:p w14:paraId="2E9F27B7" w14:textId="77777777" w:rsidR="00E16C3B" w:rsidRPr="004D20FC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is the 5th largest nickel supplier in the world, accounting for 3% of global supply in 2024.</w:t>
      </w:r>
    </w:p>
    <w:p w14:paraId="7135B314" w14:textId="3A8BC12E" w:rsidR="003C788A" w:rsidRPr="004D20FC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Indonesia </w:t>
      </w:r>
      <w:r w:rsidR="00986B1D" w:rsidRPr="004D20FC">
        <w:rPr>
          <w:sz w:val="16"/>
        </w:rPr>
        <w:t xml:space="preserve">is by far the largest nickel supplier in the world, </w:t>
      </w:r>
      <w:r w:rsidRPr="004D20FC">
        <w:rPr>
          <w:sz w:val="16"/>
        </w:rPr>
        <w:t>account</w:t>
      </w:r>
      <w:r w:rsidR="00986B1D" w:rsidRPr="004D20FC">
        <w:rPr>
          <w:sz w:val="16"/>
        </w:rPr>
        <w:t>ing</w:t>
      </w:r>
      <w:r w:rsidRPr="004D20FC">
        <w:rPr>
          <w:sz w:val="16"/>
        </w:rPr>
        <w:t xml:space="preserve"> for 5</w:t>
      </w:r>
      <w:r w:rsidR="009F3401" w:rsidRPr="004D20FC">
        <w:rPr>
          <w:sz w:val="16"/>
        </w:rPr>
        <w:t>9</w:t>
      </w:r>
      <w:r w:rsidRPr="004D20FC">
        <w:rPr>
          <w:sz w:val="16"/>
        </w:rPr>
        <w:t>% of global nickel supply in 202</w:t>
      </w:r>
      <w:r w:rsidR="009F3401" w:rsidRPr="004D20FC">
        <w:rPr>
          <w:sz w:val="16"/>
        </w:rPr>
        <w:t>4</w:t>
      </w:r>
      <w:r w:rsidRPr="004D20FC">
        <w:rPr>
          <w:sz w:val="16"/>
        </w:rPr>
        <w:t>.</w:t>
      </w:r>
    </w:p>
    <w:p w14:paraId="23E794B8" w14:textId="117AE3CA" w:rsidR="005B17EB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Cobalt is mainly used in rechargeable battery electrodes. Over 80% of the world’s consumption of cobalt is for manufacturing rechargeable batteries.</w:t>
      </w:r>
    </w:p>
    <w:p w14:paraId="3B334869" w14:textId="77777777" w:rsidR="00E16C3B" w:rsidRPr="004D20FC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is the 4th largest cobalt supplier in the world, despite accounting for only 2% of global supply in 2024.</w:t>
      </w:r>
    </w:p>
    <w:p w14:paraId="3452C101" w14:textId="1900AF37" w:rsidR="002C5F64" w:rsidRPr="004D20FC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B0F0"/>
          <w:sz w:val="16"/>
        </w:rPr>
      </w:pPr>
      <w:r w:rsidRPr="00D77F05">
        <w:rPr>
          <w:sz w:val="16"/>
        </w:rPr>
        <w:t>The D</w:t>
      </w:r>
      <w:r w:rsidR="00BC6919" w:rsidRPr="00D77F05">
        <w:rPr>
          <w:sz w:val="16"/>
        </w:rPr>
        <w:t>RC</w:t>
      </w:r>
      <w:r w:rsidRPr="00D77F05">
        <w:rPr>
          <w:sz w:val="16"/>
        </w:rPr>
        <w:t xml:space="preserve"> </w:t>
      </w:r>
      <w:r w:rsidR="00986B1D" w:rsidRPr="00D77F05">
        <w:rPr>
          <w:sz w:val="16"/>
        </w:rPr>
        <w:t xml:space="preserve">is by far the largest cobalt supplier in the world, accounting </w:t>
      </w:r>
      <w:r w:rsidRPr="00D77F05">
        <w:rPr>
          <w:sz w:val="16"/>
        </w:rPr>
        <w:t>for 7</w:t>
      </w:r>
      <w:r w:rsidR="00C815A0" w:rsidRPr="00D77F05">
        <w:rPr>
          <w:sz w:val="16"/>
        </w:rPr>
        <w:t>6</w:t>
      </w:r>
      <w:r w:rsidRPr="00D77F05">
        <w:rPr>
          <w:sz w:val="16"/>
        </w:rPr>
        <w:t>% of global cobalt supply in 202</w:t>
      </w:r>
      <w:r w:rsidR="00C815A0" w:rsidRPr="00D77F05">
        <w:rPr>
          <w:sz w:val="16"/>
        </w:rPr>
        <w:t>4</w:t>
      </w:r>
      <w:r w:rsidR="002C5F64" w:rsidRPr="004D20FC">
        <w:rPr>
          <w:color w:val="00B0F0"/>
          <w:sz w:val="16"/>
        </w:rPr>
        <w:t>.</w:t>
      </w:r>
    </w:p>
    <w:p w14:paraId="655ACFD6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CA0A49E" w14:textId="77777777" w:rsidR="00485846" w:rsidRPr="00485846" w:rsidRDefault="00485846" w:rsidP="00485846">
      <w:pPr>
        <w:pStyle w:val="BodyText"/>
        <w:spacing w:after="0"/>
        <w:jc w:val="both"/>
        <w:rPr>
          <w:sz w:val="16"/>
        </w:rPr>
      </w:pPr>
    </w:p>
    <w:p w14:paraId="76ABBE32" w14:textId="5CBAFD9F" w:rsidR="00BD0F4B" w:rsidRPr="003C1A0B" w:rsidRDefault="00A829AA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345519" w:rsidRPr="003C1A0B">
        <w:rPr>
          <w:b/>
          <w:bCs/>
          <w:color w:val="00997A"/>
          <w:sz w:val="20"/>
          <w:szCs w:val="20"/>
        </w:rPr>
        <w:t xml:space="preserve"> </w:t>
      </w:r>
      <w:r w:rsidR="00865960" w:rsidRPr="003C1A0B">
        <w:rPr>
          <w:b/>
          <w:bCs/>
          <w:color w:val="00997A"/>
          <w:sz w:val="20"/>
          <w:szCs w:val="20"/>
        </w:rPr>
        <w:t xml:space="preserve">and cobalt </w:t>
      </w:r>
      <w:r w:rsidRPr="003C1A0B">
        <w:rPr>
          <w:b/>
          <w:bCs/>
          <w:color w:val="00997A"/>
          <w:sz w:val="20"/>
          <w:szCs w:val="20"/>
        </w:rPr>
        <w:t>sales</w:t>
      </w:r>
    </w:p>
    <w:p w14:paraId="2425A855" w14:textId="380D72CB" w:rsidR="00A829AA" w:rsidRDefault="00AA520A" w:rsidP="00A829A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D20CED8" wp14:editId="623635CA">
            <wp:extent cx="1710000" cy="2103866"/>
            <wp:effectExtent l="0" t="0" r="5080" b="0"/>
            <wp:docPr id="19128309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59FCC2EE" wp14:editId="20E0D741">
            <wp:extent cx="1710000" cy="2103866"/>
            <wp:effectExtent l="0" t="0" r="5080" b="0"/>
            <wp:docPr id="18782716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2DDB" w14:textId="5F0FABDD" w:rsidR="00EB2BF0" w:rsidRPr="00530D1B" w:rsidRDefault="00EB2BF0" w:rsidP="00A829AA">
      <w:pPr>
        <w:spacing w:after="0"/>
        <w:jc w:val="both"/>
        <w:rPr>
          <w:sz w:val="10"/>
        </w:rPr>
      </w:pPr>
      <w:r w:rsidRPr="00530D1B">
        <w:rPr>
          <w:sz w:val="10"/>
        </w:rPr>
        <w:t>Index 20</w:t>
      </w:r>
      <w:r w:rsidR="00DA28B4" w:rsidRPr="00530D1B">
        <w:rPr>
          <w:sz w:val="10"/>
        </w:rPr>
        <w:t>23</w:t>
      </w:r>
      <w:r w:rsidR="00177CAC" w:rsidRPr="00530D1B">
        <w:rPr>
          <w:sz w:val="10"/>
        </w:rPr>
        <w:t>-24</w:t>
      </w:r>
      <w:r w:rsidR="00DA28B4" w:rsidRPr="00530D1B">
        <w:rPr>
          <w:sz w:val="10"/>
        </w:rPr>
        <w:t xml:space="preserve"> = 100.</w:t>
      </w:r>
    </w:p>
    <w:p w14:paraId="27E1E96C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21AAC4D" w14:textId="361C1CB3" w:rsidR="00F55BC9" w:rsidRPr="00AA520A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3FC3D1B" w14:textId="61F9B074" w:rsidR="004D4ABE" w:rsidRPr="00530D1B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T</w:t>
      </w:r>
      <w:r w:rsidR="004D4ABE" w:rsidRPr="00530D1B">
        <w:rPr>
          <w:sz w:val="16"/>
        </w:rPr>
        <w:t xml:space="preserve">he value </w:t>
      </w:r>
      <w:r w:rsidR="00C100B0" w:rsidRPr="00530D1B">
        <w:rPr>
          <w:sz w:val="16"/>
        </w:rPr>
        <w:t xml:space="preserve">of </w:t>
      </w:r>
      <w:r w:rsidR="004D4ABE" w:rsidRPr="00530D1B">
        <w:rPr>
          <w:sz w:val="16"/>
        </w:rPr>
        <w:t xml:space="preserve">Western Australia’s nickel sales fell </w:t>
      </w:r>
      <w:r w:rsidR="00FC7F9F" w:rsidRPr="00530D1B">
        <w:rPr>
          <w:sz w:val="16"/>
        </w:rPr>
        <w:t>44</w:t>
      </w:r>
      <w:r w:rsidR="004D4ABE" w:rsidRPr="00530D1B">
        <w:rPr>
          <w:sz w:val="16"/>
        </w:rPr>
        <w:t>% to $</w:t>
      </w:r>
      <w:r w:rsidR="00FC7F9F" w:rsidRPr="00530D1B">
        <w:rPr>
          <w:sz w:val="16"/>
        </w:rPr>
        <w:t>2.1</w:t>
      </w:r>
      <w:r w:rsidR="004D4ABE" w:rsidRPr="00530D1B">
        <w:rPr>
          <w:sz w:val="16"/>
        </w:rPr>
        <w:t> billion</w:t>
      </w:r>
      <w:r w:rsidRPr="00530D1B">
        <w:rPr>
          <w:sz w:val="16"/>
        </w:rPr>
        <w:t xml:space="preserve"> in 2024</w:t>
      </w:r>
      <w:r w:rsidRPr="00530D1B">
        <w:rPr>
          <w:sz w:val="16"/>
        </w:rPr>
        <w:noBreakHyphen/>
        <w:t>25</w:t>
      </w:r>
      <w:r w:rsidR="004D4ABE" w:rsidRPr="00530D1B">
        <w:rPr>
          <w:sz w:val="16"/>
        </w:rPr>
        <w:t xml:space="preserve">, </w:t>
      </w:r>
      <w:proofErr w:type="gramStart"/>
      <w:r w:rsidR="004D4ABE" w:rsidRPr="00530D1B">
        <w:rPr>
          <w:sz w:val="16"/>
        </w:rPr>
        <w:t>as a result of</w:t>
      </w:r>
      <w:proofErr w:type="gramEnd"/>
      <w:r w:rsidR="004D4ABE" w:rsidRPr="00530D1B">
        <w:rPr>
          <w:sz w:val="16"/>
        </w:rPr>
        <w:t xml:space="preserve"> the:</w:t>
      </w:r>
    </w:p>
    <w:p w14:paraId="2EC13756" w14:textId="4DD98EDE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average unit price of sales falling </w:t>
      </w:r>
      <w:r w:rsidR="000D2704" w:rsidRPr="00530D1B">
        <w:rPr>
          <w:sz w:val="16"/>
        </w:rPr>
        <w:t>11</w:t>
      </w:r>
      <w:r w:rsidRPr="00530D1B">
        <w:rPr>
          <w:sz w:val="16"/>
        </w:rPr>
        <w:t>%</w:t>
      </w:r>
    </w:p>
    <w:p w14:paraId="4574A1E7" w14:textId="1B6B9FD1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quantity of sales falling </w:t>
      </w:r>
      <w:r w:rsidR="000D2704" w:rsidRPr="00530D1B">
        <w:rPr>
          <w:sz w:val="16"/>
        </w:rPr>
        <w:t>37</w:t>
      </w:r>
      <w:r w:rsidRPr="00530D1B">
        <w:rPr>
          <w:sz w:val="16"/>
        </w:rPr>
        <w:t xml:space="preserve">% to </w:t>
      </w:r>
      <w:r w:rsidR="0072701D" w:rsidRPr="00530D1B">
        <w:rPr>
          <w:sz w:val="16"/>
        </w:rPr>
        <w:t>8</w:t>
      </w:r>
      <w:r w:rsidR="003C7400" w:rsidRPr="00530D1B">
        <w:rPr>
          <w:sz w:val="16"/>
        </w:rPr>
        <w:t>7,</w:t>
      </w:r>
      <w:r w:rsidR="000804F9" w:rsidRPr="00530D1B">
        <w:rPr>
          <w:sz w:val="16"/>
        </w:rPr>
        <w:t>927</w:t>
      </w:r>
      <w:r w:rsidRPr="00530D1B">
        <w:rPr>
          <w:sz w:val="16"/>
        </w:rPr>
        <w:t> tonnes.</w:t>
      </w:r>
    </w:p>
    <w:p w14:paraId="2673F595" w14:textId="49965CC6" w:rsidR="004D4ABE" w:rsidRPr="00530D1B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T</w:t>
      </w:r>
      <w:r w:rsidR="004D4ABE" w:rsidRPr="00530D1B">
        <w:rPr>
          <w:sz w:val="16"/>
        </w:rPr>
        <w:t xml:space="preserve">he value </w:t>
      </w:r>
      <w:r w:rsidR="00C100B0" w:rsidRPr="00530D1B">
        <w:rPr>
          <w:sz w:val="16"/>
        </w:rPr>
        <w:t xml:space="preserve">of </w:t>
      </w:r>
      <w:r w:rsidR="004D4ABE" w:rsidRPr="00530D1B">
        <w:rPr>
          <w:sz w:val="16"/>
        </w:rPr>
        <w:t xml:space="preserve">Western Australia’s cobalt sales fell </w:t>
      </w:r>
      <w:r w:rsidR="00F446CC" w:rsidRPr="00530D1B">
        <w:rPr>
          <w:sz w:val="16"/>
        </w:rPr>
        <w:t>29</w:t>
      </w:r>
      <w:r w:rsidR="004D4ABE" w:rsidRPr="00530D1B">
        <w:rPr>
          <w:sz w:val="16"/>
        </w:rPr>
        <w:t>% to $1</w:t>
      </w:r>
      <w:r w:rsidR="00F446CC" w:rsidRPr="00530D1B">
        <w:rPr>
          <w:sz w:val="16"/>
        </w:rPr>
        <w:t>79</w:t>
      </w:r>
      <w:r w:rsidR="004D4ABE" w:rsidRPr="00530D1B">
        <w:rPr>
          <w:sz w:val="16"/>
        </w:rPr>
        <w:t> million</w:t>
      </w:r>
      <w:r w:rsidRPr="00530D1B">
        <w:rPr>
          <w:sz w:val="16"/>
        </w:rPr>
        <w:t xml:space="preserve"> in 2024</w:t>
      </w:r>
      <w:r w:rsidRPr="00530D1B">
        <w:rPr>
          <w:sz w:val="16"/>
        </w:rPr>
        <w:noBreakHyphen/>
        <w:t>25</w:t>
      </w:r>
      <w:r w:rsidR="004D4ABE" w:rsidRPr="00530D1B">
        <w:rPr>
          <w:sz w:val="16"/>
        </w:rPr>
        <w:t xml:space="preserve">, </w:t>
      </w:r>
      <w:proofErr w:type="gramStart"/>
      <w:r w:rsidR="004D4ABE" w:rsidRPr="00530D1B">
        <w:rPr>
          <w:sz w:val="16"/>
        </w:rPr>
        <w:t>as a result of</w:t>
      </w:r>
      <w:proofErr w:type="gramEnd"/>
      <w:r w:rsidR="004D4ABE" w:rsidRPr="00530D1B">
        <w:rPr>
          <w:sz w:val="16"/>
        </w:rPr>
        <w:t xml:space="preserve"> the:</w:t>
      </w:r>
    </w:p>
    <w:p w14:paraId="49A126BA" w14:textId="0F10D0B7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>average unit price of sales falling 24%</w:t>
      </w:r>
    </w:p>
    <w:p w14:paraId="46577FFE" w14:textId="07DA6CB4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quantity of sales falling </w:t>
      </w:r>
      <w:r w:rsidR="00F446CC" w:rsidRPr="00530D1B">
        <w:rPr>
          <w:sz w:val="16"/>
        </w:rPr>
        <w:t>7</w:t>
      </w:r>
      <w:r w:rsidRPr="00530D1B">
        <w:rPr>
          <w:sz w:val="16"/>
        </w:rPr>
        <w:t>% to 4,77</w:t>
      </w:r>
      <w:r w:rsidR="00B507EC" w:rsidRPr="00530D1B">
        <w:rPr>
          <w:sz w:val="16"/>
        </w:rPr>
        <w:t>3</w:t>
      </w:r>
      <w:r w:rsidRPr="00530D1B">
        <w:rPr>
          <w:sz w:val="16"/>
        </w:rPr>
        <w:t> tonnes.</w:t>
      </w:r>
    </w:p>
    <w:p w14:paraId="1D556C19" w14:textId="77777777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Murrin </w:t>
      </w:r>
      <w:proofErr w:type="spellStart"/>
      <w:r w:rsidRPr="00BA6916">
        <w:rPr>
          <w:color w:val="000000" w:themeColor="text1"/>
          <w:sz w:val="16"/>
        </w:rPr>
        <w:t>Murrin</w:t>
      </w:r>
      <w:proofErr w:type="spellEnd"/>
      <w:r w:rsidRPr="00BA6916">
        <w:rPr>
          <w:color w:val="000000" w:themeColor="text1"/>
          <w:sz w:val="16"/>
        </w:rPr>
        <w:t xml:space="preserve"> is Western Australia’s largest nickel mine, accounting for 35% of the State’s paid nickel mine production in 2024. The Murrin </w:t>
      </w:r>
      <w:proofErr w:type="spellStart"/>
      <w:r w:rsidRPr="00BA6916">
        <w:rPr>
          <w:color w:val="000000" w:themeColor="text1"/>
          <w:sz w:val="16"/>
        </w:rPr>
        <w:t>Murrin</w:t>
      </w:r>
      <w:proofErr w:type="spellEnd"/>
      <w:r w:rsidRPr="00BA6916">
        <w:rPr>
          <w:color w:val="000000" w:themeColor="text1"/>
          <w:sz w:val="16"/>
        </w:rPr>
        <w:t xml:space="preserve"> mine also accounted for 82% of the State’s paid cobalt mine production in 2024.</w:t>
      </w:r>
    </w:p>
    <w:p w14:paraId="55B41144" w14:textId="345CD9B5" w:rsidR="000913CC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BHP suspen</w:t>
      </w:r>
      <w:r w:rsidR="0065684B" w:rsidRPr="00BA6916">
        <w:rPr>
          <w:color w:val="000000" w:themeColor="text1"/>
          <w:sz w:val="16"/>
        </w:rPr>
        <w:t xml:space="preserve">ded </w:t>
      </w:r>
      <w:r w:rsidRPr="00BA6916">
        <w:rPr>
          <w:color w:val="000000" w:themeColor="text1"/>
          <w:sz w:val="16"/>
        </w:rPr>
        <w:t xml:space="preserve">its Nickel West operations </w:t>
      </w:r>
      <w:r w:rsidR="0065684B" w:rsidRPr="00BA6916">
        <w:rPr>
          <w:color w:val="000000" w:themeColor="text1"/>
          <w:sz w:val="16"/>
        </w:rPr>
        <w:t xml:space="preserve">in </w:t>
      </w:r>
      <w:r w:rsidRPr="00BA6916">
        <w:rPr>
          <w:color w:val="000000" w:themeColor="text1"/>
          <w:sz w:val="16"/>
        </w:rPr>
        <w:t>October 2024. Nickel West’s two largest mines, Mt Keith and Leinster, accounted for 33% of the State’s paid nickel mine production in 2024</w:t>
      </w:r>
      <w:r w:rsidR="000913CC" w:rsidRPr="00BA6916">
        <w:rPr>
          <w:color w:val="000000" w:themeColor="text1"/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9D063F8" w14:textId="77777777" w:rsidR="00485846" w:rsidRPr="00485846" w:rsidRDefault="00485846" w:rsidP="00485846">
      <w:pPr>
        <w:pStyle w:val="BodyText"/>
        <w:spacing w:after="0"/>
        <w:jc w:val="both"/>
        <w:rPr>
          <w:sz w:val="16"/>
        </w:rPr>
      </w:pPr>
    </w:p>
    <w:p w14:paraId="20FF4B4A" w14:textId="7E2D4581" w:rsidR="00B83F7B" w:rsidRPr="003C1A0B" w:rsidRDefault="00B83F7B" w:rsidP="00B83F7B">
      <w:pPr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Nickel and cobalt prices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27D7238" w14:textId="74447F40" w:rsidR="00276F5F" w:rsidRPr="00276F5F" w:rsidRDefault="004659D0" w:rsidP="00B83F7B">
      <w:pPr>
        <w:spacing w:after="0"/>
        <w:jc w:val="both"/>
      </w:pPr>
      <w:r>
        <w:rPr>
          <w:noProof/>
        </w:rPr>
        <w:drawing>
          <wp:inline distT="0" distB="0" distL="0" distR="0" wp14:anchorId="69C0E454" wp14:editId="296B9607">
            <wp:extent cx="3420000" cy="2100731"/>
            <wp:effectExtent l="0" t="0" r="9525" b="0"/>
            <wp:docPr id="16650868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393D" w14:textId="1D8B338D" w:rsidR="00B83F7B" w:rsidRPr="00C465F6" w:rsidRDefault="00A171B5" w:rsidP="00B83F7B">
      <w:pPr>
        <w:spacing w:after="0"/>
        <w:jc w:val="both"/>
        <w:rPr>
          <w:sz w:val="10"/>
        </w:rPr>
      </w:pPr>
      <w:r w:rsidRPr="0056014A">
        <w:rPr>
          <w:sz w:val="10"/>
          <w:vertAlign w:val="superscript"/>
        </w:rPr>
        <w:t>1</w:t>
      </w:r>
      <w:r w:rsidRPr="0056014A">
        <w:rPr>
          <w:sz w:val="10"/>
        </w:rPr>
        <w:t xml:space="preserve"> Price per tonne. </w:t>
      </w:r>
      <w:r w:rsidR="00B83F7B" w:rsidRPr="00C465F6">
        <w:rPr>
          <w:sz w:val="10"/>
        </w:rPr>
        <w:t>London Metal Exchange (LME) Cash.</w:t>
      </w:r>
    </w:p>
    <w:p w14:paraId="2FB4BE64" w14:textId="77777777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Source: S&amp;P Global Market Intelligence.</w:t>
      </w:r>
    </w:p>
    <w:p w14:paraId="43F8C504" w14:textId="77777777" w:rsidR="00B83F7B" w:rsidRPr="00737EBF" w:rsidRDefault="00B83F7B" w:rsidP="00B83F7B">
      <w:pPr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114A73D5" w14:textId="77777777" w:rsidR="00737EBF" w:rsidRPr="00F55BC9" w:rsidRDefault="00737EBF" w:rsidP="00B83F7B">
      <w:pPr>
        <w:spacing w:after="0"/>
        <w:jc w:val="both"/>
        <w:rPr>
          <w:sz w:val="16"/>
        </w:rPr>
      </w:pPr>
    </w:p>
    <w:p w14:paraId="0E21DFF8" w14:textId="77777777" w:rsidR="00470801" w:rsidRDefault="00B83F7B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Nickel and cobalt prices fell sharply in 202</w:t>
      </w:r>
      <w:r w:rsidR="002600A8" w:rsidRPr="00F55BC9">
        <w:rPr>
          <w:sz w:val="16"/>
        </w:rPr>
        <w:t>3</w:t>
      </w:r>
      <w:r w:rsidRPr="00F55BC9">
        <w:rPr>
          <w:sz w:val="16"/>
        </w:rPr>
        <w:t xml:space="preserve"> </w:t>
      </w:r>
      <w:r w:rsidR="002600A8" w:rsidRPr="00F55BC9">
        <w:rPr>
          <w:sz w:val="16"/>
        </w:rPr>
        <w:t xml:space="preserve">and 2024 </w:t>
      </w:r>
      <w:r w:rsidRPr="00F55BC9">
        <w:rPr>
          <w:sz w:val="16"/>
        </w:rPr>
        <w:t>as global supply rose and demand from China’s electric vehicle sector weakened.</w:t>
      </w:r>
    </w:p>
    <w:p w14:paraId="39AAF741" w14:textId="76D49988" w:rsidR="00B83F7B" w:rsidRPr="00F55BC9" w:rsidRDefault="007D6578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716A1A">
        <w:rPr>
          <w:sz w:val="16"/>
        </w:rPr>
        <w:t>The cobalt price increased sharply in March</w:t>
      </w:r>
      <w:r w:rsidR="00C872B7" w:rsidRPr="00716A1A">
        <w:rPr>
          <w:sz w:val="16"/>
        </w:rPr>
        <w:t> </w:t>
      </w:r>
      <w:r w:rsidRPr="00716A1A">
        <w:rPr>
          <w:sz w:val="16"/>
        </w:rPr>
        <w:t>2025 after the DRC announced an export ban</w:t>
      </w:r>
      <w:r w:rsidR="00C872B7" w:rsidRPr="00716A1A">
        <w:rPr>
          <w:sz w:val="16"/>
        </w:rPr>
        <w:t>.</w:t>
      </w:r>
      <w:r w:rsidRPr="00716A1A">
        <w:rPr>
          <w:sz w:val="16"/>
        </w:rPr>
        <w:t xml:space="preserve"> </w:t>
      </w:r>
      <w:r w:rsidR="00CC00A1">
        <w:rPr>
          <w:sz w:val="16"/>
        </w:rPr>
        <w:t>There was a further increase in</w:t>
      </w:r>
      <w:r w:rsidRPr="00716A1A">
        <w:rPr>
          <w:sz w:val="16"/>
        </w:rPr>
        <w:t xml:space="preserve"> September 2025 </w:t>
      </w:r>
      <w:r w:rsidR="00CC00A1">
        <w:rPr>
          <w:sz w:val="16"/>
        </w:rPr>
        <w:t>after the DRC</w:t>
      </w:r>
      <w:r w:rsidR="00C872B7" w:rsidRPr="00716A1A">
        <w:rPr>
          <w:sz w:val="16"/>
        </w:rPr>
        <w:t xml:space="preserve"> announced the </w:t>
      </w:r>
      <w:r w:rsidRPr="00716A1A">
        <w:rPr>
          <w:sz w:val="16"/>
        </w:rPr>
        <w:t xml:space="preserve">export ban </w:t>
      </w:r>
      <w:r w:rsidR="00C872B7" w:rsidRPr="00716A1A">
        <w:rPr>
          <w:sz w:val="16"/>
        </w:rPr>
        <w:t>would be replaced with</w:t>
      </w:r>
      <w:r w:rsidRPr="00716A1A">
        <w:rPr>
          <w:sz w:val="16"/>
        </w:rPr>
        <w:t xml:space="preserve"> a quota system that will remain in place until at least 2027</w:t>
      </w:r>
      <w:r w:rsidR="00C219AE">
        <w:rPr>
          <w:sz w:val="16"/>
        </w:rPr>
        <w:t>.</w:t>
      </w:r>
    </w:p>
    <w:p w14:paraId="7A0CC1EE" w14:textId="07084EF7" w:rsidR="00B959FD" w:rsidRPr="008D6A5D" w:rsidRDefault="00B959FD" w:rsidP="00B959FD">
      <w:pPr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bookmarkStart w:id="6" w:name="_Hlk194928479"/>
      <w:r w:rsidRPr="008D6A5D">
        <w:rPr>
          <w:sz w:val="16"/>
          <w:szCs w:val="16"/>
        </w:rPr>
        <w:t xml:space="preserve">In </w:t>
      </w:r>
      <w:r w:rsidR="00C95F5C" w:rsidRPr="008D6A5D">
        <w:rPr>
          <w:sz w:val="16"/>
          <w:szCs w:val="16"/>
        </w:rPr>
        <w:t>February</w:t>
      </w:r>
      <w:r w:rsidR="58D73AED" w:rsidRPr="008D6A5D">
        <w:rPr>
          <w:sz w:val="16"/>
          <w:szCs w:val="16"/>
        </w:rPr>
        <w:t xml:space="preserve"> </w:t>
      </w:r>
      <w:r w:rsidRPr="008D6A5D">
        <w:rPr>
          <w:sz w:val="16"/>
          <w:szCs w:val="16"/>
        </w:rPr>
        <w:t>202</w:t>
      </w:r>
      <w:r w:rsidR="00A5622A" w:rsidRPr="008D6A5D">
        <w:rPr>
          <w:sz w:val="16"/>
          <w:szCs w:val="16"/>
        </w:rPr>
        <w:t>6</w:t>
      </w:r>
      <w:r w:rsidRPr="008D6A5D">
        <w:rPr>
          <w:sz w:val="16"/>
          <w:szCs w:val="16"/>
        </w:rPr>
        <w:t>, the monthly average price for:</w:t>
      </w:r>
    </w:p>
    <w:p w14:paraId="5678CE55" w14:textId="2B9305DD" w:rsidR="00B959FD" w:rsidRPr="008D6A5D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8D6A5D">
        <w:rPr>
          <w:sz w:val="16"/>
          <w:szCs w:val="16"/>
        </w:rPr>
        <w:t>nickel was US$</w:t>
      </w:r>
      <w:r w:rsidR="00F56E93" w:rsidRPr="008D6A5D">
        <w:rPr>
          <w:sz w:val="16"/>
          <w:szCs w:val="16"/>
        </w:rPr>
        <w:t>1</w:t>
      </w:r>
      <w:r w:rsidR="00A5622A" w:rsidRPr="008D6A5D">
        <w:rPr>
          <w:sz w:val="16"/>
          <w:szCs w:val="16"/>
        </w:rPr>
        <w:t>7,</w:t>
      </w:r>
      <w:r w:rsidR="00277402" w:rsidRPr="008D6A5D">
        <w:rPr>
          <w:sz w:val="16"/>
          <w:szCs w:val="16"/>
        </w:rPr>
        <w:t>641</w:t>
      </w:r>
      <w:r w:rsidRPr="008D6A5D">
        <w:rPr>
          <w:sz w:val="16"/>
          <w:szCs w:val="16"/>
        </w:rPr>
        <w:t xml:space="preserve"> a tonne,</w:t>
      </w:r>
      <w:r w:rsidR="00A5622A" w:rsidRPr="008D6A5D">
        <w:rPr>
          <w:sz w:val="16"/>
          <w:szCs w:val="16"/>
        </w:rPr>
        <w:t xml:space="preserve"> </w:t>
      </w:r>
      <w:r w:rsidR="00277402" w:rsidRPr="008D6A5D">
        <w:rPr>
          <w:sz w:val="16"/>
          <w:szCs w:val="16"/>
        </w:rPr>
        <w:t>1</w:t>
      </w:r>
      <w:r w:rsidRPr="008D6A5D">
        <w:rPr>
          <w:sz w:val="16"/>
          <w:szCs w:val="16"/>
        </w:rPr>
        <w:t xml:space="preserve">% </w:t>
      </w:r>
      <w:r w:rsidR="00277402" w:rsidRPr="008D6A5D">
        <w:rPr>
          <w:sz w:val="16"/>
          <w:szCs w:val="16"/>
        </w:rPr>
        <w:t>lower</w:t>
      </w:r>
      <w:r w:rsidRPr="008D6A5D">
        <w:rPr>
          <w:sz w:val="16"/>
          <w:szCs w:val="16"/>
        </w:rPr>
        <w:t xml:space="preserve"> than the previous month</w:t>
      </w:r>
      <w:r w:rsidR="004D3505" w:rsidRPr="008D6A5D">
        <w:rPr>
          <w:sz w:val="16"/>
          <w:szCs w:val="16"/>
        </w:rPr>
        <w:t>,</w:t>
      </w:r>
      <w:r w:rsidRPr="008D6A5D">
        <w:rPr>
          <w:sz w:val="16"/>
          <w:szCs w:val="16"/>
        </w:rPr>
        <w:t xml:space="preserve"> </w:t>
      </w:r>
      <w:r w:rsidR="00277402" w:rsidRPr="008D6A5D">
        <w:rPr>
          <w:sz w:val="16"/>
          <w:szCs w:val="16"/>
        </w:rPr>
        <w:t>but</w:t>
      </w:r>
      <w:r w:rsidRPr="008D6A5D">
        <w:rPr>
          <w:sz w:val="16"/>
          <w:szCs w:val="16"/>
        </w:rPr>
        <w:t xml:space="preserve"> </w:t>
      </w:r>
      <w:r w:rsidR="00277402" w:rsidRPr="008D6A5D">
        <w:rPr>
          <w:sz w:val="16"/>
          <w:szCs w:val="16"/>
        </w:rPr>
        <w:t>16</w:t>
      </w:r>
      <w:r w:rsidRPr="008D6A5D">
        <w:rPr>
          <w:sz w:val="16"/>
          <w:szCs w:val="16"/>
        </w:rPr>
        <w:t xml:space="preserve">% </w:t>
      </w:r>
      <w:r w:rsidR="00E15F4A" w:rsidRPr="008D6A5D">
        <w:rPr>
          <w:sz w:val="16"/>
          <w:szCs w:val="16"/>
        </w:rPr>
        <w:t>higher</w:t>
      </w:r>
      <w:r w:rsidRPr="008D6A5D">
        <w:rPr>
          <w:sz w:val="16"/>
          <w:szCs w:val="16"/>
        </w:rPr>
        <w:t xml:space="preserve"> than a year ago</w:t>
      </w:r>
      <w:r w:rsidR="00DE6EE9" w:rsidRPr="008D6A5D">
        <w:rPr>
          <w:sz w:val="16"/>
          <w:szCs w:val="16"/>
        </w:rPr>
        <w:t>.</w:t>
      </w:r>
    </w:p>
    <w:p w14:paraId="7AA4FAA3" w14:textId="168F5071" w:rsidR="00525E02" w:rsidRPr="008D6A5D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8D6A5D">
        <w:rPr>
          <w:sz w:val="16"/>
          <w:szCs w:val="16"/>
        </w:rPr>
        <w:t>cobalt was US$</w:t>
      </w:r>
      <w:r w:rsidR="00E15F4A" w:rsidRPr="008D6A5D">
        <w:rPr>
          <w:sz w:val="16"/>
          <w:szCs w:val="16"/>
        </w:rPr>
        <w:t>5</w:t>
      </w:r>
      <w:r w:rsidR="00A5622A" w:rsidRPr="008D6A5D">
        <w:rPr>
          <w:sz w:val="16"/>
          <w:szCs w:val="16"/>
        </w:rPr>
        <w:t>5,</w:t>
      </w:r>
      <w:r w:rsidR="00003CE6" w:rsidRPr="008D6A5D">
        <w:rPr>
          <w:sz w:val="16"/>
          <w:szCs w:val="16"/>
        </w:rPr>
        <w:t>873</w:t>
      </w:r>
      <w:r w:rsidRPr="008D6A5D">
        <w:rPr>
          <w:sz w:val="16"/>
          <w:szCs w:val="16"/>
        </w:rPr>
        <w:t xml:space="preserve"> a tonne, </w:t>
      </w:r>
      <w:r w:rsidR="001465BE" w:rsidRPr="008D6A5D">
        <w:rPr>
          <w:sz w:val="16"/>
          <w:szCs w:val="16"/>
        </w:rPr>
        <w:t>0.1% lower</w:t>
      </w:r>
      <w:r w:rsidR="00003CE6" w:rsidRPr="008D6A5D">
        <w:rPr>
          <w:sz w:val="16"/>
          <w:szCs w:val="16"/>
        </w:rPr>
        <w:t xml:space="preserve"> </w:t>
      </w:r>
      <w:r w:rsidR="001465BE" w:rsidRPr="008D6A5D">
        <w:rPr>
          <w:sz w:val="16"/>
          <w:szCs w:val="16"/>
        </w:rPr>
        <w:t>than</w:t>
      </w:r>
      <w:r w:rsidR="00F56E93" w:rsidRPr="008D6A5D">
        <w:rPr>
          <w:sz w:val="16"/>
          <w:szCs w:val="16"/>
        </w:rPr>
        <w:t xml:space="preserve"> </w:t>
      </w:r>
      <w:r w:rsidRPr="008D6A5D">
        <w:rPr>
          <w:sz w:val="16"/>
          <w:szCs w:val="16"/>
        </w:rPr>
        <w:t>the previous month</w:t>
      </w:r>
      <w:r w:rsidR="00ED4704" w:rsidRPr="008D6A5D">
        <w:rPr>
          <w:sz w:val="16"/>
          <w:szCs w:val="16"/>
        </w:rPr>
        <w:t xml:space="preserve">, </w:t>
      </w:r>
      <w:r w:rsidR="00003CE6" w:rsidRPr="008D6A5D">
        <w:rPr>
          <w:sz w:val="16"/>
          <w:szCs w:val="16"/>
        </w:rPr>
        <w:t>but</w:t>
      </w:r>
      <w:r w:rsidR="4ECCA1D4" w:rsidRPr="008D6A5D">
        <w:rPr>
          <w:sz w:val="16"/>
          <w:szCs w:val="16"/>
        </w:rPr>
        <w:t xml:space="preserve"> </w:t>
      </w:r>
      <w:r w:rsidR="000845E9" w:rsidRPr="008D6A5D">
        <w:rPr>
          <w:sz w:val="16"/>
          <w:szCs w:val="16"/>
        </w:rPr>
        <w:t>1</w:t>
      </w:r>
      <w:r w:rsidR="00F02408" w:rsidRPr="008D6A5D">
        <w:rPr>
          <w:sz w:val="16"/>
          <w:szCs w:val="16"/>
        </w:rPr>
        <w:t>35</w:t>
      </w:r>
      <w:r w:rsidRPr="008D6A5D">
        <w:rPr>
          <w:sz w:val="16"/>
          <w:szCs w:val="16"/>
        </w:rPr>
        <w:t>% higher than a year ago</w:t>
      </w:r>
      <w:r w:rsidR="00525E02" w:rsidRPr="008D6A5D">
        <w:rPr>
          <w:sz w:val="16"/>
          <w:szCs w:val="16"/>
        </w:rPr>
        <w:t>.</w:t>
      </w:r>
      <w:bookmarkEnd w:id="6"/>
    </w:p>
    <w:p w14:paraId="5203429B" w14:textId="06F7EE79" w:rsidR="007D6578" w:rsidRPr="003D3E2F" w:rsidRDefault="00276F5F" w:rsidP="00DA568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3D3E2F">
        <w:rPr>
          <w:sz w:val="16"/>
        </w:rPr>
        <w:t>The annual average price for</w:t>
      </w:r>
      <w:r w:rsidR="007D6578" w:rsidRPr="003D3E2F">
        <w:rPr>
          <w:sz w:val="16"/>
        </w:rPr>
        <w:t>:</w:t>
      </w:r>
    </w:p>
    <w:p w14:paraId="2BA9F643" w14:textId="0FD2F364" w:rsidR="002600A8" w:rsidRPr="003D3E2F" w:rsidRDefault="00054BCE" w:rsidP="007D6578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3D3E2F">
        <w:rPr>
          <w:sz w:val="16"/>
        </w:rPr>
        <w:t>nickel was US$</w:t>
      </w:r>
      <w:r w:rsidR="00FE185F" w:rsidRPr="003D3E2F">
        <w:rPr>
          <w:sz w:val="16"/>
        </w:rPr>
        <w:t>1</w:t>
      </w:r>
      <w:r w:rsidR="00FE185F">
        <w:rPr>
          <w:sz w:val="16"/>
        </w:rPr>
        <w:t>5</w:t>
      </w:r>
      <w:r w:rsidRPr="003D3E2F">
        <w:rPr>
          <w:sz w:val="16"/>
        </w:rPr>
        <w:t>,</w:t>
      </w:r>
      <w:r w:rsidR="00FE185F">
        <w:rPr>
          <w:sz w:val="16"/>
        </w:rPr>
        <w:t>269</w:t>
      </w:r>
      <w:r w:rsidR="00FE185F" w:rsidRPr="003D3E2F">
        <w:rPr>
          <w:sz w:val="16"/>
        </w:rPr>
        <w:t xml:space="preserve"> </w:t>
      </w:r>
      <w:r w:rsidRPr="003D3E2F">
        <w:rPr>
          <w:sz w:val="16"/>
        </w:rPr>
        <w:t xml:space="preserve">a tonne in </w:t>
      </w:r>
      <w:r w:rsidR="00FE185F" w:rsidRPr="003D3E2F">
        <w:rPr>
          <w:sz w:val="16"/>
        </w:rPr>
        <w:t>202</w:t>
      </w:r>
      <w:r w:rsidR="00FE185F">
        <w:rPr>
          <w:sz w:val="16"/>
        </w:rPr>
        <w:t>5</w:t>
      </w:r>
      <w:r w:rsidRPr="003D3E2F">
        <w:rPr>
          <w:sz w:val="16"/>
        </w:rPr>
        <w:t>, with the Office of the Chief Economist forecasting a price of US$15,</w:t>
      </w:r>
      <w:r w:rsidR="00FE185F">
        <w:rPr>
          <w:sz w:val="16"/>
        </w:rPr>
        <w:t>860</w:t>
      </w:r>
      <w:r w:rsidR="00FE185F" w:rsidRPr="003D3E2F">
        <w:rPr>
          <w:sz w:val="16"/>
        </w:rPr>
        <w:t xml:space="preserve"> </w:t>
      </w:r>
      <w:r w:rsidRPr="003D3E2F">
        <w:rPr>
          <w:sz w:val="16"/>
        </w:rPr>
        <w:t xml:space="preserve">a tonne in </w:t>
      </w:r>
      <w:r w:rsidR="00FE185F" w:rsidRPr="003D3E2F">
        <w:rPr>
          <w:sz w:val="16"/>
        </w:rPr>
        <w:t>202</w:t>
      </w:r>
      <w:r w:rsidR="00FE185F">
        <w:rPr>
          <w:sz w:val="16"/>
        </w:rPr>
        <w:t>6</w:t>
      </w:r>
      <w:r w:rsidR="00FE185F" w:rsidRPr="003D3E2F">
        <w:rPr>
          <w:sz w:val="16"/>
        </w:rPr>
        <w:t xml:space="preserve"> </w:t>
      </w:r>
      <w:r w:rsidRPr="003D3E2F">
        <w:rPr>
          <w:sz w:val="16"/>
        </w:rPr>
        <w:t>and US$16,</w:t>
      </w:r>
      <w:r w:rsidR="00FE185F">
        <w:rPr>
          <w:sz w:val="16"/>
        </w:rPr>
        <w:t>770</w:t>
      </w:r>
      <w:r w:rsidR="00FE185F" w:rsidRPr="003D3E2F">
        <w:rPr>
          <w:sz w:val="16"/>
        </w:rPr>
        <w:t xml:space="preserve"> </w:t>
      </w:r>
      <w:r w:rsidRPr="003D3E2F">
        <w:rPr>
          <w:sz w:val="16"/>
        </w:rPr>
        <w:t xml:space="preserve">a tonne in </w:t>
      </w:r>
      <w:r w:rsidR="00FE185F" w:rsidRPr="003D3E2F">
        <w:rPr>
          <w:sz w:val="16"/>
        </w:rPr>
        <w:t>202</w:t>
      </w:r>
      <w:r w:rsidR="00FE185F">
        <w:rPr>
          <w:sz w:val="16"/>
        </w:rPr>
        <w:t>7</w:t>
      </w:r>
    </w:p>
    <w:p w14:paraId="04DD9497" w14:textId="1A2208E1" w:rsidR="00BD0F4B" w:rsidRPr="00C872B7" w:rsidRDefault="00054BCE" w:rsidP="005A14C9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3D3E2F">
        <w:rPr>
          <w:sz w:val="16"/>
        </w:rPr>
        <w:t>cobalt was US$</w:t>
      </w:r>
      <w:r w:rsidR="00C20F1C">
        <w:rPr>
          <w:sz w:val="16"/>
        </w:rPr>
        <w:t>3</w:t>
      </w:r>
      <w:r w:rsidR="00706A3F">
        <w:rPr>
          <w:sz w:val="16"/>
        </w:rPr>
        <w:t>6</w:t>
      </w:r>
      <w:r w:rsidRPr="003D3E2F">
        <w:rPr>
          <w:sz w:val="16"/>
        </w:rPr>
        <w:t>,</w:t>
      </w:r>
      <w:r w:rsidR="00706A3F">
        <w:rPr>
          <w:sz w:val="16"/>
        </w:rPr>
        <w:t>801</w:t>
      </w:r>
      <w:r w:rsidR="00706A3F" w:rsidRPr="003D3E2F">
        <w:rPr>
          <w:sz w:val="16"/>
        </w:rPr>
        <w:t xml:space="preserve"> </w:t>
      </w:r>
      <w:r w:rsidRPr="003D3E2F">
        <w:rPr>
          <w:sz w:val="16"/>
        </w:rPr>
        <w:t xml:space="preserve">a tonne in </w:t>
      </w:r>
      <w:r w:rsidR="00706A3F" w:rsidRPr="003D3E2F">
        <w:rPr>
          <w:sz w:val="16"/>
        </w:rPr>
        <w:t>202</w:t>
      </w:r>
      <w:r w:rsidR="00706A3F">
        <w:rPr>
          <w:sz w:val="16"/>
        </w:rPr>
        <w:t>5</w:t>
      </w:r>
      <w:r w:rsidRPr="003D3E2F">
        <w:rPr>
          <w:sz w:val="16"/>
        </w:rPr>
        <w:t xml:space="preserve">, </w:t>
      </w:r>
      <w:r w:rsidR="00C872B7" w:rsidRPr="003D3E2F">
        <w:rPr>
          <w:sz w:val="16"/>
        </w:rPr>
        <w:t xml:space="preserve">with </w:t>
      </w:r>
      <w:r w:rsidR="00DC2966" w:rsidRPr="003D3E2F">
        <w:rPr>
          <w:sz w:val="16"/>
        </w:rPr>
        <w:t xml:space="preserve">S&amp;P Global Market Intelligence </w:t>
      </w:r>
      <w:r w:rsidRPr="003D3E2F">
        <w:rPr>
          <w:sz w:val="16"/>
        </w:rPr>
        <w:t>forecast</w:t>
      </w:r>
      <w:r w:rsidR="00C872B7" w:rsidRPr="003D3E2F">
        <w:rPr>
          <w:sz w:val="16"/>
        </w:rPr>
        <w:t>ing</w:t>
      </w:r>
      <w:r w:rsidR="00DC2966" w:rsidRPr="003D3E2F">
        <w:rPr>
          <w:sz w:val="16"/>
        </w:rPr>
        <w:t xml:space="preserve"> </w:t>
      </w:r>
      <w:r w:rsidR="00276F5F" w:rsidRPr="003D3E2F">
        <w:rPr>
          <w:sz w:val="16"/>
        </w:rPr>
        <w:t>a</w:t>
      </w:r>
      <w:r w:rsidR="00DC2966" w:rsidRPr="003D3E2F">
        <w:rPr>
          <w:sz w:val="16"/>
        </w:rPr>
        <w:t xml:space="preserve"> price of US$</w:t>
      </w:r>
      <w:r w:rsidR="00706A3F">
        <w:rPr>
          <w:sz w:val="16"/>
        </w:rPr>
        <w:t>57</w:t>
      </w:r>
      <w:r w:rsidR="003F295E" w:rsidRPr="003D3E2F">
        <w:rPr>
          <w:sz w:val="16"/>
        </w:rPr>
        <w:t>,</w:t>
      </w:r>
      <w:r w:rsidR="00706A3F">
        <w:rPr>
          <w:sz w:val="16"/>
        </w:rPr>
        <w:t>771</w:t>
      </w:r>
      <w:r w:rsidR="00706A3F" w:rsidRPr="003D3E2F">
        <w:rPr>
          <w:sz w:val="16"/>
        </w:rPr>
        <w:t xml:space="preserve"> </w:t>
      </w:r>
      <w:r w:rsidR="00DC2966" w:rsidRPr="003D3E2F">
        <w:rPr>
          <w:sz w:val="16"/>
        </w:rPr>
        <w:t xml:space="preserve">a tonne in </w:t>
      </w:r>
      <w:r w:rsidR="00797D31" w:rsidRPr="003D3E2F">
        <w:rPr>
          <w:sz w:val="16"/>
        </w:rPr>
        <w:t>202</w:t>
      </w:r>
      <w:r w:rsidR="00797D31">
        <w:rPr>
          <w:sz w:val="16"/>
        </w:rPr>
        <w:t>6</w:t>
      </w:r>
      <w:r w:rsidR="00797D31" w:rsidRPr="003D3E2F">
        <w:rPr>
          <w:sz w:val="16"/>
        </w:rPr>
        <w:t xml:space="preserve"> </w:t>
      </w:r>
      <w:r w:rsidR="00DC2966" w:rsidRPr="003D3E2F">
        <w:rPr>
          <w:sz w:val="16"/>
        </w:rPr>
        <w:t>and US$</w:t>
      </w:r>
      <w:r w:rsidR="00797D31">
        <w:rPr>
          <w:sz w:val="16"/>
        </w:rPr>
        <w:t>51</w:t>
      </w:r>
      <w:r w:rsidR="00DC2966" w:rsidRPr="003D3E2F">
        <w:rPr>
          <w:sz w:val="16"/>
        </w:rPr>
        <w:t>,</w:t>
      </w:r>
      <w:r w:rsidR="00797D31">
        <w:rPr>
          <w:sz w:val="16"/>
        </w:rPr>
        <w:t>178</w:t>
      </w:r>
      <w:r w:rsidR="00797D31" w:rsidRPr="003D3E2F">
        <w:rPr>
          <w:sz w:val="16"/>
        </w:rPr>
        <w:t xml:space="preserve"> </w:t>
      </w:r>
      <w:r w:rsidR="00DC2966" w:rsidRPr="003D3E2F">
        <w:rPr>
          <w:sz w:val="16"/>
        </w:rPr>
        <w:t xml:space="preserve">a tonne in </w:t>
      </w:r>
      <w:r w:rsidR="00797D31" w:rsidRPr="003D3E2F">
        <w:rPr>
          <w:sz w:val="16"/>
        </w:rPr>
        <w:t>202</w:t>
      </w:r>
      <w:r w:rsidR="00797D31">
        <w:rPr>
          <w:sz w:val="16"/>
        </w:rPr>
        <w:t>7</w:t>
      </w:r>
      <w:r w:rsidR="003F295E" w:rsidRPr="003D3E2F">
        <w:rPr>
          <w:sz w:val="16"/>
        </w:rPr>
        <w:t>.</w:t>
      </w:r>
      <w:r w:rsidR="00BD0F4B" w:rsidRPr="00C872B7">
        <w:rPr>
          <w:sz w:val="16"/>
        </w:rPr>
        <w:br w:type="page"/>
      </w:r>
    </w:p>
    <w:p w14:paraId="66026D16" w14:textId="0ED5197D" w:rsidR="00B52B91" w:rsidRPr="0042003C" w:rsidRDefault="00B52B91" w:rsidP="00B52B91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Rare earths</w:t>
      </w:r>
    </w:p>
    <w:p w14:paraId="5447BE59" w14:textId="1B32BFC6" w:rsidR="00062482" w:rsidRPr="003C1A0B" w:rsidRDefault="00E4571D" w:rsidP="00062482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062482" w:rsidRPr="003C1A0B">
        <w:rPr>
          <w:b/>
          <w:bCs/>
          <w:color w:val="00997A"/>
          <w:sz w:val="20"/>
          <w:szCs w:val="20"/>
        </w:rPr>
        <w:t>are earths supply</w:t>
      </w:r>
      <w:r w:rsidR="007D1C4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062482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7D1C4B" w:rsidRPr="003C1A0B">
        <w:rPr>
          <w:b/>
          <w:bCs/>
          <w:color w:val="00997A"/>
          <w:sz w:val="20"/>
          <w:szCs w:val="20"/>
        </w:rPr>
        <w:t>: 2024</w:t>
      </w:r>
    </w:p>
    <w:p w14:paraId="5F5E48E7" w14:textId="36C7C193" w:rsidR="00062482" w:rsidRPr="008B167C" w:rsidRDefault="00447695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171AFE4" wp14:editId="381EE271">
            <wp:extent cx="3420000" cy="2113038"/>
            <wp:effectExtent l="0" t="0" r="0" b="1905"/>
            <wp:docPr id="2205579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9B09" w14:textId="53A8B8CC" w:rsidR="00AC77CB" w:rsidRPr="00836D09" w:rsidRDefault="00AC77CB" w:rsidP="00AC77CB">
      <w:pPr>
        <w:spacing w:after="0"/>
        <w:jc w:val="both"/>
        <w:rPr>
          <w:sz w:val="10"/>
        </w:rPr>
      </w:pPr>
      <w:r w:rsidRPr="00836D09">
        <w:rPr>
          <w:sz w:val="10"/>
          <w:vertAlign w:val="superscript"/>
        </w:rPr>
        <w:t>1</w:t>
      </w:r>
      <w:r w:rsidRPr="00836D09">
        <w:rPr>
          <w:sz w:val="10"/>
        </w:rPr>
        <w:t xml:space="preserve"> </w:t>
      </w:r>
      <w:r w:rsidR="009364DB" w:rsidRPr="00836D09">
        <w:rPr>
          <w:sz w:val="10"/>
        </w:rPr>
        <w:t>Rare earth</w:t>
      </w:r>
      <w:r w:rsidRPr="00836D09">
        <w:rPr>
          <w:sz w:val="10"/>
        </w:rPr>
        <w:t xml:space="preserve"> oxide</w:t>
      </w:r>
      <w:r w:rsidR="000F4D3A" w:rsidRPr="00836D09">
        <w:rPr>
          <w:sz w:val="10"/>
        </w:rPr>
        <w:t xml:space="preserve"> equivalent content from</w:t>
      </w:r>
      <w:r w:rsidRPr="00836D09">
        <w:rPr>
          <w:sz w:val="10"/>
        </w:rPr>
        <w:t xml:space="preserve"> </w:t>
      </w:r>
      <w:proofErr w:type="gramStart"/>
      <w:r w:rsidRPr="00836D09">
        <w:rPr>
          <w:sz w:val="10"/>
        </w:rPr>
        <w:t>mine</w:t>
      </w:r>
      <w:proofErr w:type="gramEnd"/>
      <w:r w:rsidRPr="00836D09">
        <w:rPr>
          <w:sz w:val="10"/>
        </w:rPr>
        <w:t xml:space="preserve"> production.</w:t>
      </w:r>
    </w:p>
    <w:p w14:paraId="5470718C" w14:textId="179939DC" w:rsidR="00AC77CB" w:rsidRPr="00F55BC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C20FD27" w14:textId="006E7A6D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539D8BDD" w14:textId="77777777" w:rsidR="00F55BC9" w:rsidRDefault="00F55BC9" w:rsidP="00062482">
      <w:pPr>
        <w:pStyle w:val="BodyText"/>
        <w:spacing w:after="0"/>
        <w:jc w:val="both"/>
        <w:rPr>
          <w:sz w:val="16"/>
        </w:rPr>
      </w:pPr>
    </w:p>
    <w:p w14:paraId="3C7783E1" w14:textId="2825D945" w:rsidR="0075544A" w:rsidRDefault="00593CE0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>Rare earths are used in high</w:t>
      </w:r>
      <w:r w:rsidRPr="004A368F">
        <w:rPr>
          <w:sz w:val="16"/>
        </w:rPr>
        <w:noBreakHyphen/>
        <w:t>tech consumer products and defence applications.</w:t>
      </w:r>
      <w:r w:rsidR="00445180">
        <w:rPr>
          <w:sz w:val="16"/>
        </w:rPr>
        <w:t xml:space="preserve"> For example:</w:t>
      </w:r>
    </w:p>
    <w:p w14:paraId="315ABAF9" w14:textId="4024586A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n</w:t>
      </w:r>
      <w:r w:rsidR="00593CE0" w:rsidRPr="004A368F">
        <w:rPr>
          <w:sz w:val="16"/>
        </w:rPr>
        <w:t>eodymium is used in electric vehicle motor magnets and wind turbines</w:t>
      </w:r>
    </w:p>
    <w:p w14:paraId="452B4CCB" w14:textId="0F054DC3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p</w:t>
      </w:r>
      <w:r w:rsidR="00593CE0" w:rsidRPr="004A368F">
        <w:rPr>
          <w:sz w:val="16"/>
        </w:rPr>
        <w:t>raseodymium is used in aircraft engines</w:t>
      </w:r>
    </w:p>
    <w:p w14:paraId="2943A32C" w14:textId="5A83846A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c</w:t>
      </w:r>
      <w:r w:rsidR="00593CE0" w:rsidRPr="004A368F">
        <w:rPr>
          <w:sz w:val="16"/>
        </w:rPr>
        <w:t>erium is used in catalytic converters for cars</w:t>
      </w:r>
    </w:p>
    <w:p w14:paraId="146797F1" w14:textId="619010D1" w:rsidR="00593CE0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593CE0" w:rsidRPr="004A368F">
        <w:rPr>
          <w:sz w:val="16"/>
        </w:rPr>
        <w:t>anthanum is used in lenses for cameras and telescopes</w:t>
      </w:r>
      <w:r w:rsidR="00593CE0">
        <w:rPr>
          <w:sz w:val="16"/>
        </w:rPr>
        <w:t>.</w:t>
      </w:r>
    </w:p>
    <w:p w14:paraId="3838E4CD" w14:textId="77777777" w:rsidR="00817D09" w:rsidRPr="004D20FC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Western Australia is the 3rd </w:t>
      </w:r>
      <w:proofErr w:type="gramStart"/>
      <w:r w:rsidRPr="004D20FC">
        <w:rPr>
          <w:sz w:val="16"/>
        </w:rPr>
        <w:t>largest rare</w:t>
      </w:r>
      <w:proofErr w:type="gramEnd"/>
      <w:r w:rsidRPr="004D20FC">
        <w:rPr>
          <w:sz w:val="16"/>
        </w:rPr>
        <w:t xml:space="preserve"> earths supplier in the world, accounting for 8% of global supply in 2024.</w:t>
      </w:r>
    </w:p>
    <w:p w14:paraId="74DFEFB3" w14:textId="4BF84E52" w:rsidR="00C95462" w:rsidRPr="004D20FC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China is by far the </w:t>
      </w:r>
      <w:proofErr w:type="gramStart"/>
      <w:r w:rsidRPr="004D20FC">
        <w:rPr>
          <w:sz w:val="16"/>
        </w:rPr>
        <w:t>largest rare</w:t>
      </w:r>
      <w:proofErr w:type="gramEnd"/>
      <w:r w:rsidRPr="004D20FC">
        <w:rPr>
          <w:sz w:val="16"/>
        </w:rPr>
        <w:t xml:space="preserve"> earths supplier in the world, accounting for 69% of global supply in 2024, followed by the United States (12%)</w:t>
      </w:r>
      <w:r w:rsidR="00A34EC3" w:rsidRPr="004D20FC">
        <w:rPr>
          <w:sz w:val="16"/>
        </w:rPr>
        <w:t>.</w:t>
      </w:r>
    </w:p>
    <w:p w14:paraId="7E29422C" w14:textId="77777777" w:rsidR="0006248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1653E0" w14:textId="77777777" w:rsidR="0071037D" w:rsidRPr="0071037D" w:rsidRDefault="0071037D" w:rsidP="0071037D">
      <w:pPr>
        <w:pStyle w:val="BodyText"/>
        <w:spacing w:after="0"/>
        <w:jc w:val="both"/>
        <w:rPr>
          <w:sz w:val="16"/>
        </w:rPr>
      </w:pPr>
    </w:p>
    <w:p w14:paraId="3CDDD3EF" w14:textId="2E1A615F" w:rsidR="0096489B" w:rsidRPr="003C1A0B" w:rsidRDefault="009B663D" w:rsidP="0096489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Neodymium</w:t>
      </w:r>
      <w:r w:rsidR="0096489B" w:rsidRPr="003C1A0B">
        <w:rPr>
          <w:b/>
          <w:bCs/>
          <w:color w:val="00997A"/>
          <w:sz w:val="20"/>
          <w:szCs w:val="20"/>
        </w:rPr>
        <w:t xml:space="preserve"> prices</w:t>
      </w:r>
      <w:r w:rsidR="0096489B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BDD560C" w14:textId="0A1A4D6F" w:rsidR="009D5E68" w:rsidRPr="00276F5F" w:rsidRDefault="00EF0623" w:rsidP="00276F5F">
      <w:pPr>
        <w:spacing w:after="0"/>
        <w:jc w:val="both"/>
      </w:pPr>
      <w:r>
        <w:rPr>
          <w:noProof/>
        </w:rPr>
        <w:drawing>
          <wp:inline distT="0" distB="0" distL="0" distR="0" wp14:anchorId="7162FEF8" wp14:editId="09240290">
            <wp:extent cx="3420000" cy="2107010"/>
            <wp:effectExtent l="0" t="0" r="9525" b="7620"/>
            <wp:docPr id="1988148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088E" w14:textId="0334CE5C" w:rsidR="0096489B" w:rsidRPr="00940D41" w:rsidRDefault="0096489B" w:rsidP="0096489B">
      <w:pPr>
        <w:pStyle w:val="BodyText"/>
        <w:spacing w:after="0"/>
        <w:jc w:val="both"/>
        <w:rPr>
          <w:sz w:val="10"/>
        </w:rPr>
      </w:pPr>
      <w:r w:rsidRPr="00940D41">
        <w:rPr>
          <w:sz w:val="10"/>
          <w:vertAlign w:val="superscript"/>
        </w:rPr>
        <w:t>1</w:t>
      </w:r>
      <w:r w:rsidRPr="00940D41">
        <w:rPr>
          <w:sz w:val="10"/>
        </w:rPr>
        <w:t xml:space="preserve"> </w:t>
      </w:r>
      <w:r w:rsidR="0071037D">
        <w:rPr>
          <w:sz w:val="10"/>
        </w:rPr>
        <w:t>Price per</w:t>
      </w:r>
      <w:r w:rsidRPr="00940D41">
        <w:rPr>
          <w:sz w:val="10"/>
        </w:rPr>
        <w:t xml:space="preserve"> tonne. </w:t>
      </w:r>
    </w:p>
    <w:p w14:paraId="20C49CD8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F7C4972" w14:textId="77777777" w:rsidR="0071037D" w:rsidRDefault="0071037D" w:rsidP="00062482">
      <w:pPr>
        <w:pStyle w:val="BodyText"/>
        <w:spacing w:after="0"/>
        <w:jc w:val="both"/>
        <w:rPr>
          <w:sz w:val="16"/>
        </w:rPr>
      </w:pPr>
    </w:p>
    <w:p w14:paraId="389C64A5" w14:textId="77C97A99" w:rsidR="00CF4333" w:rsidRPr="00CC53C8" w:rsidRDefault="00CF4333" w:rsidP="0071037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CC53C8">
        <w:rPr>
          <w:sz w:val="16"/>
        </w:rPr>
        <w:t xml:space="preserve">Prices for rare earths rose sharply </w:t>
      </w:r>
      <w:r w:rsidR="00097940" w:rsidRPr="00CC53C8">
        <w:rPr>
          <w:sz w:val="16"/>
        </w:rPr>
        <w:t>in 2020 and 2021</w:t>
      </w:r>
      <w:r w:rsidRPr="00CC53C8">
        <w:rPr>
          <w:sz w:val="16"/>
        </w:rPr>
        <w:t xml:space="preserve"> as demand outstripped supply</w:t>
      </w:r>
      <w:r w:rsidR="006B3AE1" w:rsidRPr="00CC53C8">
        <w:rPr>
          <w:sz w:val="16"/>
        </w:rPr>
        <w:t xml:space="preserve">. Demand </w:t>
      </w:r>
      <w:r w:rsidR="00A34EC3" w:rsidRPr="00CC53C8">
        <w:rPr>
          <w:sz w:val="16"/>
        </w:rPr>
        <w:t xml:space="preserve">for rare earths </w:t>
      </w:r>
      <w:r w:rsidR="006B3AE1" w:rsidRPr="00CC53C8">
        <w:rPr>
          <w:sz w:val="16"/>
        </w:rPr>
        <w:t xml:space="preserve">was high due </w:t>
      </w:r>
      <w:r w:rsidRPr="00CC53C8">
        <w:rPr>
          <w:sz w:val="16"/>
        </w:rPr>
        <w:t>its use</w:t>
      </w:r>
      <w:r w:rsidR="00A34EC3" w:rsidRPr="00CC53C8">
        <w:rPr>
          <w:sz w:val="16"/>
        </w:rPr>
        <w:t>s</w:t>
      </w:r>
      <w:r w:rsidRPr="00CC53C8">
        <w:rPr>
          <w:sz w:val="16"/>
        </w:rPr>
        <w:t xml:space="preserve"> in decarbonisation</w:t>
      </w:r>
      <w:r w:rsidR="00097940" w:rsidRPr="00CC53C8">
        <w:rPr>
          <w:sz w:val="16"/>
        </w:rPr>
        <w:noBreakHyphen/>
      </w:r>
      <w:r w:rsidRPr="00CC53C8">
        <w:rPr>
          <w:sz w:val="16"/>
        </w:rPr>
        <w:t xml:space="preserve">based applications. However, </w:t>
      </w:r>
      <w:r w:rsidR="00276F5F" w:rsidRPr="00CC53C8">
        <w:rPr>
          <w:sz w:val="16"/>
        </w:rPr>
        <w:t>with</w:t>
      </w:r>
      <w:r w:rsidRPr="00CC53C8">
        <w:rPr>
          <w:sz w:val="16"/>
        </w:rPr>
        <w:t xml:space="preserve"> </w:t>
      </w:r>
      <w:r w:rsidR="00276F5F" w:rsidRPr="00CC53C8">
        <w:rPr>
          <w:sz w:val="16"/>
        </w:rPr>
        <w:t xml:space="preserve">a ramp up of </w:t>
      </w:r>
      <w:r w:rsidRPr="00CC53C8">
        <w:rPr>
          <w:sz w:val="16"/>
        </w:rPr>
        <w:t xml:space="preserve">global production of rare earths, especially in China, the price of rare earths </w:t>
      </w:r>
      <w:r w:rsidR="00276F5F" w:rsidRPr="00CC53C8">
        <w:rPr>
          <w:sz w:val="16"/>
        </w:rPr>
        <w:t>fell</w:t>
      </w:r>
      <w:r w:rsidR="006B3AE1" w:rsidRPr="00CC53C8">
        <w:rPr>
          <w:sz w:val="16"/>
        </w:rPr>
        <w:t xml:space="preserve"> </w:t>
      </w:r>
      <w:r w:rsidRPr="00CC53C8">
        <w:rPr>
          <w:sz w:val="16"/>
        </w:rPr>
        <w:t xml:space="preserve">back to </w:t>
      </w:r>
      <w:r w:rsidR="00E4606E" w:rsidRPr="00CC53C8">
        <w:rPr>
          <w:sz w:val="16"/>
        </w:rPr>
        <w:t>near</w:t>
      </w:r>
      <w:r w:rsidR="00097940" w:rsidRPr="00CC53C8">
        <w:rPr>
          <w:sz w:val="16"/>
        </w:rPr>
        <w:t xml:space="preserve"> pre</w:t>
      </w:r>
      <w:r w:rsidR="00097940" w:rsidRPr="00CC53C8">
        <w:rPr>
          <w:sz w:val="16"/>
        </w:rPr>
        <w:noBreakHyphen/>
        <w:t>2020 levels</w:t>
      </w:r>
      <w:r w:rsidRPr="00CC53C8">
        <w:rPr>
          <w:sz w:val="16"/>
        </w:rPr>
        <w:t>.</w:t>
      </w:r>
    </w:p>
    <w:p w14:paraId="5ABD0A8E" w14:textId="7A02351F" w:rsidR="00797840" w:rsidRPr="00CC53C8" w:rsidRDefault="00797840" w:rsidP="0079784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CC53C8">
        <w:rPr>
          <w:sz w:val="16"/>
          <w:szCs w:val="16"/>
        </w:rPr>
        <w:t xml:space="preserve">Increased interest in rare earths in 2025 led to a rise in prices, which </w:t>
      </w:r>
      <w:r w:rsidR="00BA7CF8" w:rsidRPr="00CC53C8">
        <w:rPr>
          <w:sz w:val="16"/>
          <w:szCs w:val="16"/>
        </w:rPr>
        <w:t>has continued in early 2026</w:t>
      </w:r>
      <w:r w:rsidRPr="00CC53C8">
        <w:rPr>
          <w:sz w:val="16"/>
          <w:szCs w:val="16"/>
        </w:rPr>
        <w:t xml:space="preserve">. The monthly average neodymium price rose </w:t>
      </w:r>
      <w:r w:rsidR="004E3156" w:rsidRPr="00CC53C8">
        <w:rPr>
          <w:sz w:val="16"/>
          <w:szCs w:val="16"/>
        </w:rPr>
        <w:t>29</w:t>
      </w:r>
      <w:r w:rsidRPr="00CC53C8">
        <w:rPr>
          <w:sz w:val="16"/>
          <w:szCs w:val="16"/>
        </w:rPr>
        <w:t>% to US$</w:t>
      </w:r>
      <w:r w:rsidR="004E3156" w:rsidRPr="00CC53C8">
        <w:rPr>
          <w:sz w:val="16"/>
          <w:szCs w:val="16"/>
        </w:rPr>
        <w:t>153</w:t>
      </w:r>
      <w:r w:rsidRPr="00CC53C8">
        <w:rPr>
          <w:sz w:val="16"/>
          <w:szCs w:val="16"/>
        </w:rPr>
        <w:t>,</w:t>
      </w:r>
      <w:r w:rsidR="00B2102E" w:rsidRPr="00CC53C8">
        <w:rPr>
          <w:sz w:val="16"/>
          <w:szCs w:val="16"/>
        </w:rPr>
        <w:t>761</w:t>
      </w:r>
      <w:r w:rsidRPr="00CC53C8">
        <w:rPr>
          <w:sz w:val="16"/>
          <w:szCs w:val="16"/>
        </w:rPr>
        <w:t xml:space="preserve"> a tonne in </w:t>
      </w:r>
      <w:r w:rsidR="00B2102E" w:rsidRPr="00CC53C8">
        <w:rPr>
          <w:sz w:val="16"/>
          <w:szCs w:val="16"/>
        </w:rPr>
        <w:t>February</w:t>
      </w:r>
      <w:r w:rsidRPr="00CC53C8">
        <w:rPr>
          <w:sz w:val="16"/>
          <w:szCs w:val="16"/>
        </w:rPr>
        <w:t> 2026.</w:t>
      </w:r>
    </w:p>
    <w:p w14:paraId="4E378313" w14:textId="18B845BE" w:rsidR="00A34EC3" w:rsidRPr="00B2102E" w:rsidRDefault="00A34EC3" w:rsidP="00A34EC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CC53C8">
        <w:rPr>
          <w:sz w:val="16"/>
        </w:rPr>
        <w:t xml:space="preserve">The annual average </w:t>
      </w:r>
      <w:r w:rsidRPr="00B2102E">
        <w:rPr>
          <w:sz w:val="16"/>
        </w:rPr>
        <w:t xml:space="preserve">neodymium price </w:t>
      </w:r>
      <w:r w:rsidR="005B0C86" w:rsidRPr="00B2102E">
        <w:rPr>
          <w:sz w:val="16"/>
        </w:rPr>
        <w:t>rose</w:t>
      </w:r>
      <w:r w:rsidRPr="00B2102E">
        <w:rPr>
          <w:sz w:val="16"/>
        </w:rPr>
        <w:t xml:space="preserve"> 2</w:t>
      </w:r>
      <w:r w:rsidR="003E35BA" w:rsidRPr="00B2102E">
        <w:rPr>
          <w:sz w:val="16"/>
        </w:rPr>
        <w:t>8</w:t>
      </w:r>
      <w:r w:rsidRPr="00B2102E">
        <w:rPr>
          <w:sz w:val="16"/>
        </w:rPr>
        <w:t>% to US$</w:t>
      </w:r>
      <w:r w:rsidR="00BD07B7" w:rsidRPr="00B2102E">
        <w:rPr>
          <w:sz w:val="16"/>
        </w:rPr>
        <w:t>86</w:t>
      </w:r>
      <w:r w:rsidRPr="00B2102E">
        <w:rPr>
          <w:sz w:val="16"/>
        </w:rPr>
        <w:t>,</w:t>
      </w:r>
      <w:r w:rsidR="00BD07B7" w:rsidRPr="00B2102E">
        <w:rPr>
          <w:sz w:val="16"/>
        </w:rPr>
        <w:t>945</w:t>
      </w:r>
      <w:r w:rsidRPr="00B2102E">
        <w:rPr>
          <w:sz w:val="16"/>
        </w:rPr>
        <w:t xml:space="preserve"> a tonne in 202</w:t>
      </w:r>
      <w:r w:rsidR="00BD07B7" w:rsidRPr="00B2102E">
        <w:rPr>
          <w:sz w:val="16"/>
        </w:rPr>
        <w:t>5</w:t>
      </w:r>
      <w:r w:rsidRPr="00B2102E">
        <w:rPr>
          <w:sz w:val="16"/>
        </w:rPr>
        <w:t>.</w:t>
      </w:r>
    </w:p>
    <w:p w14:paraId="353E9C71" w14:textId="33B358BD" w:rsidR="00097940" w:rsidRPr="00DC2966" w:rsidRDefault="00097940" w:rsidP="00DC2966">
      <w:pPr>
        <w:pStyle w:val="BodyText"/>
        <w:spacing w:before="40" w:after="40"/>
        <w:ind w:left="284"/>
        <w:jc w:val="both"/>
        <w:rPr>
          <w:color w:val="000000" w:themeColor="text1"/>
          <w:sz w:val="16"/>
        </w:rPr>
        <w:sectPr w:rsidR="00097940" w:rsidRPr="00DC2966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0C29191" w14:textId="77777777" w:rsidR="0071037D" w:rsidRPr="0071037D" w:rsidRDefault="0071037D" w:rsidP="0071037D">
      <w:pPr>
        <w:spacing w:after="0"/>
        <w:jc w:val="both"/>
        <w:rPr>
          <w:sz w:val="16"/>
        </w:rPr>
      </w:pPr>
    </w:p>
    <w:p w14:paraId="12A646E7" w14:textId="58383E80" w:rsidR="00287429" w:rsidRPr="003C1A0B" w:rsidRDefault="008D6FEF" w:rsidP="00287429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r</w:t>
      </w:r>
      <w:r w:rsidR="00287429" w:rsidRPr="003C1A0B">
        <w:rPr>
          <w:b/>
          <w:bCs/>
          <w:color w:val="00997A"/>
          <w:sz w:val="20"/>
          <w:szCs w:val="20"/>
        </w:rPr>
        <w:t>are earths</w:t>
      </w:r>
      <w:r w:rsidR="00E348F4"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490D6F9B" w14:textId="2679DB5C" w:rsidR="00062482" w:rsidRDefault="00732782" w:rsidP="00062482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127BC63" wp14:editId="3D5C51C6">
            <wp:extent cx="3420000" cy="2112121"/>
            <wp:effectExtent l="0" t="0" r="9525" b="2540"/>
            <wp:docPr id="6539318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C5A" w14:textId="3F46C651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</w:t>
      </w:r>
      <w:r w:rsidRPr="007253E8">
        <w:rPr>
          <w:sz w:val="10"/>
        </w:rPr>
        <w:t>Thousand tonnes.</w:t>
      </w:r>
    </w:p>
    <w:p w14:paraId="31C1BE5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BE02098" w14:textId="766B272A" w:rsidR="0071037D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149CBF8" w14:textId="77777777" w:rsidR="00061CF5" w:rsidRDefault="00061CF5" w:rsidP="00062482">
      <w:pPr>
        <w:spacing w:after="0"/>
        <w:jc w:val="both"/>
        <w:rPr>
          <w:sz w:val="16"/>
        </w:rPr>
      </w:pPr>
    </w:p>
    <w:p w14:paraId="66D37801" w14:textId="77777777" w:rsidR="00836F44" w:rsidRPr="00F7294D" w:rsidRDefault="00836F44" w:rsidP="00836F4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7294D">
        <w:rPr>
          <w:sz w:val="16"/>
        </w:rPr>
        <w:t>The quantity of Western Australia’s rare earths sales rose 22% to 33,850 tonnes in 2024-25.</w:t>
      </w:r>
    </w:p>
    <w:p w14:paraId="5BF7D812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Sales values for rare earths are not available for most years due to data confidentiality restrictions.</w:t>
      </w:r>
    </w:p>
    <w:p w14:paraId="4E29032E" w14:textId="0B704D5D" w:rsidR="00776EB7" w:rsidRPr="00F55BC9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Western Australia’s rare earths production mainly comes from the Mt Weld mine. </w:t>
      </w:r>
      <w:r w:rsidR="007314EA">
        <w:rPr>
          <w:sz w:val="16"/>
        </w:rPr>
        <w:t>The p</w:t>
      </w:r>
      <w:r w:rsidRPr="00F55BC9">
        <w:rPr>
          <w:sz w:val="16"/>
        </w:rPr>
        <w:t xml:space="preserve">roduction capacity of Mt Weld </w:t>
      </w:r>
      <w:r w:rsidR="00665541">
        <w:rPr>
          <w:sz w:val="16"/>
        </w:rPr>
        <w:t>was</w:t>
      </w:r>
      <w:r w:rsidRPr="00F55BC9">
        <w:rPr>
          <w:sz w:val="16"/>
        </w:rPr>
        <w:t xml:space="preserve"> expanded to supply a </w:t>
      </w:r>
      <w:proofErr w:type="gramStart"/>
      <w:r w:rsidRPr="00F55BC9">
        <w:rPr>
          <w:sz w:val="16"/>
        </w:rPr>
        <w:t>rare earths</w:t>
      </w:r>
      <w:proofErr w:type="gramEnd"/>
      <w:r w:rsidRPr="00F55BC9">
        <w:rPr>
          <w:sz w:val="16"/>
        </w:rPr>
        <w:t xml:space="preserve"> processing plant in Kalgoorlie</w:t>
      </w:r>
      <w:r w:rsidR="008545B7">
        <w:rPr>
          <w:sz w:val="16"/>
        </w:rPr>
        <w:t>, which</w:t>
      </w:r>
      <w:r w:rsidRPr="00F55BC9">
        <w:rPr>
          <w:sz w:val="16"/>
        </w:rPr>
        <w:t xml:space="preserve"> started operating in 2024 and can produce 38,000 tonnes of rare earths carbonate a year.</w:t>
      </w:r>
    </w:p>
    <w:p w14:paraId="0B551489" w14:textId="77777777" w:rsidR="006D1087" w:rsidRPr="00DA28B4" w:rsidRDefault="006D1087" w:rsidP="0071037D">
      <w:pPr>
        <w:pStyle w:val="ListParagraph"/>
        <w:numPr>
          <w:ilvl w:val="0"/>
          <w:numId w:val="9"/>
        </w:numPr>
        <w:spacing w:before="40" w:after="40"/>
        <w:contextualSpacing w:val="0"/>
        <w:rPr>
          <w:sz w:val="16"/>
        </w:rPr>
      </w:pPr>
      <w:r w:rsidRPr="00DA28B4">
        <w:rPr>
          <w:sz w:val="16"/>
        </w:rPr>
        <w:t>Other rare earths projects in Western Australia include:</w:t>
      </w:r>
    </w:p>
    <w:p w14:paraId="5D7D7741" w14:textId="16BFE18C" w:rsidR="00E358B4" w:rsidRPr="00DA28B4" w:rsidRDefault="00E358B4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 xml:space="preserve">The </w:t>
      </w:r>
      <w:proofErr w:type="spellStart"/>
      <w:r w:rsidRPr="00DA28B4">
        <w:rPr>
          <w:sz w:val="16"/>
        </w:rPr>
        <w:t>Yangibana</w:t>
      </w:r>
      <w:proofErr w:type="spellEnd"/>
      <w:r w:rsidRPr="00DA28B4">
        <w:rPr>
          <w:sz w:val="16"/>
        </w:rPr>
        <w:t xml:space="preserve"> rare earths project (</w:t>
      </w:r>
      <w:r w:rsidR="00CC2C3C" w:rsidRPr="004E3156">
        <w:rPr>
          <w:sz w:val="16"/>
        </w:rPr>
        <w:t xml:space="preserve">37,000 </w:t>
      </w:r>
      <w:r w:rsidRPr="00DA28B4">
        <w:rPr>
          <w:sz w:val="16"/>
        </w:rPr>
        <w:t xml:space="preserve">tonnes a year starting in </w:t>
      </w:r>
      <w:r w:rsidR="004C47A9">
        <w:rPr>
          <w:sz w:val="16"/>
        </w:rPr>
        <w:t>2025</w:t>
      </w:r>
      <w:r w:rsidRPr="00DA28B4">
        <w:rPr>
          <w:sz w:val="16"/>
        </w:rPr>
        <w:t>)</w:t>
      </w:r>
    </w:p>
    <w:p w14:paraId="3E04D890" w14:textId="064D3558" w:rsidR="006D1087" w:rsidRPr="00DA28B4" w:rsidRDefault="006D1087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>T</w:t>
      </w:r>
      <w:r w:rsidR="00761E3A" w:rsidRPr="00DA28B4">
        <w:rPr>
          <w:sz w:val="16"/>
        </w:rPr>
        <w:t>he Eneabba rare earths refinery</w:t>
      </w:r>
      <w:r w:rsidR="00E358B4" w:rsidRPr="00DA28B4">
        <w:rPr>
          <w:sz w:val="16"/>
        </w:rPr>
        <w:t xml:space="preserve"> (</w:t>
      </w:r>
      <w:r w:rsidR="00761E3A" w:rsidRPr="00DA28B4">
        <w:rPr>
          <w:sz w:val="16"/>
        </w:rPr>
        <w:t>20,000 tonnes a year</w:t>
      </w:r>
      <w:r w:rsidR="00E358B4" w:rsidRPr="00DA28B4">
        <w:rPr>
          <w:sz w:val="16"/>
        </w:rPr>
        <w:t xml:space="preserve"> starting in </w:t>
      </w:r>
      <w:r w:rsidR="00E358B4" w:rsidRPr="004E3156">
        <w:rPr>
          <w:sz w:val="16"/>
        </w:rPr>
        <w:t>202</w:t>
      </w:r>
      <w:r w:rsidR="006322AE" w:rsidRPr="004E3156">
        <w:rPr>
          <w:sz w:val="16"/>
        </w:rPr>
        <w:t>7)</w:t>
      </w:r>
    </w:p>
    <w:p w14:paraId="3B53C89B" w14:textId="71779E0A" w:rsidR="001169FC" w:rsidRPr="00F32E35" w:rsidRDefault="00761E3A" w:rsidP="00FA49F0">
      <w:pPr>
        <w:pStyle w:val="BodyText"/>
        <w:numPr>
          <w:ilvl w:val="1"/>
          <w:numId w:val="10"/>
        </w:numPr>
        <w:spacing w:before="40" w:after="0"/>
        <w:ind w:left="567" w:hanging="283"/>
        <w:jc w:val="both"/>
        <w:rPr>
          <w:sz w:val="16"/>
        </w:rPr>
      </w:pPr>
      <w:r w:rsidRPr="00F32E35">
        <w:rPr>
          <w:sz w:val="16"/>
        </w:rPr>
        <w:t xml:space="preserve">The </w:t>
      </w:r>
      <w:r w:rsidR="00F32E35" w:rsidRPr="00F32E35">
        <w:rPr>
          <w:sz w:val="16"/>
        </w:rPr>
        <w:t xml:space="preserve">proposed developments of </w:t>
      </w:r>
      <w:r w:rsidRPr="00F32E35">
        <w:rPr>
          <w:sz w:val="16"/>
        </w:rPr>
        <w:t>Browns Range Stage</w:t>
      </w:r>
      <w:r w:rsidR="0021525B" w:rsidRPr="00F32E35">
        <w:rPr>
          <w:sz w:val="16"/>
        </w:rPr>
        <w:t> </w:t>
      </w:r>
      <w:r w:rsidRPr="00F32E35">
        <w:rPr>
          <w:sz w:val="16"/>
        </w:rPr>
        <w:t>2 (</w:t>
      </w:r>
      <w:r w:rsidR="00240CB4" w:rsidRPr="00F32E35">
        <w:rPr>
          <w:sz w:val="16"/>
        </w:rPr>
        <w:t xml:space="preserve">4,350 tonnes </w:t>
      </w:r>
      <w:r w:rsidR="005221C9" w:rsidRPr="00F32E35">
        <w:rPr>
          <w:sz w:val="16"/>
        </w:rPr>
        <w:t xml:space="preserve">of </w:t>
      </w:r>
      <w:r w:rsidR="00E15D62" w:rsidRPr="00F32E35">
        <w:rPr>
          <w:sz w:val="16"/>
        </w:rPr>
        <w:t>t</w:t>
      </w:r>
      <w:r w:rsidR="00240CB4" w:rsidRPr="00F32E35">
        <w:rPr>
          <w:sz w:val="16"/>
        </w:rPr>
        <w:t xml:space="preserve">otal </w:t>
      </w:r>
      <w:r w:rsidR="00E15D62" w:rsidRPr="00F32E35">
        <w:rPr>
          <w:sz w:val="16"/>
        </w:rPr>
        <w:t>r</w:t>
      </w:r>
      <w:r w:rsidR="00240CB4" w:rsidRPr="00F32E35">
        <w:rPr>
          <w:sz w:val="16"/>
        </w:rPr>
        <w:t xml:space="preserve">are </w:t>
      </w:r>
      <w:r w:rsidR="00E15D62" w:rsidRPr="00F32E35">
        <w:rPr>
          <w:sz w:val="16"/>
        </w:rPr>
        <w:t>e</w:t>
      </w:r>
      <w:r w:rsidR="00240CB4" w:rsidRPr="00F32E35">
        <w:rPr>
          <w:sz w:val="16"/>
        </w:rPr>
        <w:t xml:space="preserve">arths </w:t>
      </w:r>
      <w:r w:rsidR="00E15D62" w:rsidRPr="00F32E35">
        <w:rPr>
          <w:sz w:val="16"/>
        </w:rPr>
        <w:t>o</w:t>
      </w:r>
      <w:r w:rsidR="002F6AC0" w:rsidRPr="00F32E35">
        <w:rPr>
          <w:sz w:val="16"/>
        </w:rPr>
        <w:t>xides</w:t>
      </w:r>
      <w:r w:rsidR="00E15D62" w:rsidRPr="00F32E35">
        <w:rPr>
          <w:sz w:val="16"/>
        </w:rPr>
        <w:t xml:space="preserve"> a year</w:t>
      </w:r>
      <w:r w:rsidR="002F6AC0" w:rsidRPr="00F32E35">
        <w:rPr>
          <w:sz w:val="16"/>
        </w:rPr>
        <w:t>)</w:t>
      </w:r>
      <w:r w:rsidR="00F32E35" w:rsidRPr="00F32E35">
        <w:rPr>
          <w:sz w:val="16"/>
        </w:rPr>
        <w:t xml:space="preserve">, </w:t>
      </w:r>
      <w:r w:rsidR="001B0ECD" w:rsidRPr="00F32E35">
        <w:rPr>
          <w:sz w:val="16"/>
          <w:szCs w:val="16"/>
        </w:rPr>
        <w:t>North</w:t>
      </w:r>
      <w:r w:rsidR="003C1B03" w:rsidRPr="00F32E35">
        <w:rPr>
          <w:sz w:val="16"/>
          <w:szCs w:val="16"/>
        </w:rPr>
        <w:t xml:space="preserve"> Stanmore Heavy </w:t>
      </w:r>
      <w:r w:rsidR="00714667" w:rsidRPr="00F32E35">
        <w:rPr>
          <w:sz w:val="16"/>
          <w:szCs w:val="16"/>
        </w:rPr>
        <w:t xml:space="preserve">Rare Earths </w:t>
      </w:r>
      <w:r w:rsidR="2C0BA683" w:rsidRPr="00F32E35">
        <w:rPr>
          <w:sz w:val="16"/>
          <w:szCs w:val="16"/>
        </w:rPr>
        <w:t>(</w:t>
      </w:r>
      <w:r w:rsidR="008229C2" w:rsidRPr="00F32E35">
        <w:rPr>
          <w:sz w:val="16"/>
          <w:szCs w:val="16"/>
        </w:rPr>
        <w:t xml:space="preserve">throughput of </w:t>
      </w:r>
      <w:r w:rsidR="2C0BA683" w:rsidRPr="00F32E35">
        <w:rPr>
          <w:sz w:val="16"/>
          <w:szCs w:val="16"/>
        </w:rPr>
        <w:t>8</w:t>
      </w:r>
      <w:r w:rsidR="008D3BC2" w:rsidRPr="00F32E35">
        <w:rPr>
          <w:sz w:val="16"/>
          <w:szCs w:val="16"/>
        </w:rPr>
        <w:t> </w:t>
      </w:r>
      <w:r w:rsidR="2C0BA683" w:rsidRPr="00F32E35">
        <w:rPr>
          <w:sz w:val="16"/>
          <w:szCs w:val="16"/>
        </w:rPr>
        <w:t xml:space="preserve">million tonnes </w:t>
      </w:r>
      <w:r w:rsidR="00810599" w:rsidRPr="00F32E35">
        <w:rPr>
          <w:sz w:val="16"/>
          <w:szCs w:val="16"/>
        </w:rPr>
        <w:t xml:space="preserve">of ore </w:t>
      </w:r>
      <w:r w:rsidR="008229C2" w:rsidRPr="00F32E35">
        <w:rPr>
          <w:sz w:val="16"/>
          <w:szCs w:val="16"/>
        </w:rPr>
        <w:t>a year</w:t>
      </w:r>
      <w:r w:rsidR="2B653D16" w:rsidRPr="00F32E35">
        <w:rPr>
          <w:sz w:val="16"/>
          <w:szCs w:val="16"/>
        </w:rPr>
        <w:t>)</w:t>
      </w:r>
      <w:r w:rsidR="00F32E35" w:rsidRPr="00F32E35">
        <w:rPr>
          <w:sz w:val="16"/>
          <w:szCs w:val="16"/>
        </w:rPr>
        <w:t xml:space="preserve">, and </w:t>
      </w:r>
      <w:r w:rsidR="00C5629E" w:rsidRPr="00F32E35">
        <w:rPr>
          <w:sz w:val="16"/>
          <w:szCs w:val="16"/>
        </w:rPr>
        <w:t xml:space="preserve">Cummins Range </w:t>
      </w:r>
      <w:r w:rsidR="0035108B" w:rsidRPr="00F32E35">
        <w:rPr>
          <w:sz w:val="16"/>
          <w:szCs w:val="16"/>
        </w:rPr>
        <w:t>rare earths and pho</w:t>
      </w:r>
      <w:r w:rsidR="0045048A" w:rsidRPr="00F32E35">
        <w:rPr>
          <w:sz w:val="16"/>
          <w:szCs w:val="16"/>
        </w:rPr>
        <w:t>sphate (</w:t>
      </w:r>
      <w:r w:rsidR="00A115C1" w:rsidRPr="00F32E35">
        <w:rPr>
          <w:sz w:val="16"/>
          <w:szCs w:val="16"/>
        </w:rPr>
        <w:t>12</w:t>
      </w:r>
      <w:r w:rsidR="00FE6F12">
        <w:rPr>
          <w:sz w:val="16"/>
          <w:szCs w:val="16"/>
        </w:rPr>
        <w:t>,000</w:t>
      </w:r>
      <w:r w:rsidR="00243508" w:rsidRPr="00F32E35">
        <w:rPr>
          <w:sz w:val="16"/>
          <w:szCs w:val="16"/>
        </w:rPr>
        <w:t xml:space="preserve"> tonnes of mixed rare earths concentrate</w:t>
      </w:r>
      <w:r w:rsidR="2B653D16" w:rsidRPr="00F32E35">
        <w:rPr>
          <w:sz w:val="16"/>
          <w:szCs w:val="16"/>
        </w:rPr>
        <w:t>).</w:t>
      </w:r>
    </w:p>
    <w:sectPr w:rsidR="001169FC" w:rsidRPr="00F32E35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7221" w14:textId="77777777" w:rsidR="00D330DD" w:rsidRDefault="00D330DD" w:rsidP="00A4382C">
      <w:pPr>
        <w:spacing w:line="240" w:lineRule="auto"/>
      </w:pPr>
      <w:r>
        <w:separator/>
      </w:r>
    </w:p>
  </w:endnote>
  <w:endnote w:type="continuationSeparator" w:id="0">
    <w:p w14:paraId="3BDB297A" w14:textId="77777777" w:rsidR="00D330DD" w:rsidRDefault="00D330DD" w:rsidP="00A4382C">
      <w:pPr>
        <w:spacing w:line="240" w:lineRule="auto"/>
      </w:pPr>
      <w:r>
        <w:continuationSeparator/>
      </w:r>
    </w:p>
  </w:endnote>
  <w:endnote w:type="continuationNotice" w:id="1">
    <w:p w14:paraId="79C34AAC" w14:textId="77777777" w:rsidR="00D330DD" w:rsidRDefault="00D33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6960B782" w:rsidR="00F50412" w:rsidRDefault="00F50412" w:rsidP="00291A4A">
    <w:pPr>
      <w:pStyle w:val="Footer"/>
      <w:rPr>
        <w:szCs w:val="16"/>
      </w:rPr>
    </w:pPr>
    <w:r>
      <w:rPr>
        <w:szCs w:val="16"/>
      </w:rPr>
      <w:t>WA Battery and Critical Minerals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ab/>
    </w:r>
    <w:r w:rsidR="003B6C9C">
      <w:rPr>
        <w:szCs w:val="16"/>
      </w:rPr>
      <w:t xml:space="preserve">                              </w:t>
    </w:r>
    <w:r w:rsidR="00926957">
      <w:rPr>
        <w:szCs w:val="16"/>
      </w:rPr>
      <w:t xml:space="preserve">          </w:t>
    </w:r>
    <w:r w:rsidR="003B6C9C">
      <w:rPr>
        <w:szCs w:val="16"/>
      </w:rPr>
      <w:t xml:space="preserve">                  </w:t>
    </w:r>
    <w:r w:rsidR="008122B3">
      <w:rPr>
        <w:szCs w:val="16"/>
      </w:rPr>
      <w:t xml:space="preserve">        </w:t>
    </w:r>
    <w:r w:rsidR="003B6C9C">
      <w:rPr>
        <w:szCs w:val="16"/>
      </w:rPr>
      <w:t xml:space="preserve">    </w:t>
    </w:r>
    <w:r w:rsidR="00C250EC">
      <w:rPr>
        <w:szCs w:val="16"/>
      </w:rPr>
      <w:t xml:space="preserve">    </w:t>
    </w:r>
    <w:r w:rsidR="003B6C9C">
      <w:rPr>
        <w:szCs w:val="16"/>
      </w:rPr>
      <w:t xml:space="preserve">          </w:t>
    </w:r>
    <w:r w:rsidR="00E05CA6" w:rsidRPr="008D6A5D">
      <w:rPr>
        <w:szCs w:val="16"/>
      </w:rPr>
      <w:t>February</w:t>
    </w:r>
    <w:r w:rsidR="00DA7814" w:rsidRPr="008D6A5D">
      <w:rPr>
        <w:szCs w:val="16"/>
      </w:rPr>
      <w:t xml:space="preserve"> </w:t>
    </w:r>
    <w:r w:rsidR="00DA7814">
      <w:rPr>
        <w:szCs w:val="16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720B88EF" w:rsidR="00F50412" w:rsidRPr="0075253D" w:rsidRDefault="00F5041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A77FC5">
      <w:rPr>
        <w:noProof/>
        <w:szCs w:val="16"/>
      </w:rPr>
      <w:t>003632policy.data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0000000-0000-0000-0000-000000000000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8E3C" w14:textId="77777777" w:rsidR="00D330DD" w:rsidRDefault="00D330DD" w:rsidP="00A4382C">
      <w:pPr>
        <w:spacing w:line="240" w:lineRule="auto"/>
      </w:pPr>
      <w:r>
        <w:separator/>
      </w:r>
    </w:p>
  </w:footnote>
  <w:footnote w:type="continuationSeparator" w:id="0">
    <w:p w14:paraId="47DE0892" w14:textId="77777777" w:rsidR="00D330DD" w:rsidRDefault="00D330DD" w:rsidP="00A4382C">
      <w:pPr>
        <w:spacing w:line="240" w:lineRule="auto"/>
      </w:pPr>
      <w:r>
        <w:continuationSeparator/>
      </w:r>
    </w:p>
  </w:footnote>
  <w:footnote w:type="continuationNotice" w:id="1">
    <w:p w14:paraId="6EC14DA0" w14:textId="77777777" w:rsidR="00D330DD" w:rsidRDefault="00D330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2D9398F9" w:rsidR="00F50412" w:rsidRDefault="000135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04A9F" wp14:editId="30CA8C7C">
          <wp:simplePos x="0" y="0"/>
          <wp:positionH relativeFrom="column">
            <wp:posOffset>-561975</wp:posOffset>
          </wp:positionH>
          <wp:positionV relativeFrom="paragraph">
            <wp:posOffset>-554355</wp:posOffset>
          </wp:positionV>
          <wp:extent cx="7750548" cy="10963275"/>
          <wp:effectExtent l="0" t="0" r="3175" b="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548" cy="1096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014AD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F5EAB"/>
    <w:multiLevelType w:val="hybridMultilevel"/>
    <w:tmpl w:val="2CD8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8" w15:restartNumberingAfterBreak="0">
    <w:nsid w:val="10345B46"/>
    <w:multiLevelType w:val="multilevel"/>
    <w:tmpl w:val="874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42722"/>
    <w:multiLevelType w:val="multilevel"/>
    <w:tmpl w:val="1F1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3E39"/>
    <w:multiLevelType w:val="multilevel"/>
    <w:tmpl w:val="8CA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7" w15:restartNumberingAfterBreak="0">
    <w:nsid w:val="2D9556E5"/>
    <w:multiLevelType w:val="hybridMultilevel"/>
    <w:tmpl w:val="D226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76265"/>
    <w:multiLevelType w:val="hybridMultilevel"/>
    <w:tmpl w:val="107845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A35B5"/>
    <w:multiLevelType w:val="hybridMultilevel"/>
    <w:tmpl w:val="9488A012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D9669A26">
      <w:start w:val="1"/>
      <w:numFmt w:val="bullet"/>
      <w:lvlText w:val="—"/>
      <w:lvlJc w:val="left"/>
      <w:pPr>
        <w:ind w:left="1080" w:hanging="360"/>
      </w:pPr>
      <w:rPr>
        <w:rFonts w:ascii="Courier New" w:hAnsi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20D18"/>
    <w:multiLevelType w:val="multilevel"/>
    <w:tmpl w:val="C4023126"/>
    <w:numStyleLink w:val="AgencyTableBullets"/>
  </w:abstractNum>
  <w:abstractNum w:abstractNumId="21" w15:restartNumberingAfterBreak="0">
    <w:nsid w:val="4474526F"/>
    <w:multiLevelType w:val="multilevel"/>
    <w:tmpl w:val="D5A4B100"/>
    <w:numStyleLink w:val="AgencyTableNumbers"/>
  </w:abstractNum>
  <w:abstractNum w:abstractNumId="22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3C4B94"/>
    <w:multiLevelType w:val="hybridMultilevel"/>
    <w:tmpl w:val="107255A2"/>
    <w:lvl w:ilvl="0" w:tplc="0A163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0130">
    <w:abstractNumId w:val="16"/>
  </w:num>
  <w:num w:numId="2" w16cid:durableId="236090220">
    <w:abstractNumId w:val="24"/>
  </w:num>
  <w:num w:numId="3" w16cid:durableId="476918432">
    <w:abstractNumId w:val="7"/>
  </w:num>
  <w:num w:numId="4" w16cid:durableId="1328707254">
    <w:abstractNumId w:val="14"/>
  </w:num>
  <w:num w:numId="5" w16cid:durableId="954798828">
    <w:abstractNumId w:val="16"/>
  </w:num>
  <w:num w:numId="6" w16cid:durableId="1927615531">
    <w:abstractNumId w:val="24"/>
  </w:num>
  <w:num w:numId="7" w16cid:durableId="1536111724">
    <w:abstractNumId w:val="20"/>
  </w:num>
  <w:num w:numId="8" w16cid:durableId="1118987111">
    <w:abstractNumId w:val="21"/>
  </w:num>
  <w:num w:numId="9" w16cid:durableId="634288623">
    <w:abstractNumId w:val="19"/>
  </w:num>
  <w:num w:numId="10" w16cid:durableId="566964343">
    <w:abstractNumId w:val="27"/>
  </w:num>
  <w:num w:numId="11" w16cid:durableId="2055306823">
    <w:abstractNumId w:val="22"/>
  </w:num>
  <w:num w:numId="12" w16cid:durableId="299919640">
    <w:abstractNumId w:val="5"/>
  </w:num>
  <w:num w:numId="13" w16cid:durableId="866210405">
    <w:abstractNumId w:val="11"/>
  </w:num>
  <w:num w:numId="14" w16cid:durableId="1447626739">
    <w:abstractNumId w:val="23"/>
  </w:num>
  <w:num w:numId="15" w16cid:durableId="33585425">
    <w:abstractNumId w:val="15"/>
  </w:num>
  <w:num w:numId="16" w16cid:durableId="1407531044">
    <w:abstractNumId w:val="30"/>
  </w:num>
  <w:num w:numId="17" w16cid:durableId="1374037621">
    <w:abstractNumId w:val="28"/>
  </w:num>
  <w:num w:numId="18" w16cid:durableId="1782341524">
    <w:abstractNumId w:val="4"/>
  </w:num>
  <w:num w:numId="19" w16cid:durableId="40833144">
    <w:abstractNumId w:val="9"/>
  </w:num>
  <w:num w:numId="20" w16cid:durableId="222300313">
    <w:abstractNumId w:val="0"/>
  </w:num>
  <w:num w:numId="21" w16cid:durableId="1306355225">
    <w:abstractNumId w:val="13"/>
  </w:num>
  <w:num w:numId="22" w16cid:durableId="355935541">
    <w:abstractNumId w:val="26"/>
  </w:num>
  <w:num w:numId="23" w16cid:durableId="422529913">
    <w:abstractNumId w:val="6"/>
  </w:num>
  <w:num w:numId="24" w16cid:durableId="699210472">
    <w:abstractNumId w:val="3"/>
  </w:num>
  <w:num w:numId="25" w16cid:durableId="19625638">
    <w:abstractNumId w:val="25"/>
  </w:num>
  <w:num w:numId="26" w16cid:durableId="471293156">
    <w:abstractNumId w:val="12"/>
  </w:num>
  <w:num w:numId="27" w16cid:durableId="1610501837">
    <w:abstractNumId w:val="8"/>
  </w:num>
  <w:num w:numId="28" w16cid:durableId="598173723">
    <w:abstractNumId w:val="10"/>
  </w:num>
  <w:num w:numId="29" w16cid:durableId="2132018959">
    <w:abstractNumId w:val="29"/>
  </w:num>
  <w:num w:numId="30" w16cid:durableId="1012493146">
    <w:abstractNumId w:val="18"/>
  </w:num>
  <w:num w:numId="31" w16cid:durableId="1287078622">
    <w:abstractNumId w:val="1"/>
  </w:num>
  <w:num w:numId="32" w16cid:durableId="2062097774">
    <w:abstractNumId w:val="16"/>
  </w:num>
  <w:num w:numId="33" w16cid:durableId="860899429">
    <w:abstractNumId w:val="16"/>
  </w:num>
  <w:num w:numId="34" w16cid:durableId="1535845013">
    <w:abstractNumId w:val="16"/>
  </w:num>
  <w:num w:numId="35" w16cid:durableId="440340202">
    <w:abstractNumId w:val="19"/>
  </w:num>
  <w:num w:numId="36" w16cid:durableId="944460519">
    <w:abstractNumId w:val="27"/>
  </w:num>
  <w:num w:numId="37" w16cid:durableId="1511603724">
    <w:abstractNumId w:val="2"/>
  </w:num>
  <w:num w:numId="38" w16cid:durableId="1548108968">
    <w:abstractNumId w:val="17"/>
  </w:num>
  <w:num w:numId="39" w16cid:durableId="12516241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60"/>
    <w:rsid w:val="000006D1"/>
    <w:rsid w:val="00000FC7"/>
    <w:rsid w:val="0000198E"/>
    <w:rsid w:val="00001B03"/>
    <w:rsid w:val="00001E97"/>
    <w:rsid w:val="00002810"/>
    <w:rsid w:val="00002A74"/>
    <w:rsid w:val="00002FEB"/>
    <w:rsid w:val="00003380"/>
    <w:rsid w:val="00003757"/>
    <w:rsid w:val="00003786"/>
    <w:rsid w:val="00003CE6"/>
    <w:rsid w:val="00004598"/>
    <w:rsid w:val="00004E53"/>
    <w:rsid w:val="00005285"/>
    <w:rsid w:val="00005824"/>
    <w:rsid w:val="00006218"/>
    <w:rsid w:val="00006269"/>
    <w:rsid w:val="000066B1"/>
    <w:rsid w:val="00006C59"/>
    <w:rsid w:val="00006DAE"/>
    <w:rsid w:val="00006DF0"/>
    <w:rsid w:val="0000797E"/>
    <w:rsid w:val="0001036C"/>
    <w:rsid w:val="000109BB"/>
    <w:rsid w:val="0001153B"/>
    <w:rsid w:val="0001350D"/>
    <w:rsid w:val="00013C1B"/>
    <w:rsid w:val="00013DB9"/>
    <w:rsid w:val="00013F71"/>
    <w:rsid w:val="0001414C"/>
    <w:rsid w:val="0001436C"/>
    <w:rsid w:val="00014DCA"/>
    <w:rsid w:val="00014E2C"/>
    <w:rsid w:val="00014FCC"/>
    <w:rsid w:val="000162AE"/>
    <w:rsid w:val="00016A0C"/>
    <w:rsid w:val="00016BBB"/>
    <w:rsid w:val="00016BD2"/>
    <w:rsid w:val="00017A45"/>
    <w:rsid w:val="00017F1C"/>
    <w:rsid w:val="00020A91"/>
    <w:rsid w:val="0002163E"/>
    <w:rsid w:val="000228E5"/>
    <w:rsid w:val="00023F04"/>
    <w:rsid w:val="00024416"/>
    <w:rsid w:val="000246FE"/>
    <w:rsid w:val="00024D33"/>
    <w:rsid w:val="00024F84"/>
    <w:rsid w:val="00025C90"/>
    <w:rsid w:val="00026264"/>
    <w:rsid w:val="0002777F"/>
    <w:rsid w:val="00027CB6"/>
    <w:rsid w:val="00027FE6"/>
    <w:rsid w:val="00030161"/>
    <w:rsid w:val="000303F9"/>
    <w:rsid w:val="00030E25"/>
    <w:rsid w:val="00030F80"/>
    <w:rsid w:val="0003118B"/>
    <w:rsid w:val="0003189D"/>
    <w:rsid w:val="000319A6"/>
    <w:rsid w:val="00031B7A"/>
    <w:rsid w:val="0003241B"/>
    <w:rsid w:val="0003298A"/>
    <w:rsid w:val="0003364E"/>
    <w:rsid w:val="00033A28"/>
    <w:rsid w:val="00034849"/>
    <w:rsid w:val="00034CF8"/>
    <w:rsid w:val="00035236"/>
    <w:rsid w:val="000356E8"/>
    <w:rsid w:val="00035AAA"/>
    <w:rsid w:val="00035E69"/>
    <w:rsid w:val="00036514"/>
    <w:rsid w:val="0003693B"/>
    <w:rsid w:val="00036C0B"/>
    <w:rsid w:val="000400BA"/>
    <w:rsid w:val="00040154"/>
    <w:rsid w:val="00040E86"/>
    <w:rsid w:val="00042A5A"/>
    <w:rsid w:val="0004327B"/>
    <w:rsid w:val="00043503"/>
    <w:rsid w:val="00044252"/>
    <w:rsid w:val="00045643"/>
    <w:rsid w:val="00046AFF"/>
    <w:rsid w:val="00047291"/>
    <w:rsid w:val="000476B9"/>
    <w:rsid w:val="000517E2"/>
    <w:rsid w:val="000522AD"/>
    <w:rsid w:val="00052319"/>
    <w:rsid w:val="000524BB"/>
    <w:rsid w:val="00052F6A"/>
    <w:rsid w:val="00053843"/>
    <w:rsid w:val="00053D7C"/>
    <w:rsid w:val="00053E1C"/>
    <w:rsid w:val="0005448D"/>
    <w:rsid w:val="00054BCE"/>
    <w:rsid w:val="0005585E"/>
    <w:rsid w:val="00055E07"/>
    <w:rsid w:val="000562D4"/>
    <w:rsid w:val="00056706"/>
    <w:rsid w:val="00056C85"/>
    <w:rsid w:val="00056D84"/>
    <w:rsid w:val="00057C2A"/>
    <w:rsid w:val="00057C95"/>
    <w:rsid w:val="0006020B"/>
    <w:rsid w:val="0006040F"/>
    <w:rsid w:val="00060FC3"/>
    <w:rsid w:val="00060FFB"/>
    <w:rsid w:val="00061286"/>
    <w:rsid w:val="000612F3"/>
    <w:rsid w:val="00061CF5"/>
    <w:rsid w:val="0006234D"/>
    <w:rsid w:val="00062482"/>
    <w:rsid w:val="000628DD"/>
    <w:rsid w:val="00062F9F"/>
    <w:rsid w:val="00063526"/>
    <w:rsid w:val="00063D33"/>
    <w:rsid w:val="00064488"/>
    <w:rsid w:val="00065731"/>
    <w:rsid w:val="00065A86"/>
    <w:rsid w:val="00065ED2"/>
    <w:rsid w:val="000669B4"/>
    <w:rsid w:val="0006784D"/>
    <w:rsid w:val="0007004F"/>
    <w:rsid w:val="00070152"/>
    <w:rsid w:val="00070650"/>
    <w:rsid w:val="00070A97"/>
    <w:rsid w:val="0007113D"/>
    <w:rsid w:val="00071258"/>
    <w:rsid w:val="00071A19"/>
    <w:rsid w:val="000731E7"/>
    <w:rsid w:val="000737E1"/>
    <w:rsid w:val="00073821"/>
    <w:rsid w:val="000745A0"/>
    <w:rsid w:val="000747AE"/>
    <w:rsid w:val="00074C54"/>
    <w:rsid w:val="00075084"/>
    <w:rsid w:val="00075851"/>
    <w:rsid w:val="0007662B"/>
    <w:rsid w:val="00076DFB"/>
    <w:rsid w:val="00077433"/>
    <w:rsid w:val="00077607"/>
    <w:rsid w:val="00077635"/>
    <w:rsid w:val="00077902"/>
    <w:rsid w:val="00080086"/>
    <w:rsid w:val="000801A7"/>
    <w:rsid w:val="000804F9"/>
    <w:rsid w:val="00080D0E"/>
    <w:rsid w:val="00080E4F"/>
    <w:rsid w:val="000810A4"/>
    <w:rsid w:val="00081F4F"/>
    <w:rsid w:val="000825D2"/>
    <w:rsid w:val="00082E81"/>
    <w:rsid w:val="000834F6"/>
    <w:rsid w:val="000841D3"/>
    <w:rsid w:val="000844B3"/>
    <w:rsid w:val="000845E9"/>
    <w:rsid w:val="000847C9"/>
    <w:rsid w:val="00084CAC"/>
    <w:rsid w:val="000851ED"/>
    <w:rsid w:val="00085524"/>
    <w:rsid w:val="00085544"/>
    <w:rsid w:val="00086571"/>
    <w:rsid w:val="00087862"/>
    <w:rsid w:val="000878FD"/>
    <w:rsid w:val="00087E7C"/>
    <w:rsid w:val="00090654"/>
    <w:rsid w:val="00090C13"/>
    <w:rsid w:val="00091204"/>
    <w:rsid w:val="000913CC"/>
    <w:rsid w:val="0009183D"/>
    <w:rsid w:val="00091D48"/>
    <w:rsid w:val="000923ED"/>
    <w:rsid w:val="0009409B"/>
    <w:rsid w:val="0009423B"/>
    <w:rsid w:val="0009446E"/>
    <w:rsid w:val="000946F9"/>
    <w:rsid w:val="000948F9"/>
    <w:rsid w:val="0009494E"/>
    <w:rsid w:val="00094F95"/>
    <w:rsid w:val="00095701"/>
    <w:rsid w:val="00096105"/>
    <w:rsid w:val="000965A6"/>
    <w:rsid w:val="00096602"/>
    <w:rsid w:val="000975B5"/>
    <w:rsid w:val="0009772F"/>
    <w:rsid w:val="00097940"/>
    <w:rsid w:val="00097B2F"/>
    <w:rsid w:val="00097EAA"/>
    <w:rsid w:val="000A0785"/>
    <w:rsid w:val="000A15D0"/>
    <w:rsid w:val="000A1BE9"/>
    <w:rsid w:val="000A1EC2"/>
    <w:rsid w:val="000A273E"/>
    <w:rsid w:val="000A2DC5"/>
    <w:rsid w:val="000A5207"/>
    <w:rsid w:val="000A576B"/>
    <w:rsid w:val="000A675E"/>
    <w:rsid w:val="000A7A8E"/>
    <w:rsid w:val="000A7C82"/>
    <w:rsid w:val="000A7DB6"/>
    <w:rsid w:val="000B03AB"/>
    <w:rsid w:val="000B097E"/>
    <w:rsid w:val="000B0C4F"/>
    <w:rsid w:val="000B17A3"/>
    <w:rsid w:val="000B1C99"/>
    <w:rsid w:val="000B29AE"/>
    <w:rsid w:val="000B499F"/>
    <w:rsid w:val="000B4DCE"/>
    <w:rsid w:val="000B521B"/>
    <w:rsid w:val="000B5A53"/>
    <w:rsid w:val="000B6128"/>
    <w:rsid w:val="000B61B6"/>
    <w:rsid w:val="000B6B68"/>
    <w:rsid w:val="000B6C74"/>
    <w:rsid w:val="000B7376"/>
    <w:rsid w:val="000B74E7"/>
    <w:rsid w:val="000C0397"/>
    <w:rsid w:val="000C0B8C"/>
    <w:rsid w:val="000C0C03"/>
    <w:rsid w:val="000C145B"/>
    <w:rsid w:val="000C157F"/>
    <w:rsid w:val="000C218C"/>
    <w:rsid w:val="000C23F7"/>
    <w:rsid w:val="000C26F6"/>
    <w:rsid w:val="000C3363"/>
    <w:rsid w:val="000C3425"/>
    <w:rsid w:val="000C34C5"/>
    <w:rsid w:val="000C3871"/>
    <w:rsid w:val="000C38B9"/>
    <w:rsid w:val="000C4268"/>
    <w:rsid w:val="000C4540"/>
    <w:rsid w:val="000C4870"/>
    <w:rsid w:val="000C4A53"/>
    <w:rsid w:val="000C4B7C"/>
    <w:rsid w:val="000C4C2C"/>
    <w:rsid w:val="000C6CD9"/>
    <w:rsid w:val="000C6F91"/>
    <w:rsid w:val="000C744E"/>
    <w:rsid w:val="000C794D"/>
    <w:rsid w:val="000C7CE9"/>
    <w:rsid w:val="000D0FE3"/>
    <w:rsid w:val="000D200E"/>
    <w:rsid w:val="000D23BD"/>
    <w:rsid w:val="000D2704"/>
    <w:rsid w:val="000D2A92"/>
    <w:rsid w:val="000D2BBF"/>
    <w:rsid w:val="000D30EB"/>
    <w:rsid w:val="000D487F"/>
    <w:rsid w:val="000D4CBA"/>
    <w:rsid w:val="000D57F0"/>
    <w:rsid w:val="000D5D86"/>
    <w:rsid w:val="000D61D9"/>
    <w:rsid w:val="000D6278"/>
    <w:rsid w:val="000D67A1"/>
    <w:rsid w:val="000D6D86"/>
    <w:rsid w:val="000D6F02"/>
    <w:rsid w:val="000D7D23"/>
    <w:rsid w:val="000E03B4"/>
    <w:rsid w:val="000E095F"/>
    <w:rsid w:val="000E138E"/>
    <w:rsid w:val="000E16FC"/>
    <w:rsid w:val="000E182C"/>
    <w:rsid w:val="000E1AD6"/>
    <w:rsid w:val="000E1D63"/>
    <w:rsid w:val="000E1F45"/>
    <w:rsid w:val="000E2AC8"/>
    <w:rsid w:val="000E2AF2"/>
    <w:rsid w:val="000E2BE5"/>
    <w:rsid w:val="000E3009"/>
    <w:rsid w:val="000E3745"/>
    <w:rsid w:val="000E3808"/>
    <w:rsid w:val="000E3DDF"/>
    <w:rsid w:val="000E4402"/>
    <w:rsid w:val="000E4A00"/>
    <w:rsid w:val="000E5281"/>
    <w:rsid w:val="000E5BA1"/>
    <w:rsid w:val="000E5CCF"/>
    <w:rsid w:val="000E5DCE"/>
    <w:rsid w:val="000E70AF"/>
    <w:rsid w:val="000E79DD"/>
    <w:rsid w:val="000F0721"/>
    <w:rsid w:val="000F0A33"/>
    <w:rsid w:val="000F0C82"/>
    <w:rsid w:val="000F13E1"/>
    <w:rsid w:val="000F1515"/>
    <w:rsid w:val="000F1DED"/>
    <w:rsid w:val="000F2082"/>
    <w:rsid w:val="000F20FA"/>
    <w:rsid w:val="000F2E9B"/>
    <w:rsid w:val="000F301F"/>
    <w:rsid w:val="000F3747"/>
    <w:rsid w:val="000F3A49"/>
    <w:rsid w:val="000F410D"/>
    <w:rsid w:val="000F4B54"/>
    <w:rsid w:val="000F4D3A"/>
    <w:rsid w:val="000F57FF"/>
    <w:rsid w:val="000F680B"/>
    <w:rsid w:val="000F6B92"/>
    <w:rsid w:val="000F79FB"/>
    <w:rsid w:val="00100235"/>
    <w:rsid w:val="001004BC"/>
    <w:rsid w:val="001005BF"/>
    <w:rsid w:val="00100B19"/>
    <w:rsid w:val="00100CE1"/>
    <w:rsid w:val="0010154A"/>
    <w:rsid w:val="00101770"/>
    <w:rsid w:val="00101A4E"/>
    <w:rsid w:val="00101ADD"/>
    <w:rsid w:val="00101FB9"/>
    <w:rsid w:val="001023F8"/>
    <w:rsid w:val="001025DA"/>
    <w:rsid w:val="001026ED"/>
    <w:rsid w:val="00102D03"/>
    <w:rsid w:val="00102F0B"/>
    <w:rsid w:val="00103479"/>
    <w:rsid w:val="00103672"/>
    <w:rsid w:val="00103A40"/>
    <w:rsid w:val="00104591"/>
    <w:rsid w:val="001047D8"/>
    <w:rsid w:val="00104C08"/>
    <w:rsid w:val="0010618A"/>
    <w:rsid w:val="00106223"/>
    <w:rsid w:val="00106E1E"/>
    <w:rsid w:val="00107B69"/>
    <w:rsid w:val="00110244"/>
    <w:rsid w:val="0011048B"/>
    <w:rsid w:val="00110EAB"/>
    <w:rsid w:val="00111082"/>
    <w:rsid w:val="00111682"/>
    <w:rsid w:val="0011168A"/>
    <w:rsid w:val="00111BD4"/>
    <w:rsid w:val="00112164"/>
    <w:rsid w:val="001123A9"/>
    <w:rsid w:val="00112651"/>
    <w:rsid w:val="0011278C"/>
    <w:rsid w:val="001132E7"/>
    <w:rsid w:val="00113DCD"/>
    <w:rsid w:val="00114243"/>
    <w:rsid w:val="00114814"/>
    <w:rsid w:val="00115648"/>
    <w:rsid w:val="00115A07"/>
    <w:rsid w:val="001169FC"/>
    <w:rsid w:val="001170CD"/>
    <w:rsid w:val="00117846"/>
    <w:rsid w:val="001179F5"/>
    <w:rsid w:val="00117BA0"/>
    <w:rsid w:val="00117D49"/>
    <w:rsid w:val="00120990"/>
    <w:rsid w:val="00121232"/>
    <w:rsid w:val="0012155C"/>
    <w:rsid w:val="00121B41"/>
    <w:rsid w:val="00121B63"/>
    <w:rsid w:val="00121BB3"/>
    <w:rsid w:val="00121C2E"/>
    <w:rsid w:val="00121C60"/>
    <w:rsid w:val="00121CD9"/>
    <w:rsid w:val="00123F05"/>
    <w:rsid w:val="00124083"/>
    <w:rsid w:val="001245A1"/>
    <w:rsid w:val="001246E9"/>
    <w:rsid w:val="00124A89"/>
    <w:rsid w:val="001256BA"/>
    <w:rsid w:val="0012712C"/>
    <w:rsid w:val="001272F9"/>
    <w:rsid w:val="00127949"/>
    <w:rsid w:val="00127A81"/>
    <w:rsid w:val="001300F3"/>
    <w:rsid w:val="00130A6A"/>
    <w:rsid w:val="00130E3F"/>
    <w:rsid w:val="00131643"/>
    <w:rsid w:val="001316C4"/>
    <w:rsid w:val="001319F4"/>
    <w:rsid w:val="00132013"/>
    <w:rsid w:val="00132594"/>
    <w:rsid w:val="00132879"/>
    <w:rsid w:val="00133785"/>
    <w:rsid w:val="00133BA3"/>
    <w:rsid w:val="00134BAC"/>
    <w:rsid w:val="0013566B"/>
    <w:rsid w:val="00135D0B"/>
    <w:rsid w:val="0013600B"/>
    <w:rsid w:val="00137217"/>
    <w:rsid w:val="0013790B"/>
    <w:rsid w:val="00137C47"/>
    <w:rsid w:val="001401F3"/>
    <w:rsid w:val="00141185"/>
    <w:rsid w:val="0014129B"/>
    <w:rsid w:val="00141566"/>
    <w:rsid w:val="00141682"/>
    <w:rsid w:val="00141FDE"/>
    <w:rsid w:val="001422CC"/>
    <w:rsid w:val="00142E8D"/>
    <w:rsid w:val="001431C3"/>
    <w:rsid w:val="00143563"/>
    <w:rsid w:val="00143639"/>
    <w:rsid w:val="00143B8B"/>
    <w:rsid w:val="001441FA"/>
    <w:rsid w:val="001452B8"/>
    <w:rsid w:val="0014579C"/>
    <w:rsid w:val="0014580B"/>
    <w:rsid w:val="00145A4C"/>
    <w:rsid w:val="00145F6B"/>
    <w:rsid w:val="001463B6"/>
    <w:rsid w:val="001465BE"/>
    <w:rsid w:val="00146777"/>
    <w:rsid w:val="00146C69"/>
    <w:rsid w:val="001470EA"/>
    <w:rsid w:val="00147221"/>
    <w:rsid w:val="00147494"/>
    <w:rsid w:val="0015015F"/>
    <w:rsid w:val="001509B3"/>
    <w:rsid w:val="00150D6F"/>
    <w:rsid w:val="001510A2"/>
    <w:rsid w:val="0015139A"/>
    <w:rsid w:val="00152167"/>
    <w:rsid w:val="0015286C"/>
    <w:rsid w:val="00154364"/>
    <w:rsid w:val="00154549"/>
    <w:rsid w:val="001546B2"/>
    <w:rsid w:val="00154A96"/>
    <w:rsid w:val="00154B43"/>
    <w:rsid w:val="00155715"/>
    <w:rsid w:val="001558A5"/>
    <w:rsid w:val="00155B34"/>
    <w:rsid w:val="00155BA3"/>
    <w:rsid w:val="00156286"/>
    <w:rsid w:val="00156B28"/>
    <w:rsid w:val="00156F3B"/>
    <w:rsid w:val="001572C8"/>
    <w:rsid w:val="001575BC"/>
    <w:rsid w:val="00157633"/>
    <w:rsid w:val="0015794A"/>
    <w:rsid w:val="00157E74"/>
    <w:rsid w:val="001603B5"/>
    <w:rsid w:val="00160A6B"/>
    <w:rsid w:val="0016162F"/>
    <w:rsid w:val="00161776"/>
    <w:rsid w:val="00161BAC"/>
    <w:rsid w:val="00161E30"/>
    <w:rsid w:val="00161F19"/>
    <w:rsid w:val="001623CB"/>
    <w:rsid w:val="0016245D"/>
    <w:rsid w:val="001628B9"/>
    <w:rsid w:val="001639B1"/>
    <w:rsid w:val="00163E11"/>
    <w:rsid w:val="00164717"/>
    <w:rsid w:val="00164B72"/>
    <w:rsid w:val="00164FD5"/>
    <w:rsid w:val="00165859"/>
    <w:rsid w:val="001664FD"/>
    <w:rsid w:val="00166C34"/>
    <w:rsid w:val="00166F4F"/>
    <w:rsid w:val="00167179"/>
    <w:rsid w:val="001707B4"/>
    <w:rsid w:val="00170967"/>
    <w:rsid w:val="00170BCC"/>
    <w:rsid w:val="001714CC"/>
    <w:rsid w:val="00171690"/>
    <w:rsid w:val="00171765"/>
    <w:rsid w:val="00171B84"/>
    <w:rsid w:val="00171F05"/>
    <w:rsid w:val="0017232C"/>
    <w:rsid w:val="001723E2"/>
    <w:rsid w:val="001723F5"/>
    <w:rsid w:val="00172479"/>
    <w:rsid w:val="001724FC"/>
    <w:rsid w:val="00172891"/>
    <w:rsid w:val="00172F4D"/>
    <w:rsid w:val="00173498"/>
    <w:rsid w:val="001743E9"/>
    <w:rsid w:val="00174519"/>
    <w:rsid w:val="00174EF0"/>
    <w:rsid w:val="001750A5"/>
    <w:rsid w:val="001750A9"/>
    <w:rsid w:val="001753A3"/>
    <w:rsid w:val="00175473"/>
    <w:rsid w:val="001755EC"/>
    <w:rsid w:val="00175A3A"/>
    <w:rsid w:val="00175B21"/>
    <w:rsid w:val="00175C6C"/>
    <w:rsid w:val="00175E16"/>
    <w:rsid w:val="0017615A"/>
    <w:rsid w:val="00176610"/>
    <w:rsid w:val="0017675C"/>
    <w:rsid w:val="00176B7E"/>
    <w:rsid w:val="00176E0F"/>
    <w:rsid w:val="00177148"/>
    <w:rsid w:val="0017750C"/>
    <w:rsid w:val="00177844"/>
    <w:rsid w:val="00177CAC"/>
    <w:rsid w:val="00177F9F"/>
    <w:rsid w:val="00177FBA"/>
    <w:rsid w:val="0018025E"/>
    <w:rsid w:val="0018051D"/>
    <w:rsid w:val="00180F1E"/>
    <w:rsid w:val="001814B6"/>
    <w:rsid w:val="00181C69"/>
    <w:rsid w:val="00181DCF"/>
    <w:rsid w:val="00182245"/>
    <w:rsid w:val="00182318"/>
    <w:rsid w:val="0018235A"/>
    <w:rsid w:val="001823F7"/>
    <w:rsid w:val="001826BF"/>
    <w:rsid w:val="0018285D"/>
    <w:rsid w:val="001829FB"/>
    <w:rsid w:val="00182E43"/>
    <w:rsid w:val="00184616"/>
    <w:rsid w:val="0018463C"/>
    <w:rsid w:val="00184D97"/>
    <w:rsid w:val="0018513E"/>
    <w:rsid w:val="001853E7"/>
    <w:rsid w:val="00185735"/>
    <w:rsid w:val="001857C8"/>
    <w:rsid w:val="00185E0B"/>
    <w:rsid w:val="00185F1D"/>
    <w:rsid w:val="001863CE"/>
    <w:rsid w:val="0018667D"/>
    <w:rsid w:val="001867FE"/>
    <w:rsid w:val="0018697C"/>
    <w:rsid w:val="001871DC"/>
    <w:rsid w:val="00187DF0"/>
    <w:rsid w:val="00187ED2"/>
    <w:rsid w:val="00187F64"/>
    <w:rsid w:val="001900CC"/>
    <w:rsid w:val="00190249"/>
    <w:rsid w:val="001908FB"/>
    <w:rsid w:val="001913FD"/>
    <w:rsid w:val="0019156D"/>
    <w:rsid w:val="00192875"/>
    <w:rsid w:val="00192CA0"/>
    <w:rsid w:val="00192FAD"/>
    <w:rsid w:val="001938E5"/>
    <w:rsid w:val="00194018"/>
    <w:rsid w:val="00194140"/>
    <w:rsid w:val="00194D8E"/>
    <w:rsid w:val="00195116"/>
    <w:rsid w:val="00195383"/>
    <w:rsid w:val="00196C44"/>
    <w:rsid w:val="001977DE"/>
    <w:rsid w:val="00197A46"/>
    <w:rsid w:val="00197E41"/>
    <w:rsid w:val="001A042A"/>
    <w:rsid w:val="001A0E63"/>
    <w:rsid w:val="001A13A5"/>
    <w:rsid w:val="001A1794"/>
    <w:rsid w:val="001A17A2"/>
    <w:rsid w:val="001A1A04"/>
    <w:rsid w:val="001A22A8"/>
    <w:rsid w:val="001A2A31"/>
    <w:rsid w:val="001A456D"/>
    <w:rsid w:val="001A5452"/>
    <w:rsid w:val="001A56C3"/>
    <w:rsid w:val="001A5E7E"/>
    <w:rsid w:val="001A65A8"/>
    <w:rsid w:val="001A6D09"/>
    <w:rsid w:val="001A7024"/>
    <w:rsid w:val="001A706E"/>
    <w:rsid w:val="001A70B1"/>
    <w:rsid w:val="001A733B"/>
    <w:rsid w:val="001A7C67"/>
    <w:rsid w:val="001A7CD1"/>
    <w:rsid w:val="001B0015"/>
    <w:rsid w:val="001B0567"/>
    <w:rsid w:val="001B0ECD"/>
    <w:rsid w:val="001B0F9E"/>
    <w:rsid w:val="001B1047"/>
    <w:rsid w:val="001B15C4"/>
    <w:rsid w:val="001B1BE9"/>
    <w:rsid w:val="001B1E5E"/>
    <w:rsid w:val="001B1EBF"/>
    <w:rsid w:val="001B2281"/>
    <w:rsid w:val="001B25CC"/>
    <w:rsid w:val="001B2D6B"/>
    <w:rsid w:val="001B338D"/>
    <w:rsid w:val="001B3790"/>
    <w:rsid w:val="001B37D7"/>
    <w:rsid w:val="001B38E8"/>
    <w:rsid w:val="001B3EFC"/>
    <w:rsid w:val="001B4448"/>
    <w:rsid w:val="001B5124"/>
    <w:rsid w:val="001B5840"/>
    <w:rsid w:val="001B5C1A"/>
    <w:rsid w:val="001B6738"/>
    <w:rsid w:val="001B7BB2"/>
    <w:rsid w:val="001C0207"/>
    <w:rsid w:val="001C02F8"/>
    <w:rsid w:val="001C037E"/>
    <w:rsid w:val="001C16BE"/>
    <w:rsid w:val="001C2237"/>
    <w:rsid w:val="001C2BFB"/>
    <w:rsid w:val="001C316F"/>
    <w:rsid w:val="001C3D6B"/>
    <w:rsid w:val="001C4342"/>
    <w:rsid w:val="001C453E"/>
    <w:rsid w:val="001C5182"/>
    <w:rsid w:val="001C5B6B"/>
    <w:rsid w:val="001C5BCA"/>
    <w:rsid w:val="001C5C81"/>
    <w:rsid w:val="001C6A01"/>
    <w:rsid w:val="001C6E69"/>
    <w:rsid w:val="001C74BC"/>
    <w:rsid w:val="001C74BD"/>
    <w:rsid w:val="001C7545"/>
    <w:rsid w:val="001C78DA"/>
    <w:rsid w:val="001C7B5A"/>
    <w:rsid w:val="001C7BF6"/>
    <w:rsid w:val="001D00A7"/>
    <w:rsid w:val="001D029B"/>
    <w:rsid w:val="001D0577"/>
    <w:rsid w:val="001D0812"/>
    <w:rsid w:val="001D09B9"/>
    <w:rsid w:val="001D1000"/>
    <w:rsid w:val="001D11A2"/>
    <w:rsid w:val="001D14B2"/>
    <w:rsid w:val="001D1988"/>
    <w:rsid w:val="001D2064"/>
    <w:rsid w:val="001D233C"/>
    <w:rsid w:val="001D2EB0"/>
    <w:rsid w:val="001D31AA"/>
    <w:rsid w:val="001D3567"/>
    <w:rsid w:val="001D3A74"/>
    <w:rsid w:val="001D4F90"/>
    <w:rsid w:val="001D636B"/>
    <w:rsid w:val="001D6709"/>
    <w:rsid w:val="001D7DDB"/>
    <w:rsid w:val="001D7FD4"/>
    <w:rsid w:val="001E0D76"/>
    <w:rsid w:val="001E16B7"/>
    <w:rsid w:val="001E177A"/>
    <w:rsid w:val="001E18E0"/>
    <w:rsid w:val="001E1980"/>
    <w:rsid w:val="001E355A"/>
    <w:rsid w:val="001E38AF"/>
    <w:rsid w:val="001E43A3"/>
    <w:rsid w:val="001E45C0"/>
    <w:rsid w:val="001E4619"/>
    <w:rsid w:val="001E50A6"/>
    <w:rsid w:val="001E556A"/>
    <w:rsid w:val="001E5817"/>
    <w:rsid w:val="001E69E7"/>
    <w:rsid w:val="001E71EC"/>
    <w:rsid w:val="001E742B"/>
    <w:rsid w:val="001E7565"/>
    <w:rsid w:val="001E7593"/>
    <w:rsid w:val="001E799A"/>
    <w:rsid w:val="001E79BC"/>
    <w:rsid w:val="001F0B36"/>
    <w:rsid w:val="001F0BC0"/>
    <w:rsid w:val="001F1168"/>
    <w:rsid w:val="001F1DF9"/>
    <w:rsid w:val="001F1FB8"/>
    <w:rsid w:val="001F2273"/>
    <w:rsid w:val="001F2D62"/>
    <w:rsid w:val="001F2DD6"/>
    <w:rsid w:val="001F3097"/>
    <w:rsid w:val="001F3443"/>
    <w:rsid w:val="001F3557"/>
    <w:rsid w:val="001F3B43"/>
    <w:rsid w:val="001F3ED0"/>
    <w:rsid w:val="001F4382"/>
    <w:rsid w:val="001F51A5"/>
    <w:rsid w:val="001F53AF"/>
    <w:rsid w:val="001F64A7"/>
    <w:rsid w:val="001F655A"/>
    <w:rsid w:val="001F6A72"/>
    <w:rsid w:val="001F6B46"/>
    <w:rsid w:val="001F6F67"/>
    <w:rsid w:val="001F7892"/>
    <w:rsid w:val="001F7DAA"/>
    <w:rsid w:val="00201428"/>
    <w:rsid w:val="00201A7E"/>
    <w:rsid w:val="00201AA0"/>
    <w:rsid w:val="002024DA"/>
    <w:rsid w:val="00203E99"/>
    <w:rsid w:val="0020418E"/>
    <w:rsid w:val="00204CC7"/>
    <w:rsid w:val="00205103"/>
    <w:rsid w:val="0020536C"/>
    <w:rsid w:val="002060AA"/>
    <w:rsid w:val="002064ED"/>
    <w:rsid w:val="002074A4"/>
    <w:rsid w:val="0020750F"/>
    <w:rsid w:val="00207681"/>
    <w:rsid w:val="002077DA"/>
    <w:rsid w:val="00210923"/>
    <w:rsid w:val="00210DC0"/>
    <w:rsid w:val="0021126D"/>
    <w:rsid w:val="00211D02"/>
    <w:rsid w:val="002127EE"/>
    <w:rsid w:val="002128A7"/>
    <w:rsid w:val="002130B3"/>
    <w:rsid w:val="0021319C"/>
    <w:rsid w:val="002135D1"/>
    <w:rsid w:val="00213677"/>
    <w:rsid w:val="00214124"/>
    <w:rsid w:val="00214150"/>
    <w:rsid w:val="002144EA"/>
    <w:rsid w:val="0021475B"/>
    <w:rsid w:val="002149B5"/>
    <w:rsid w:val="00214F89"/>
    <w:rsid w:val="0021525B"/>
    <w:rsid w:val="0021626A"/>
    <w:rsid w:val="002165AC"/>
    <w:rsid w:val="00217A4B"/>
    <w:rsid w:val="00217BF0"/>
    <w:rsid w:val="00217D3D"/>
    <w:rsid w:val="00220037"/>
    <w:rsid w:val="002208FD"/>
    <w:rsid w:val="00220E22"/>
    <w:rsid w:val="00221429"/>
    <w:rsid w:val="0022147B"/>
    <w:rsid w:val="0022212D"/>
    <w:rsid w:val="002226FF"/>
    <w:rsid w:val="00223413"/>
    <w:rsid w:val="00223AA9"/>
    <w:rsid w:val="00223F8D"/>
    <w:rsid w:val="00223FFC"/>
    <w:rsid w:val="002244A2"/>
    <w:rsid w:val="00224CFA"/>
    <w:rsid w:val="00225AE0"/>
    <w:rsid w:val="002260D5"/>
    <w:rsid w:val="0022624E"/>
    <w:rsid w:val="002264B4"/>
    <w:rsid w:val="002271B6"/>
    <w:rsid w:val="00227F08"/>
    <w:rsid w:val="00230055"/>
    <w:rsid w:val="0023051B"/>
    <w:rsid w:val="002306A7"/>
    <w:rsid w:val="002309DF"/>
    <w:rsid w:val="00230BA2"/>
    <w:rsid w:val="00230F73"/>
    <w:rsid w:val="00230FD1"/>
    <w:rsid w:val="0023136A"/>
    <w:rsid w:val="00231537"/>
    <w:rsid w:val="00231B25"/>
    <w:rsid w:val="00231F81"/>
    <w:rsid w:val="0023202B"/>
    <w:rsid w:val="002326DD"/>
    <w:rsid w:val="00232E08"/>
    <w:rsid w:val="00232E8D"/>
    <w:rsid w:val="00232EC5"/>
    <w:rsid w:val="00234AE0"/>
    <w:rsid w:val="00234C92"/>
    <w:rsid w:val="00235E49"/>
    <w:rsid w:val="002367E1"/>
    <w:rsid w:val="00236E8A"/>
    <w:rsid w:val="00237284"/>
    <w:rsid w:val="00237515"/>
    <w:rsid w:val="00237CA4"/>
    <w:rsid w:val="002404B1"/>
    <w:rsid w:val="002407F7"/>
    <w:rsid w:val="00240C5E"/>
    <w:rsid w:val="00240CB4"/>
    <w:rsid w:val="00241063"/>
    <w:rsid w:val="00241696"/>
    <w:rsid w:val="00241CBD"/>
    <w:rsid w:val="00241E60"/>
    <w:rsid w:val="0024214D"/>
    <w:rsid w:val="002422CF"/>
    <w:rsid w:val="00242C11"/>
    <w:rsid w:val="00243459"/>
    <w:rsid w:val="00243501"/>
    <w:rsid w:val="00243508"/>
    <w:rsid w:val="00243926"/>
    <w:rsid w:val="00243BF4"/>
    <w:rsid w:val="00243D30"/>
    <w:rsid w:val="00243F74"/>
    <w:rsid w:val="0024443E"/>
    <w:rsid w:val="00244608"/>
    <w:rsid w:val="00244A57"/>
    <w:rsid w:val="00244D7E"/>
    <w:rsid w:val="00244DC4"/>
    <w:rsid w:val="002451DB"/>
    <w:rsid w:val="0024534A"/>
    <w:rsid w:val="002453B3"/>
    <w:rsid w:val="00245787"/>
    <w:rsid w:val="00247313"/>
    <w:rsid w:val="002504A2"/>
    <w:rsid w:val="00250692"/>
    <w:rsid w:val="0025079E"/>
    <w:rsid w:val="0025095B"/>
    <w:rsid w:val="0025112D"/>
    <w:rsid w:val="00251197"/>
    <w:rsid w:val="00251C82"/>
    <w:rsid w:val="00251F97"/>
    <w:rsid w:val="00252CE1"/>
    <w:rsid w:val="00254FBA"/>
    <w:rsid w:val="0025532C"/>
    <w:rsid w:val="00256EBE"/>
    <w:rsid w:val="002570AD"/>
    <w:rsid w:val="002600A8"/>
    <w:rsid w:val="00260332"/>
    <w:rsid w:val="00260391"/>
    <w:rsid w:val="00260961"/>
    <w:rsid w:val="00260998"/>
    <w:rsid w:val="0026297F"/>
    <w:rsid w:val="00262CC7"/>
    <w:rsid w:val="00263AEC"/>
    <w:rsid w:val="002641AD"/>
    <w:rsid w:val="002643D0"/>
    <w:rsid w:val="00264F6B"/>
    <w:rsid w:val="00266B37"/>
    <w:rsid w:val="00266BC1"/>
    <w:rsid w:val="00267342"/>
    <w:rsid w:val="002676D1"/>
    <w:rsid w:val="00270C74"/>
    <w:rsid w:val="00270F58"/>
    <w:rsid w:val="002716F8"/>
    <w:rsid w:val="00271A26"/>
    <w:rsid w:val="00272219"/>
    <w:rsid w:val="00272CA0"/>
    <w:rsid w:val="00272ECD"/>
    <w:rsid w:val="0027351B"/>
    <w:rsid w:val="00273EC2"/>
    <w:rsid w:val="00274038"/>
    <w:rsid w:val="002741E8"/>
    <w:rsid w:val="00274841"/>
    <w:rsid w:val="0027518B"/>
    <w:rsid w:val="00275336"/>
    <w:rsid w:val="00275369"/>
    <w:rsid w:val="00275379"/>
    <w:rsid w:val="002758A1"/>
    <w:rsid w:val="002760CB"/>
    <w:rsid w:val="00276AD9"/>
    <w:rsid w:val="00276F5F"/>
    <w:rsid w:val="002771F4"/>
    <w:rsid w:val="00277402"/>
    <w:rsid w:val="002778EB"/>
    <w:rsid w:val="00280302"/>
    <w:rsid w:val="002805DC"/>
    <w:rsid w:val="00280659"/>
    <w:rsid w:val="00280753"/>
    <w:rsid w:val="002810C9"/>
    <w:rsid w:val="002819FD"/>
    <w:rsid w:val="00281B47"/>
    <w:rsid w:val="00282781"/>
    <w:rsid w:val="00282C82"/>
    <w:rsid w:val="002832ED"/>
    <w:rsid w:val="00283462"/>
    <w:rsid w:val="00283AD0"/>
    <w:rsid w:val="002840AE"/>
    <w:rsid w:val="00284BFC"/>
    <w:rsid w:val="002852E5"/>
    <w:rsid w:val="00285376"/>
    <w:rsid w:val="00285E53"/>
    <w:rsid w:val="00287429"/>
    <w:rsid w:val="00287780"/>
    <w:rsid w:val="002906E4"/>
    <w:rsid w:val="00290C5A"/>
    <w:rsid w:val="00291395"/>
    <w:rsid w:val="0029143D"/>
    <w:rsid w:val="002917E8"/>
    <w:rsid w:val="00291906"/>
    <w:rsid w:val="00291A4A"/>
    <w:rsid w:val="00291C41"/>
    <w:rsid w:val="00291CB6"/>
    <w:rsid w:val="002921DB"/>
    <w:rsid w:val="00292842"/>
    <w:rsid w:val="00292B5B"/>
    <w:rsid w:val="00292D0D"/>
    <w:rsid w:val="00292E47"/>
    <w:rsid w:val="002930F7"/>
    <w:rsid w:val="0029325D"/>
    <w:rsid w:val="00293D59"/>
    <w:rsid w:val="00293F26"/>
    <w:rsid w:val="00293F58"/>
    <w:rsid w:val="0029416B"/>
    <w:rsid w:val="00294676"/>
    <w:rsid w:val="0029475B"/>
    <w:rsid w:val="002948EB"/>
    <w:rsid w:val="0029498B"/>
    <w:rsid w:val="00294B37"/>
    <w:rsid w:val="00294E9B"/>
    <w:rsid w:val="00295A5F"/>
    <w:rsid w:val="00295F15"/>
    <w:rsid w:val="00296019"/>
    <w:rsid w:val="0029628E"/>
    <w:rsid w:val="00297150"/>
    <w:rsid w:val="002972C2"/>
    <w:rsid w:val="00297373"/>
    <w:rsid w:val="002A0C01"/>
    <w:rsid w:val="002A0CA2"/>
    <w:rsid w:val="002A0CC8"/>
    <w:rsid w:val="002A0D37"/>
    <w:rsid w:val="002A15F8"/>
    <w:rsid w:val="002A1606"/>
    <w:rsid w:val="002A23D8"/>
    <w:rsid w:val="002A2900"/>
    <w:rsid w:val="002A29F2"/>
    <w:rsid w:val="002A304F"/>
    <w:rsid w:val="002A314C"/>
    <w:rsid w:val="002A354B"/>
    <w:rsid w:val="002A3F73"/>
    <w:rsid w:val="002A3FA6"/>
    <w:rsid w:val="002A4C4F"/>
    <w:rsid w:val="002A521B"/>
    <w:rsid w:val="002A537D"/>
    <w:rsid w:val="002A575F"/>
    <w:rsid w:val="002A5DE6"/>
    <w:rsid w:val="002A6063"/>
    <w:rsid w:val="002A6E3C"/>
    <w:rsid w:val="002A7A4E"/>
    <w:rsid w:val="002A7F81"/>
    <w:rsid w:val="002B0324"/>
    <w:rsid w:val="002B035A"/>
    <w:rsid w:val="002B0A2D"/>
    <w:rsid w:val="002B1031"/>
    <w:rsid w:val="002B106A"/>
    <w:rsid w:val="002B1D59"/>
    <w:rsid w:val="002B2A89"/>
    <w:rsid w:val="002B2E69"/>
    <w:rsid w:val="002B32A8"/>
    <w:rsid w:val="002B33C7"/>
    <w:rsid w:val="002B3565"/>
    <w:rsid w:val="002B3685"/>
    <w:rsid w:val="002B37B1"/>
    <w:rsid w:val="002B457D"/>
    <w:rsid w:val="002B4CA7"/>
    <w:rsid w:val="002B53F4"/>
    <w:rsid w:val="002B5898"/>
    <w:rsid w:val="002B6A65"/>
    <w:rsid w:val="002B756D"/>
    <w:rsid w:val="002B7963"/>
    <w:rsid w:val="002B7A2A"/>
    <w:rsid w:val="002C1272"/>
    <w:rsid w:val="002C14C9"/>
    <w:rsid w:val="002C2161"/>
    <w:rsid w:val="002C22CA"/>
    <w:rsid w:val="002C273A"/>
    <w:rsid w:val="002C298E"/>
    <w:rsid w:val="002C2B17"/>
    <w:rsid w:val="002C35B4"/>
    <w:rsid w:val="002C3FCF"/>
    <w:rsid w:val="002C50FD"/>
    <w:rsid w:val="002C5F64"/>
    <w:rsid w:val="002C77F5"/>
    <w:rsid w:val="002C7C23"/>
    <w:rsid w:val="002D0221"/>
    <w:rsid w:val="002D0741"/>
    <w:rsid w:val="002D0D65"/>
    <w:rsid w:val="002D1A06"/>
    <w:rsid w:val="002D1A71"/>
    <w:rsid w:val="002D1C60"/>
    <w:rsid w:val="002D219A"/>
    <w:rsid w:val="002D2D6A"/>
    <w:rsid w:val="002D35DD"/>
    <w:rsid w:val="002D3B49"/>
    <w:rsid w:val="002D4124"/>
    <w:rsid w:val="002D44F5"/>
    <w:rsid w:val="002D4783"/>
    <w:rsid w:val="002D4CD0"/>
    <w:rsid w:val="002D4D08"/>
    <w:rsid w:val="002D5D46"/>
    <w:rsid w:val="002D6451"/>
    <w:rsid w:val="002D6C0C"/>
    <w:rsid w:val="002D7DA5"/>
    <w:rsid w:val="002D7F7A"/>
    <w:rsid w:val="002E01D2"/>
    <w:rsid w:val="002E24F5"/>
    <w:rsid w:val="002E302E"/>
    <w:rsid w:val="002E3743"/>
    <w:rsid w:val="002E44B3"/>
    <w:rsid w:val="002E5361"/>
    <w:rsid w:val="002E53AD"/>
    <w:rsid w:val="002E58B7"/>
    <w:rsid w:val="002E5D2B"/>
    <w:rsid w:val="002E6F7D"/>
    <w:rsid w:val="002E6FA3"/>
    <w:rsid w:val="002E71DF"/>
    <w:rsid w:val="002E78A1"/>
    <w:rsid w:val="002E7DB1"/>
    <w:rsid w:val="002E7DD3"/>
    <w:rsid w:val="002F0B72"/>
    <w:rsid w:val="002F0C40"/>
    <w:rsid w:val="002F0C65"/>
    <w:rsid w:val="002F15F9"/>
    <w:rsid w:val="002F1983"/>
    <w:rsid w:val="002F1A85"/>
    <w:rsid w:val="002F1CF3"/>
    <w:rsid w:val="002F279A"/>
    <w:rsid w:val="002F2A8E"/>
    <w:rsid w:val="002F2E1B"/>
    <w:rsid w:val="002F2F56"/>
    <w:rsid w:val="002F2FD2"/>
    <w:rsid w:val="002F31A1"/>
    <w:rsid w:val="002F33E7"/>
    <w:rsid w:val="002F347E"/>
    <w:rsid w:val="002F3B38"/>
    <w:rsid w:val="002F3FBC"/>
    <w:rsid w:val="002F4364"/>
    <w:rsid w:val="002F4630"/>
    <w:rsid w:val="002F48E5"/>
    <w:rsid w:val="002F4B37"/>
    <w:rsid w:val="002F4DAC"/>
    <w:rsid w:val="002F4F08"/>
    <w:rsid w:val="002F544F"/>
    <w:rsid w:val="002F59E3"/>
    <w:rsid w:val="002F5CED"/>
    <w:rsid w:val="002F603A"/>
    <w:rsid w:val="002F6471"/>
    <w:rsid w:val="002F6840"/>
    <w:rsid w:val="002F6AC0"/>
    <w:rsid w:val="00300127"/>
    <w:rsid w:val="00300752"/>
    <w:rsid w:val="0030090F"/>
    <w:rsid w:val="00300D2F"/>
    <w:rsid w:val="00301506"/>
    <w:rsid w:val="0030173F"/>
    <w:rsid w:val="0030204A"/>
    <w:rsid w:val="003025A2"/>
    <w:rsid w:val="0030296C"/>
    <w:rsid w:val="00303AE0"/>
    <w:rsid w:val="00303CBB"/>
    <w:rsid w:val="003041CC"/>
    <w:rsid w:val="00304AB0"/>
    <w:rsid w:val="00304B55"/>
    <w:rsid w:val="0030558D"/>
    <w:rsid w:val="00306015"/>
    <w:rsid w:val="0030686F"/>
    <w:rsid w:val="00306BC8"/>
    <w:rsid w:val="00306CA2"/>
    <w:rsid w:val="00306FAF"/>
    <w:rsid w:val="0030705E"/>
    <w:rsid w:val="00307B4F"/>
    <w:rsid w:val="00307B64"/>
    <w:rsid w:val="00310D60"/>
    <w:rsid w:val="0031156C"/>
    <w:rsid w:val="003115D5"/>
    <w:rsid w:val="00311683"/>
    <w:rsid w:val="00311DC5"/>
    <w:rsid w:val="0031219C"/>
    <w:rsid w:val="00312735"/>
    <w:rsid w:val="00312A69"/>
    <w:rsid w:val="003133AB"/>
    <w:rsid w:val="003134A8"/>
    <w:rsid w:val="003136EE"/>
    <w:rsid w:val="00313B86"/>
    <w:rsid w:val="00313F54"/>
    <w:rsid w:val="003146B8"/>
    <w:rsid w:val="003149CC"/>
    <w:rsid w:val="00314B4C"/>
    <w:rsid w:val="003150E0"/>
    <w:rsid w:val="00316033"/>
    <w:rsid w:val="003160E2"/>
    <w:rsid w:val="00316310"/>
    <w:rsid w:val="00316BB9"/>
    <w:rsid w:val="00316E64"/>
    <w:rsid w:val="0031702C"/>
    <w:rsid w:val="003172E0"/>
    <w:rsid w:val="0031730C"/>
    <w:rsid w:val="003178E3"/>
    <w:rsid w:val="00320F6F"/>
    <w:rsid w:val="00321C39"/>
    <w:rsid w:val="00321C61"/>
    <w:rsid w:val="00322449"/>
    <w:rsid w:val="003226BD"/>
    <w:rsid w:val="0032299E"/>
    <w:rsid w:val="00322F94"/>
    <w:rsid w:val="00322FC1"/>
    <w:rsid w:val="0032352E"/>
    <w:rsid w:val="00323DC4"/>
    <w:rsid w:val="00324CA9"/>
    <w:rsid w:val="00324D26"/>
    <w:rsid w:val="003261FF"/>
    <w:rsid w:val="003277D4"/>
    <w:rsid w:val="00327D01"/>
    <w:rsid w:val="00327DDE"/>
    <w:rsid w:val="00330481"/>
    <w:rsid w:val="003316EF"/>
    <w:rsid w:val="00331866"/>
    <w:rsid w:val="00331DB0"/>
    <w:rsid w:val="003321EF"/>
    <w:rsid w:val="00332FCA"/>
    <w:rsid w:val="00333106"/>
    <w:rsid w:val="003334EF"/>
    <w:rsid w:val="00333DBD"/>
    <w:rsid w:val="00333E24"/>
    <w:rsid w:val="0033401D"/>
    <w:rsid w:val="00334B49"/>
    <w:rsid w:val="00334E55"/>
    <w:rsid w:val="00335788"/>
    <w:rsid w:val="003365AC"/>
    <w:rsid w:val="003379C5"/>
    <w:rsid w:val="00337D05"/>
    <w:rsid w:val="00340995"/>
    <w:rsid w:val="003409EC"/>
    <w:rsid w:val="00340F7D"/>
    <w:rsid w:val="0034139E"/>
    <w:rsid w:val="0034148D"/>
    <w:rsid w:val="00341A45"/>
    <w:rsid w:val="003426E8"/>
    <w:rsid w:val="00343A71"/>
    <w:rsid w:val="00343C23"/>
    <w:rsid w:val="003441B3"/>
    <w:rsid w:val="0034421F"/>
    <w:rsid w:val="0034474C"/>
    <w:rsid w:val="00345519"/>
    <w:rsid w:val="0034601D"/>
    <w:rsid w:val="00346875"/>
    <w:rsid w:val="00346AA6"/>
    <w:rsid w:val="00346D8F"/>
    <w:rsid w:val="0034798D"/>
    <w:rsid w:val="00347A54"/>
    <w:rsid w:val="00347B6E"/>
    <w:rsid w:val="00347CFC"/>
    <w:rsid w:val="00350B85"/>
    <w:rsid w:val="00350BAD"/>
    <w:rsid w:val="00350BCD"/>
    <w:rsid w:val="0035108B"/>
    <w:rsid w:val="00351175"/>
    <w:rsid w:val="003512CD"/>
    <w:rsid w:val="00351415"/>
    <w:rsid w:val="00351B8F"/>
    <w:rsid w:val="00351D8D"/>
    <w:rsid w:val="003536EC"/>
    <w:rsid w:val="00353881"/>
    <w:rsid w:val="00353B7A"/>
    <w:rsid w:val="00353BC7"/>
    <w:rsid w:val="00354B3E"/>
    <w:rsid w:val="003558CE"/>
    <w:rsid w:val="003569E3"/>
    <w:rsid w:val="00356B1A"/>
    <w:rsid w:val="00356B71"/>
    <w:rsid w:val="003571CC"/>
    <w:rsid w:val="00357509"/>
    <w:rsid w:val="00357812"/>
    <w:rsid w:val="00357B5D"/>
    <w:rsid w:val="00357C31"/>
    <w:rsid w:val="003609BD"/>
    <w:rsid w:val="00360AAC"/>
    <w:rsid w:val="00360C1E"/>
    <w:rsid w:val="00361624"/>
    <w:rsid w:val="003622C7"/>
    <w:rsid w:val="0036263D"/>
    <w:rsid w:val="00362E01"/>
    <w:rsid w:val="003636FF"/>
    <w:rsid w:val="00363770"/>
    <w:rsid w:val="00363DB5"/>
    <w:rsid w:val="00363EC2"/>
    <w:rsid w:val="003642EC"/>
    <w:rsid w:val="003648E0"/>
    <w:rsid w:val="003651F3"/>
    <w:rsid w:val="0036581A"/>
    <w:rsid w:val="00366622"/>
    <w:rsid w:val="003668ED"/>
    <w:rsid w:val="0036695E"/>
    <w:rsid w:val="00366999"/>
    <w:rsid w:val="00366AA3"/>
    <w:rsid w:val="00366D1D"/>
    <w:rsid w:val="00367814"/>
    <w:rsid w:val="0036792B"/>
    <w:rsid w:val="0037070E"/>
    <w:rsid w:val="00370929"/>
    <w:rsid w:val="00370F17"/>
    <w:rsid w:val="00371B32"/>
    <w:rsid w:val="00371C36"/>
    <w:rsid w:val="00371FB3"/>
    <w:rsid w:val="0037299B"/>
    <w:rsid w:val="00372A11"/>
    <w:rsid w:val="00373249"/>
    <w:rsid w:val="003733AB"/>
    <w:rsid w:val="0037366A"/>
    <w:rsid w:val="00373896"/>
    <w:rsid w:val="00373E55"/>
    <w:rsid w:val="0037496B"/>
    <w:rsid w:val="0037544D"/>
    <w:rsid w:val="003754BB"/>
    <w:rsid w:val="00375984"/>
    <w:rsid w:val="00375A51"/>
    <w:rsid w:val="00375C82"/>
    <w:rsid w:val="00376355"/>
    <w:rsid w:val="00376ADB"/>
    <w:rsid w:val="00376EED"/>
    <w:rsid w:val="00377577"/>
    <w:rsid w:val="00377FB6"/>
    <w:rsid w:val="003801D1"/>
    <w:rsid w:val="003801F5"/>
    <w:rsid w:val="00380697"/>
    <w:rsid w:val="00380EB1"/>
    <w:rsid w:val="00381069"/>
    <w:rsid w:val="00381073"/>
    <w:rsid w:val="00381558"/>
    <w:rsid w:val="00381EC7"/>
    <w:rsid w:val="003821EE"/>
    <w:rsid w:val="003823DD"/>
    <w:rsid w:val="0038260F"/>
    <w:rsid w:val="00382F49"/>
    <w:rsid w:val="003834F0"/>
    <w:rsid w:val="0038356A"/>
    <w:rsid w:val="0038367A"/>
    <w:rsid w:val="00383CBE"/>
    <w:rsid w:val="003844A2"/>
    <w:rsid w:val="0038481F"/>
    <w:rsid w:val="00384C8F"/>
    <w:rsid w:val="0038523E"/>
    <w:rsid w:val="00385514"/>
    <w:rsid w:val="00385689"/>
    <w:rsid w:val="0038610F"/>
    <w:rsid w:val="00386599"/>
    <w:rsid w:val="00386FAE"/>
    <w:rsid w:val="0038720A"/>
    <w:rsid w:val="003875B0"/>
    <w:rsid w:val="00387710"/>
    <w:rsid w:val="00387A72"/>
    <w:rsid w:val="00390681"/>
    <w:rsid w:val="003907DE"/>
    <w:rsid w:val="0039094F"/>
    <w:rsid w:val="00390D34"/>
    <w:rsid w:val="003918AC"/>
    <w:rsid w:val="00391FE8"/>
    <w:rsid w:val="0039276A"/>
    <w:rsid w:val="00392A34"/>
    <w:rsid w:val="00392F36"/>
    <w:rsid w:val="00394032"/>
    <w:rsid w:val="003947D4"/>
    <w:rsid w:val="0039487E"/>
    <w:rsid w:val="00394BFB"/>
    <w:rsid w:val="00395105"/>
    <w:rsid w:val="0039528C"/>
    <w:rsid w:val="00395FDD"/>
    <w:rsid w:val="0039618F"/>
    <w:rsid w:val="003962F4"/>
    <w:rsid w:val="003967DB"/>
    <w:rsid w:val="00396F7E"/>
    <w:rsid w:val="0039771D"/>
    <w:rsid w:val="00397AC2"/>
    <w:rsid w:val="003A00A8"/>
    <w:rsid w:val="003A0D33"/>
    <w:rsid w:val="003A1191"/>
    <w:rsid w:val="003A1488"/>
    <w:rsid w:val="003A187C"/>
    <w:rsid w:val="003A22CC"/>
    <w:rsid w:val="003A3233"/>
    <w:rsid w:val="003A345D"/>
    <w:rsid w:val="003A37BB"/>
    <w:rsid w:val="003A43C2"/>
    <w:rsid w:val="003A4D3D"/>
    <w:rsid w:val="003A521C"/>
    <w:rsid w:val="003A57D0"/>
    <w:rsid w:val="003A57E9"/>
    <w:rsid w:val="003A5E8A"/>
    <w:rsid w:val="003A5F24"/>
    <w:rsid w:val="003A5F4C"/>
    <w:rsid w:val="003A67E0"/>
    <w:rsid w:val="003A693D"/>
    <w:rsid w:val="003A6B6B"/>
    <w:rsid w:val="003A6F03"/>
    <w:rsid w:val="003A73ED"/>
    <w:rsid w:val="003A75E4"/>
    <w:rsid w:val="003A76C2"/>
    <w:rsid w:val="003B0D57"/>
    <w:rsid w:val="003B12F5"/>
    <w:rsid w:val="003B16D0"/>
    <w:rsid w:val="003B1CE3"/>
    <w:rsid w:val="003B1D40"/>
    <w:rsid w:val="003B34AB"/>
    <w:rsid w:val="003B482F"/>
    <w:rsid w:val="003B52D4"/>
    <w:rsid w:val="003B5DEC"/>
    <w:rsid w:val="003B68D0"/>
    <w:rsid w:val="003B6C9C"/>
    <w:rsid w:val="003B6E82"/>
    <w:rsid w:val="003B7836"/>
    <w:rsid w:val="003B7F82"/>
    <w:rsid w:val="003C0875"/>
    <w:rsid w:val="003C0FB9"/>
    <w:rsid w:val="003C1A0B"/>
    <w:rsid w:val="003C1B03"/>
    <w:rsid w:val="003C1FAA"/>
    <w:rsid w:val="003C2162"/>
    <w:rsid w:val="003C2C96"/>
    <w:rsid w:val="003C2FB9"/>
    <w:rsid w:val="003C3281"/>
    <w:rsid w:val="003C3DF8"/>
    <w:rsid w:val="003C47B6"/>
    <w:rsid w:val="003C49D5"/>
    <w:rsid w:val="003C4E9E"/>
    <w:rsid w:val="003C5336"/>
    <w:rsid w:val="003C56BF"/>
    <w:rsid w:val="003C622A"/>
    <w:rsid w:val="003C6948"/>
    <w:rsid w:val="003C6E59"/>
    <w:rsid w:val="003C71FA"/>
    <w:rsid w:val="003C730E"/>
    <w:rsid w:val="003C7400"/>
    <w:rsid w:val="003C788A"/>
    <w:rsid w:val="003C7D45"/>
    <w:rsid w:val="003D04C5"/>
    <w:rsid w:val="003D05FB"/>
    <w:rsid w:val="003D0D97"/>
    <w:rsid w:val="003D13CB"/>
    <w:rsid w:val="003D165B"/>
    <w:rsid w:val="003D1855"/>
    <w:rsid w:val="003D2049"/>
    <w:rsid w:val="003D2ABD"/>
    <w:rsid w:val="003D36CF"/>
    <w:rsid w:val="003D3E2F"/>
    <w:rsid w:val="003D47BF"/>
    <w:rsid w:val="003D4851"/>
    <w:rsid w:val="003D494E"/>
    <w:rsid w:val="003D55EF"/>
    <w:rsid w:val="003D5741"/>
    <w:rsid w:val="003D5BE8"/>
    <w:rsid w:val="003D5BEA"/>
    <w:rsid w:val="003D6F51"/>
    <w:rsid w:val="003D6F7E"/>
    <w:rsid w:val="003D7087"/>
    <w:rsid w:val="003D7B62"/>
    <w:rsid w:val="003E0430"/>
    <w:rsid w:val="003E09A3"/>
    <w:rsid w:val="003E1400"/>
    <w:rsid w:val="003E1747"/>
    <w:rsid w:val="003E1F3E"/>
    <w:rsid w:val="003E271F"/>
    <w:rsid w:val="003E28A9"/>
    <w:rsid w:val="003E35BA"/>
    <w:rsid w:val="003E41AF"/>
    <w:rsid w:val="003E4B2A"/>
    <w:rsid w:val="003E53F4"/>
    <w:rsid w:val="003E5DD0"/>
    <w:rsid w:val="003E5EC5"/>
    <w:rsid w:val="003E6817"/>
    <w:rsid w:val="003E6CE8"/>
    <w:rsid w:val="003E6FC4"/>
    <w:rsid w:val="003E75AB"/>
    <w:rsid w:val="003E79C1"/>
    <w:rsid w:val="003F02B2"/>
    <w:rsid w:val="003F0812"/>
    <w:rsid w:val="003F0C23"/>
    <w:rsid w:val="003F1987"/>
    <w:rsid w:val="003F26FE"/>
    <w:rsid w:val="003F295E"/>
    <w:rsid w:val="003F298E"/>
    <w:rsid w:val="003F2AF2"/>
    <w:rsid w:val="003F34CF"/>
    <w:rsid w:val="003F3672"/>
    <w:rsid w:val="003F399F"/>
    <w:rsid w:val="003F3D29"/>
    <w:rsid w:val="003F3E9D"/>
    <w:rsid w:val="003F4002"/>
    <w:rsid w:val="003F4459"/>
    <w:rsid w:val="003F4681"/>
    <w:rsid w:val="003F46AA"/>
    <w:rsid w:val="003F492F"/>
    <w:rsid w:val="003F4D4C"/>
    <w:rsid w:val="003F5B87"/>
    <w:rsid w:val="003F68F5"/>
    <w:rsid w:val="003F6961"/>
    <w:rsid w:val="003F6DBE"/>
    <w:rsid w:val="003F704F"/>
    <w:rsid w:val="003F74A2"/>
    <w:rsid w:val="003F7D47"/>
    <w:rsid w:val="003F7E00"/>
    <w:rsid w:val="003F7FF9"/>
    <w:rsid w:val="004009CB"/>
    <w:rsid w:val="004009FA"/>
    <w:rsid w:val="00400C03"/>
    <w:rsid w:val="004011CF"/>
    <w:rsid w:val="00401888"/>
    <w:rsid w:val="00402261"/>
    <w:rsid w:val="004026D0"/>
    <w:rsid w:val="004028B9"/>
    <w:rsid w:val="00402A51"/>
    <w:rsid w:val="00402ECF"/>
    <w:rsid w:val="00402FD7"/>
    <w:rsid w:val="00403C16"/>
    <w:rsid w:val="00403CA1"/>
    <w:rsid w:val="00403D81"/>
    <w:rsid w:val="00403DB4"/>
    <w:rsid w:val="004041C0"/>
    <w:rsid w:val="0040481A"/>
    <w:rsid w:val="0040491A"/>
    <w:rsid w:val="004049D3"/>
    <w:rsid w:val="00405762"/>
    <w:rsid w:val="00405778"/>
    <w:rsid w:val="004057B0"/>
    <w:rsid w:val="00406E13"/>
    <w:rsid w:val="00406FB4"/>
    <w:rsid w:val="0040734F"/>
    <w:rsid w:val="00410382"/>
    <w:rsid w:val="004108AE"/>
    <w:rsid w:val="00411818"/>
    <w:rsid w:val="0041235D"/>
    <w:rsid w:val="00412549"/>
    <w:rsid w:val="004127B1"/>
    <w:rsid w:val="004129B5"/>
    <w:rsid w:val="00412AA2"/>
    <w:rsid w:val="00412B56"/>
    <w:rsid w:val="00412B6E"/>
    <w:rsid w:val="0041331E"/>
    <w:rsid w:val="004138EC"/>
    <w:rsid w:val="00413E74"/>
    <w:rsid w:val="00414479"/>
    <w:rsid w:val="00414588"/>
    <w:rsid w:val="00415AF6"/>
    <w:rsid w:val="00415BB2"/>
    <w:rsid w:val="00415D78"/>
    <w:rsid w:val="00415E33"/>
    <w:rsid w:val="00415FDC"/>
    <w:rsid w:val="004165AA"/>
    <w:rsid w:val="00416902"/>
    <w:rsid w:val="0041693F"/>
    <w:rsid w:val="00416D7C"/>
    <w:rsid w:val="00417238"/>
    <w:rsid w:val="00417464"/>
    <w:rsid w:val="00417D8D"/>
    <w:rsid w:val="00417EFE"/>
    <w:rsid w:val="0042003C"/>
    <w:rsid w:val="00420B20"/>
    <w:rsid w:val="0042179E"/>
    <w:rsid w:val="004225BA"/>
    <w:rsid w:val="004228E1"/>
    <w:rsid w:val="00423115"/>
    <w:rsid w:val="00423A67"/>
    <w:rsid w:val="00423D42"/>
    <w:rsid w:val="00423EB9"/>
    <w:rsid w:val="00425474"/>
    <w:rsid w:val="004259A9"/>
    <w:rsid w:val="00425B5A"/>
    <w:rsid w:val="00425B81"/>
    <w:rsid w:val="00425C5D"/>
    <w:rsid w:val="00425F00"/>
    <w:rsid w:val="004261C6"/>
    <w:rsid w:val="00426607"/>
    <w:rsid w:val="00426B21"/>
    <w:rsid w:val="00427933"/>
    <w:rsid w:val="00430573"/>
    <w:rsid w:val="004305B1"/>
    <w:rsid w:val="00430E28"/>
    <w:rsid w:val="004317EB"/>
    <w:rsid w:val="00431B1B"/>
    <w:rsid w:val="004324F9"/>
    <w:rsid w:val="00432532"/>
    <w:rsid w:val="004325EC"/>
    <w:rsid w:val="00432B71"/>
    <w:rsid w:val="00433372"/>
    <w:rsid w:val="00433392"/>
    <w:rsid w:val="00435062"/>
    <w:rsid w:val="004357A1"/>
    <w:rsid w:val="00435A40"/>
    <w:rsid w:val="00435F33"/>
    <w:rsid w:val="004365A8"/>
    <w:rsid w:val="00440E0B"/>
    <w:rsid w:val="00440FB5"/>
    <w:rsid w:val="00441303"/>
    <w:rsid w:val="00441357"/>
    <w:rsid w:val="00441911"/>
    <w:rsid w:val="00441917"/>
    <w:rsid w:val="00441E01"/>
    <w:rsid w:val="004423E5"/>
    <w:rsid w:val="0044273F"/>
    <w:rsid w:val="00442B4B"/>
    <w:rsid w:val="004436DE"/>
    <w:rsid w:val="004437F8"/>
    <w:rsid w:val="00444C28"/>
    <w:rsid w:val="00445180"/>
    <w:rsid w:val="00445379"/>
    <w:rsid w:val="00445943"/>
    <w:rsid w:val="00445A5B"/>
    <w:rsid w:val="00445ABD"/>
    <w:rsid w:val="00445CE7"/>
    <w:rsid w:val="00445CF6"/>
    <w:rsid w:val="00445D1B"/>
    <w:rsid w:val="00446242"/>
    <w:rsid w:val="0044631C"/>
    <w:rsid w:val="0044669C"/>
    <w:rsid w:val="00447695"/>
    <w:rsid w:val="00447837"/>
    <w:rsid w:val="004478B8"/>
    <w:rsid w:val="004478EF"/>
    <w:rsid w:val="004500AB"/>
    <w:rsid w:val="00450111"/>
    <w:rsid w:val="0045048A"/>
    <w:rsid w:val="0045085D"/>
    <w:rsid w:val="00450B63"/>
    <w:rsid w:val="00451758"/>
    <w:rsid w:val="00451B5B"/>
    <w:rsid w:val="00451DD5"/>
    <w:rsid w:val="00451E8D"/>
    <w:rsid w:val="00452AA7"/>
    <w:rsid w:val="00452C76"/>
    <w:rsid w:val="00453D68"/>
    <w:rsid w:val="004540E8"/>
    <w:rsid w:val="00454183"/>
    <w:rsid w:val="004541E5"/>
    <w:rsid w:val="00454611"/>
    <w:rsid w:val="00454E03"/>
    <w:rsid w:val="00455491"/>
    <w:rsid w:val="00455D8D"/>
    <w:rsid w:val="004562BA"/>
    <w:rsid w:val="0045658E"/>
    <w:rsid w:val="00456642"/>
    <w:rsid w:val="00456B98"/>
    <w:rsid w:val="004573C8"/>
    <w:rsid w:val="00457CCA"/>
    <w:rsid w:val="004600E4"/>
    <w:rsid w:val="004608C3"/>
    <w:rsid w:val="00460920"/>
    <w:rsid w:val="00460A98"/>
    <w:rsid w:val="00460DA3"/>
    <w:rsid w:val="00460F9F"/>
    <w:rsid w:val="00462C03"/>
    <w:rsid w:val="00462FEA"/>
    <w:rsid w:val="004631B2"/>
    <w:rsid w:val="0046320D"/>
    <w:rsid w:val="00463303"/>
    <w:rsid w:val="0046367C"/>
    <w:rsid w:val="004637E0"/>
    <w:rsid w:val="0046420C"/>
    <w:rsid w:val="00464617"/>
    <w:rsid w:val="00464B51"/>
    <w:rsid w:val="0046536A"/>
    <w:rsid w:val="004653C8"/>
    <w:rsid w:val="00465455"/>
    <w:rsid w:val="004659D0"/>
    <w:rsid w:val="00465E82"/>
    <w:rsid w:val="00466344"/>
    <w:rsid w:val="00466C29"/>
    <w:rsid w:val="0046724B"/>
    <w:rsid w:val="00467DAE"/>
    <w:rsid w:val="004700F7"/>
    <w:rsid w:val="00470801"/>
    <w:rsid w:val="0047097B"/>
    <w:rsid w:val="00470B47"/>
    <w:rsid w:val="00470FAB"/>
    <w:rsid w:val="0047115C"/>
    <w:rsid w:val="00471334"/>
    <w:rsid w:val="00471488"/>
    <w:rsid w:val="00471C99"/>
    <w:rsid w:val="004723D5"/>
    <w:rsid w:val="004723F0"/>
    <w:rsid w:val="00472434"/>
    <w:rsid w:val="0047244A"/>
    <w:rsid w:val="00473F8A"/>
    <w:rsid w:val="0047403D"/>
    <w:rsid w:val="004740B8"/>
    <w:rsid w:val="004743FB"/>
    <w:rsid w:val="00474727"/>
    <w:rsid w:val="00474B59"/>
    <w:rsid w:val="004753A6"/>
    <w:rsid w:val="004753F7"/>
    <w:rsid w:val="00475A14"/>
    <w:rsid w:val="00475A8D"/>
    <w:rsid w:val="00475F6B"/>
    <w:rsid w:val="0047611F"/>
    <w:rsid w:val="0047697B"/>
    <w:rsid w:val="00476CFC"/>
    <w:rsid w:val="00476E8F"/>
    <w:rsid w:val="004779DA"/>
    <w:rsid w:val="00480169"/>
    <w:rsid w:val="00480439"/>
    <w:rsid w:val="004805D9"/>
    <w:rsid w:val="00480D03"/>
    <w:rsid w:val="00481C9C"/>
    <w:rsid w:val="00482292"/>
    <w:rsid w:val="00482807"/>
    <w:rsid w:val="00482808"/>
    <w:rsid w:val="00482AA0"/>
    <w:rsid w:val="00483577"/>
    <w:rsid w:val="0048404C"/>
    <w:rsid w:val="0048478A"/>
    <w:rsid w:val="00484843"/>
    <w:rsid w:val="00484BDA"/>
    <w:rsid w:val="00485695"/>
    <w:rsid w:val="00485846"/>
    <w:rsid w:val="00485967"/>
    <w:rsid w:val="00486847"/>
    <w:rsid w:val="00486979"/>
    <w:rsid w:val="004869CF"/>
    <w:rsid w:val="00486B1A"/>
    <w:rsid w:val="00487123"/>
    <w:rsid w:val="0048751F"/>
    <w:rsid w:val="00487525"/>
    <w:rsid w:val="004876C9"/>
    <w:rsid w:val="00487971"/>
    <w:rsid w:val="00490548"/>
    <w:rsid w:val="0049070C"/>
    <w:rsid w:val="0049078A"/>
    <w:rsid w:val="00490B00"/>
    <w:rsid w:val="00490DD9"/>
    <w:rsid w:val="00490E54"/>
    <w:rsid w:val="00490F2F"/>
    <w:rsid w:val="00491117"/>
    <w:rsid w:val="00492C1C"/>
    <w:rsid w:val="00492CD0"/>
    <w:rsid w:val="00493AE3"/>
    <w:rsid w:val="00494013"/>
    <w:rsid w:val="0049414A"/>
    <w:rsid w:val="00494F0B"/>
    <w:rsid w:val="004956E4"/>
    <w:rsid w:val="004956FF"/>
    <w:rsid w:val="00495940"/>
    <w:rsid w:val="00495A8A"/>
    <w:rsid w:val="004961C3"/>
    <w:rsid w:val="00496206"/>
    <w:rsid w:val="004964CB"/>
    <w:rsid w:val="00496C74"/>
    <w:rsid w:val="00496E42"/>
    <w:rsid w:val="00497139"/>
    <w:rsid w:val="004973C7"/>
    <w:rsid w:val="00497929"/>
    <w:rsid w:val="00497FC5"/>
    <w:rsid w:val="004A01E5"/>
    <w:rsid w:val="004A098B"/>
    <w:rsid w:val="004A1CD8"/>
    <w:rsid w:val="004A1EA3"/>
    <w:rsid w:val="004A1EFE"/>
    <w:rsid w:val="004A230A"/>
    <w:rsid w:val="004A2386"/>
    <w:rsid w:val="004A2B28"/>
    <w:rsid w:val="004A2EF3"/>
    <w:rsid w:val="004A2F07"/>
    <w:rsid w:val="004A368F"/>
    <w:rsid w:val="004A3CB5"/>
    <w:rsid w:val="004A4E36"/>
    <w:rsid w:val="004A4FF1"/>
    <w:rsid w:val="004A5837"/>
    <w:rsid w:val="004A588C"/>
    <w:rsid w:val="004A5DCE"/>
    <w:rsid w:val="004A5F06"/>
    <w:rsid w:val="004A600A"/>
    <w:rsid w:val="004A62C0"/>
    <w:rsid w:val="004A647A"/>
    <w:rsid w:val="004A64BB"/>
    <w:rsid w:val="004A6E48"/>
    <w:rsid w:val="004A72F2"/>
    <w:rsid w:val="004A7365"/>
    <w:rsid w:val="004A7FCA"/>
    <w:rsid w:val="004A7FEC"/>
    <w:rsid w:val="004B0AD9"/>
    <w:rsid w:val="004B0E68"/>
    <w:rsid w:val="004B11FD"/>
    <w:rsid w:val="004B12D4"/>
    <w:rsid w:val="004B1A64"/>
    <w:rsid w:val="004B1E48"/>
    <w:rsid w:val="004B205B"/>
    <w:rsid w:val="004B34D9"/>
    <w:rsid w:val="004B385E"/>
    <w:rsid w:val="004B3A2F"/>
    <w:rsid w:val="004B3D18"/>
    <w:rsid w:val="004B3FC9"/>
    <w:rsid w:val="004B4336"/>
    <w:rsid w:val="004B47E6"/>
    <w:rsid w:val="004B5220"/>
    <w:rsid w:val="004B52A7"/>
    <w:rsid w:val="004B550B"/>
    <w:rsid w:val="004B5CC1"/>
    <w:rsid w:val="004B61DD"/>
    <w:rsid w:val="004B6778"/>
    <w:rsid w:val="004C1089"/>
    <w:rsid w:val="004C12D6"/>
    <w:rsid w:val="004C12D7"/>
    <w:rsid w:val="004C1D15"/>
    <w:rsid w:val="004C1FC0"/>
    <w:rsid w:val="004C203B"/>
    <w:rsid w:val="004C26CD"/>
    <w:rsid w:val="004C2727"/>
    <w:rsid w:val="004C2AF8"/>
    <w:rsid w:val="004C2DD1"/>
    <w:rsid w:val="004C355A"/>
    <w:rsid w:val="004C3B9E"/>
    <w:rsid w:val="004C3EEB"/>
    <w:rsid w:val="004C4465"/>
    <w:rsid w:val="004C45E4"/>
    <w:rsid w:val="004C47A9"/>
    <w:rsid w:val="004C49F9"/>
    <w:rsid w:val="004C4AC5"/>
    <w:rsid w:val="004C4CFD"/>
    <w:rsid w:val="004C6095"/>
    <w:rsid w:val="004C665E"/>
    <w:rsid w:val="004C66FC"/>
    <w:rsid w:val="004C68F2"/>
    <w:rsid w:val="004C69C9"/>
    <w:rsid w:val="004C6C40"/>
    <w:rsid w:val="004C7541"/>
    <w:rsid w:val="004C7BEE"/>
    <w:rsid w:val="004C7EBC"/>
    <w:rsid w:val="004D06F9"/>
    <w:rsid w:val="004D10B0"/>
    <w:rsid w:val="004D20FC"/>
    <w:rsid w:val="004D23DD"/>
    <w:rsid w:val="004D2C85"/>
    <w:rsid w:val="004D2E64"/>
    <w:rsid w:val="004D2F63"/>
    <w:rsid w:val="004D32FD"/>
    <w:rsid w:val="004D3505"/>
    <w:rsid w:val="004D37EA"/>
    <w:rsid w:val="004D3EBD"/>
    <w:rsid w:val="004D4028"/>
    <w:rsid w:val="004D441C"/>
    <w:rsid w:val="004D4A29"/>
    <w:rsid w:val="004D4ABE"/>
    <w:rsid w:val="004D4E8A"/>
    <w:rsid w:val="004D52BC"/>
    <w:rsid w:val="004D58DF"/>
    <w:rsid w:val="004D5A60"/>
    <w:rsid w:val="004D5BAB"/>
    <w:rsid w:val="004D6A3A"/>
    <w:rsid w:val="004D6BD5"/>
    <w:rsid w:val="004D722D"/>
    <w:rsid w:val="004D78C0"/>
    <w:rsid w:val="004D7B24"/>
    <w:rsid w:val="004E0150"/>
    <w:rsid w:val="004E01E8"/>
    <w:rsid w:val="004E03ED"/>
    <w:rsid w:val="004E0919"/>
    <w:rsid w:val="004E164D"/>
    <w:rsid w:val="004E1916"/>
    <w:rsid w:val="004E2379"/>
    <w:rsid w:val="004E23CC"/>
    <w:rsid w:val="004E2719"/>
    <w:rsid w:val="004E2D8A"/>
    <w:rsid w:val="004E3022"/>
    <w:rsid w:val="004E3156"/>
    <w:rsid w:val="004E36BF"/>
    <w:rsid w:val="004E3ACB"/>
    <w:rsid w:val="004E3F1E"/>
    <w:rsid w:val="004E3F2D"/>
    <w:rsid w:val="004E3F37"/>
    <w:rsid w:val="004E46F6"/>
    <w:rsid w:val="004E4F7F"/>
    <w:rsid w:val="004E69FA"/>
    <w:rsid w:val="004E6D67"/>
    <w:rsid w:val="004E6DD4"/>
    <w:rsid w:val="004E7022"/>
    <w:rsid w:val="004E72C2"/>
    <w:rsid w:val="004E76B9"/>
    <w:rsid w:val="004F0CF0"/>
    <w:rsid w:val="004F0FF5"/>
    <w:rsid w:val="004F1C20"/>
    <w:rsid w:val="004F1E9F"/>
    <w:rsid w:val="004F2490"/>
    <w:rsid w:val="004F24AA"/>
    <w:rsid w:val="004F2ABE"/>
    <w:rsid w:val="004F3812"/>
    <w:rsid w:val="004F3FCE"/>
    <w:rsid w:val="004F494B"/>
    <w:rsid w:val="004F538F"/>
    <w:rsid w:val="004F565D"/>
    <w:rsid w:val="004F6053"/>
    <w:rsid w:val="004F6AB4"/>
    <w:rsid w:val="004F6C26"/>
    <w:rsid w:val="004F740A"/>
    <w:rsid w:val="004F7573"/>
    <w:rsid w:val="004F7F1D"/>
    <w:rsid w:val="005004AC"/>
    <w:rsid w:val="00500BC4"/>
    <w:rsid w:val="00500BDD"/>
    <w:rsid w:val="005016D9"/>
    <w:rsid w:val="005017F5"/>
    <w:rsid w:val="00502959"/>
    <w:rsid w:val="00502FFE"/>
    <w:rsid w:val="00503030"/>
    <w:rsid w:val="005031C7"/>
    <w:rsid w:val="005036E4"/>
    <w:rsid w:val="00503B49"/>
    <w:rsid w:val="00504887"/>
    <w:rsid w:val="00504D14"/>
    <w:rsid w:val="00505172"/>
    <w:rsid w:val="00505A45"/>
    <w:rsid w:val="00505CCD"/>
    <w:rsid w:val="005066E6"/>
    <w:rsid w:val="00506A4E"/>
    <w:rsid w:val="00506F43"/>
    <w:rsid w:val="00507354"/>
    <w:rsid w:val="005074D7"/>
    <w:rsid w:val="00507942"/>
    <w:rsid w:val="00507B3E"/>
    <w:rsid w:val="00507BC1"/>
    <w:rsid w:val="005107C5"/>
    <w:rsid w:val="005110E9"/>
    <w:rsid w:val="00511696"/>
    <w:rsid w:val="00511728"/>
    <w:rsid w:val="00511A09"/>
    <w:rsid w:val="00511EB7"/>
    <w:rsid w:val="005131F5"/>
    <w:rsid w:val="00513DA3"/>
    <w:rsid w:val="00514046"/>
    <w:rsid w:val="00514414"/>
    <w:rsid w:val="00514924"/>
    <w:rsid w:val="00515C3D"/>
    <w:rsid w:val="0051654D"/>
    <w:rsid w:val="00516723"/>
    <w:rsid w:val="005169CE"/>
    <w:rsid w:val="00517B50"/>
    <w:rsid w:val="005200A2"/>
    <w:rsid w:val="005204D9"/>
    <w:rsid w:val="00520D4C"/>
    <w:rsid w:val="00520F30"/>
    <w:rsid w:val="00521B09"/>
    <w:rsid w:val="005221C9"/>
    <w:rsid w:val="0052292B"/>
    <w:rsid w:val="00522CA1"/>
    <w:rsid w:val="00523CB1"/>
    <w:rsid w:val="00524459"/>
    <w:rsid w:val="00524C37"/>
    <w:rsid w:val="00525099"/>
    <w:rsid w:val="005252BE"/>
    <w:rsid w:val="0052585C"/>
    <w:rsid w:val="00525E02"/>
    <w:rsid w:val="0052608D"/>
    <w:rsid w:val="00526322"/>
    <w:rsid w:val="0052659F"/>
    <w:rsid w:val="00526CED"/>
    <w:rsid w:val="00526E2D"/>
    <w:rsid w:val="005270A9"/>
    <w:rsid w:val="0052720D"/>
    <w:rsid w:val="005276F3"/>
    <w:rsid w:val="005276F9"/>
    <w:rsid w:val="0052786C"/>
    <w:rsid w:val="005309D9"/>
    <w:rsid w:val="00530C3D"/>
    <w:rsid w:val="00530D1B"/>
    <w:rsid w:val="00531625"/>
    <w:rsid w:val="00531810"/>
    <w:rsid w:val="00531B24"/>
    <w:rsid w:val="00531CC4"/>
    <w:rsid w:val="00531EE1"/>
    <w:rsid w:val="00532607"/>
    <w:rsid w:val="005328E4"/>
    <w:rsid w:val="00532B5F"/>
    <w:rsid w:val="00532CEB"/>
    <w:rsid w:val="00532E7B"/>
    <w:rsid w:val="00533FB1"/>
    <w:rsid w:val="00533FFA"/>
    <w:rsid w:val="0053403F"/>
    <w:rsid w:val="00534079"/>
    <w:rsid w:val="00535A54"/>
    <w:rsid w:val="00535D4D"/>
    <w:rsid w:val="00535F82"/>
    <w:rsid w:val="005362A4"/>
    <w:rsid w:val="005365AC"/>
    <w:rsid w:val="00537778"/>
    <w:rsid w:val="005377C7"/>
    <w:rsid w:val="00537A16"/>
    <w:rsid w:val="00540B18"/>
    <w:rsid w:val="00540BE4"/>
    <w:rsid w:val="005417CC"/>
    <w:rsid w:val="005438B1"/>
    <w:rsid w:val="00543A3C"/>
    <w:rsid w:val="00543B2F"/>
    <w:rsid w:val="00544A95"/>
    <w:rsid w:val="00544BFB"/>
    <w:rsid w:val="005450C5"/>
    <w:rsid w:val="00545D38"/>
    <w:rsid w:val="00545EE8"/>
    <w:rsid w:val="00545FC4"/>
    <w:rsid w:val="0054603A"/>
    <w:rsid w:val="00546C5E"/>
    <w:rsid w:val="00546D8D"/>
    <w:rsid w:val="00546F39"/>
    <w:rsid w:val="0054724C"/>
    <w:rsid w:val="0054751B"/>
    <w:rsid w:val="00547785"/>
    <w:rsid w:val="005477FB"/>
    <w:rsid w:val="00551A78"/>
    <w:rsid w:val="00552047"/>
    <w:rsid w:val="00552061"/>
    <w:rsid w:val="00552379"/>
    <w:rsid w:val="005526BB"/>
    <w:rsid w:val="00552723"/>
    <w:rsid w:val="00552DD1"/>
    <w:rsid w:val="005537D5"/>
    <w:rsid w:val="00553F8D"/>
    <w:rsid w:val="005544A1"/>
    <w:rsid w:val="00555148"/>
    <w:rsid w:val="005552A3"/>
    <w:rsid w:val="00555434"/>
    <w:rsid w:val="0055554A"/>
    <w:rsid w:val="00555DE5"/>
    <w:rsid w:val="0055663F"/>
    <w:rsid w:val="00556CD6"/>
    <w:rsid w:val="00556DA7"/>
    <w:rsid w:val="00556DE0"/>
    <w:rsid w:val="00556E82"/>
    <w:rsid w:val="0056014A"/>
    <w:rsid w:val="00560490"/>
    <w:rsid w:val="00560A60"/>
    <w:rsid w:val="00561538"/>
    <w:rsid w:val="005615CD"/>
    <w:rsid w:val="00562344"/>
    <w:rsid w:val="00562E13"/>
    <w:rsid w:val="00563703"/>
    <w:rsid w:val="00563B39"/>
    <w:rsid w:val="00563C1C"/>
    <w:rsid w:val="00564076"/>
    <w:rsid w:val="005640E5"/>
    <w:rsid w:val="005642CA"/>
    <w:rsid w:val="00565250"/>
    <w:rsid w:val="00565D60"/>
    <w:rsid w:val="00566B28"/>
    <w:rsid w:val="00566F5F"/>
    <w:rsid w:val="005701CB"/>
    <w:rsid w:val="005703A6"/>
    <w:rsid w:val="0057056B"/>
    <w:rsid w:val="00570E06"/>
    <w:rsid w:val="00571929"/>
    <w:rsid w:val="0057262C"/>
    <w:rsid w:val="00572769"/>
    <w:rsid w:val="00572A06"/>
    <w:rsid w:val="00572B30"/>
    <w:rsid w:val="00573B75"/>
    <w:rsid w:val="005749D0"/>
    <w:rsid w:val="0057500E"/>
    <w:rsid w:val="005752B4"/>
    <w:rsid w:val="0057581E"/>
    <w:rsid w:val="005758C5"/>
    <w:rsid w:val="00575B72"/>
    <w:rsid w:val="00575DF0"/>
    <w:rsid w:val="00576552"/>
    <w:rsid w:val="005766A1"/>
    <w:rsid w:val="00576993"/>
    <w:rsid w:val="00576A83"/>
    <w:rsid w:val="00576D56"/>
    <w:rsid w:val="00576DC5"/>
    <w:rsid w:val="00576F3A"/>
    <w:rsid w:val="00577902"/>
    <w:rsid w:val="00577AC1"/>
    <w:rsid w:val="00577DD8"/>
    <w:rsid w:val="00580345"/>
    <w:rsid w:val="00581AAD"/>
    <w:rsid w:val="00581EDF"/>
    <w:rsid w:val="00582196"/>
    <w:rsid w:val="00582573"/>
    <w:rsid w:val="005828AA"/>
    <w:rsid w:val="00582ECF"/>
    <w:rsid w:val="00583DA7"/>
    <w:rsid w:val="00583E74"/>
    <w:rsid w:val="00584044"/>
    <w:rsid w:val="00584414"/>
    <w:rsid w:val="00584C3C"/>
    <w:rsid w:val="00585343"/>
    <w:rsid w:val="00585451"/>
    <w:rsid w:val="005857AE"/>
    <w:rsid w:val="00586A22"/>
    <w:rsid w:val="00586A9F"/>
    <w:rsid w:val="00587E6B"/>
    <w:rsid w:val="00587F50"/>
    <w:rsid w:val="00587FAE"/>
    <w:rsid w:val="00590A6B"/>
    <w:rsid w:val="00590A9F"/>
    <w:rsid w:val="00590B8D"/>
    <w:rsid w:val="00590EAB"/>
    <w:rsid w:val="00591BD4"/>
    <w:rsid w:val="00592258"/>
    <w:rsid w:val="00593711"/>
    <w:rsid w:val="00593CE0"/>
    <w:rsid w:val="00593ED3"/>
    <w:rsid w:val="005946A3"/>
    <w:rsid w:val="00594D11"/>
    <w:rsid w:val="00594D91"/>
    <w:rsid w:val="00594E58"/>
    <w:rsid w:val="00594EB2"/>
    <w:rsid w:val="00594EC0"/>
    <w:rsid w:val="005953F9"/>
    <w:rsid w:val="00595DE6"/>
    <w:rsid w:val="00595FF9"/>
    <w:rsid w:val="00596722"/>
    <w:rsid w:val="00596964"/>
    <w:rsid w:val="00597C87"/>
    <w:rsid w:val="005A00D0"/>
    <w:rsid w:val="005A0581"/>
    <w:rsid w:val="005A0AA6"/>
    <w:rsid w:val="005A14C9"/>
    <w:rsid w:val="005A18D6"/>
    <w:rsid w:val="005A18ED"/>
    <w:rsid w:val="005A392C"/>
    <w:rsid w:val="005A4BF2"/>
    <w:rsid w:val="005A4D46"/>
    <w:rsid w:val="005A4D97"/>
    <w:rsid w:val="005A6AAD"/>
    <w:rsid w:val="005A76F5"/>
    <w:rsid w:val="005A7B5D"/>
    <w:rsid w:val="005A7E23"/>
    <w:rsid w:val="005B0A38"/>
    <w:rsid w:val="005B0C86"/>
    <w:rsid w:val="005B0F35"/>
    <w:rsid w:val="005B0F45"/>
    <w:rsid w:val="005B1069"/>
    <w:rsid w:val="005B1654"/>
    <w:rsid w:val="005B17EB"/>
    <w:rsid w:val="005B1BA3"/>
    <w:rsid w:val="005B276C"/>
    <w:rsid w:val="005B28B6"/>
    <w:rsid w:val="005B2CEA"/>
    <w:rsid w:val="005B3F1F"/>
    <w:rsid w:val="005B513A"/>
    <w:rsid w:val="005B5A11"/>
    <w:rsid w:val="005B5A18"/>
    <w:rsid w:val="005B5F01"/>
    <w:rsid w:val="005B65E0"/>
    <w:rsid w:val="005B6A16"/>
    <w:rsid w:val="005B6EE6"/>
    <w:rsid w:val="005B7026"/>
    <w:rsid w:val="005B7565"/>
    <w:rsid w:val="005B76D2"/>
    <w:rsid w:val="005B7B54"/>
    <w:rsid w:val="005C06C0"/>
    <w:rsid w:val="005C06F0"/>
    <w:rsid w:val="005C0907"/>
    <w:rsid w:val="005C0B6C"/>
    <w:rsid w:val="005C1342"/>
    <w:rsid w:val="005C1395"/>
    <w:rsid w:val="005C14F5"/>
    <w:rsid w:val="005C158C"/>
    <w:rsid w:val="005C18A3"/>
    <w:rsid w:val="005C2E64"/>
    <w:rsid w:val="005C301D"/>
    <w:rsid w:val="005C30E8"/>
    <w:rsid w:val="005C311B"/>
    <w:rsid w:val="005C3239"/>
    <w:rsid w:val="005C3266"/>
    <w:rsid w:val="005C32A6"/>
    <w:rsid w:val="005C3BB8"/>
    <w:rsid w:val="005C3D09"/>
    <w:rsid w:val="005C451E"/>
    <w:rsid w:val="005C52F4"/>
    <w:rsid w:val="005C53DF"/>
    <w:rsid w:val="005C65DD"/>
    <w:rsid w:val="005C6673"/>
    <w:rsid w:val="005C6758"/>
    <w:rsid w:val="005C686F"/>
    <w:rsid w:val="005C7393"/>
    <w:rsid w:val="005C7505"/>
    <w:rsid w:val="005C78E6"/>
    <w:rsid w:val="005C7F45"/>
    <w:rsid w:val="005D0074"/>
    <w:rsid w:val="005D0624"/>
    <w:rsid w:val="005D07DF"/>
    <w:rsid w:val="005D0813"/>
    <w:rsid w:val="005D106E"/>
    <w:rsid w:val="005D1453"/>
    <w:rsid w:val="005D1619"/>
    <w:rsid w:val="005D1649"/>
    <w:rsid w:val="005D2183"/>
    <w:rsid w:val="005D259D"/>
    <w:rsid w:val="005D3730"/>
    <w:rsid w:val="005D45BD"/>
    <w:rsid w:val="005D465A"/>
    <w:rsid w:val="005D5660"/>
    <w:rsid w:val="005D5BB7"/>
    <w:rsid w:val="005D5CB0"/>
    <w:rsid w:val="005D5DB6"/>
    <w:rsid w:val="005D6136"/>
    <w:rsid w:val="005D61D6"/>
    <w:rsid w:val="005D645D"/>
    <w:rsid w:val="005D655F"/>
    <w:rsid w:val="005D6AE1"/>
    <w:rsid w:val="005D6C08"/>
    <w:rsid w:val="005D6CDB"/>
    <w:rsid w:val="005D7886"/>
    <w:rsid w:val="005E086F"/>
    <w:rsid w:val="005E09F2"/>
    <w:rsid w:val="005E0DBB"/>
    <w:rsid w:val="005E1D94"/>
    <w:rsid w:val="005E2097"/>
    <w:rsid w:val="005E2719"/>
    <w:rsid w:val="005E2BAE"/>
    <w:rsid w:val="005E2F3D"/>
    <w:rsid w:val="005E355F"/>
    <w:rsid w:val="005E437F"/>
    <w:rsid w:val="005E44B9"/>
    <w:rsid w:val="005E4918"/>
    <w:rsid w:val="005E5097"/>
    <w:rsid w:val="005E536C"/>
    <w:rsid w:val="005E5595"/>
    <w:rsid w:val="005E58A7"/>
    <w:rsid w:val="005E5BC4"/>
    <w:rsid w:val="005E5D24"/>
    <w:rsid w:val="005E612C"/>
    <w:rsid w:val="005E62DE"/>
    <w:rsid w:val="005E7006"/>
    <w:rsid w:val="005E706F"/>
    <w:rsid w:val="005E7087"/>
    <w:rsid w:val="005E731A"/>
    <w:rsid w:val="005E763F"/>
    <w:rsid w:val="005F0112"/>
    <w:rsid w:val="005F07E3"/>
    <w:rsid w:val="005F10AA"/>
    <w:rsid w:val="005F1191"/>
    <w:rsid w:val="005F2872"/>
    <w:rsid w:val="005F3A86"/>
    <w:rsid w:val="005F3F3B"/>
    <w:rsid w:val="005F4357"/>
    <w:rsid w:val="005F437F"/>
    <w:rsid w:val="005F4CDE"/>
    <w:rsid w:val="005F4F30"/>
    <w:rsid w:val="005F557B"/>
    <w:rsid w:val="005F5582"/>
    <w:rsid w:val="005F55F9"/>
    <w:rsid w:val="005F64E2"/>
    <w:rsid w:val="005F733A"/>
    <w:rsid w:val="0060032A"/>
    <w:rsid w:val="00600970"/>
    <w:rsid w:val="00600A1B"/>
    <w:rsid w:val="00602984"/>
    <w:rsid w:val="00602A69"/>
    <w:rsid w:val="0060306C"/>
    <w:rsid w:val="00603124"/>
    <w:rsid w:val="006041E4"/>
    <w:rsid w:val="0060434E"/>
    <w:rsid w:val="006049EC"/>
    <w:rsid w:val="00604A39"/>
    <w:rsid w:val="0060533D"/>
    <w:rsid w:val="006056AC"/>
    <w:rsid w:val="0060628C"/>
    <w:rsid w:val="006063E5"/>
    <w:rsid w:val="00613F3B"/>
    <w:rsid w:val="0061413B"/>
    <w:rsid w:val="00614339"/>
    <w:rsid w:val="006146DE"/>
    <w:rsid w:val="00614A02"/>
    <w:rsid w:val="00614D31"/>
    <w:rsid w:val="00614D3F"/>
    <w:rsid w:val="00615672"/>
    <w:rsid w:val="0061649B"/>
    <w:rsid w:val="00616AA5"/>
    <w:rsid w:val="00617027"/>
    <w:rsid w:val="0061770F"/>
    <w:rsid w:val="006179B9"/>
    <w:rsid w:val="0062028B"/>
    <w:rsid w:val="00620656"/>
    <w:rsid w:val="0062099A"/>
    <w:rsid w:val="00620A5E"/>
    <w:rsid w:val="00620EEA"/>
    <w:rsid w:val="00622383"/>
    <w:rsid w:val="00622618"/>
    <w:rsid w:val="006226A3"/>
    <w:rsid w:val="00622CF6"/>
    <w:rsid w:val="00622F65"/>
    <w:rsid w:val="006234B7"/>
    <w:rsid w:val="00623DED"/>
    <w:rsid w:val="0062465A"/>
    <w:rsid w:val="00624B11"/>
    <w:rsid w:val="006258AE"/>
    <w:rsid w:val="00626F26"/>
    <w:rsid w:val="00627740"/>
    <w:rsid w:val="00627A1C"/>
    <w:rsid w:val="006304D1"/>
    <w:rsid w:val="006322AE"/>
    <w:rsid w:val="00633A32"/>
    <w:rsid w:val="00633C91"/>
    <w:rsid w:val="006341DD"/>
    <w:rsid w:val="0063454B"/>
    <w:rsid w:val="00634FE1"/>
    <w:rsid w:val="00635778"/>
    <w:rsid w:val="0063625A"/>
    <w:rsid w:val="00636355"/>
    <w:rsid w:val="0063639E"/>
    <w:rsid w:val="00636421"/>
    <w:rsid w:val="00636FD3"/>
    <w:rsid w:val="00637172"/>
    <w:rsid w:val="006376F5"/>
    <w:rsid w:val="00637784"/>
    <w:rsid w:val="00637C18"/>
    <w:rsid w:val="00637E26"/>
    <w:rsid w:val="006405F8"/>
    <w:rsid w:val="00640B09"/>
    <w:rsid w:val="00640D44"/>
    <w:rsid w:val="00641044"/>
    <w:rsid w:val="00641137"/>
    <w:rsid w:val="00641665"/>
    <w:rsid w:val="00642EEC"/>
    <w:rsid w:val="00643ADA"/>
    <w:rsid w:val="006444B9"/>
    <w:rsid w:val="00644AF0"/>
    <w:rsid w:val="00644B23"/>
    <w:rsid w:val="00645185"/>
    <w:rsid w:val="00645A14"/>
    <w:rsid w:val="006462E5"/>
    <w:rsid w:val="006463A9"/>
    <w:rsid w:val="00646751"/>
    <w:rsid w:val="00646D31"/>
    <w:rsid w:val="006472D7"/>
    <w:rsid w:val="006472E3"/>
    <w:rsid w:val="00647852"/>
    <w:rsid w:val="006500D6"/>
    <w:rsid w:val="006511CC"/>
    <w:rsid w:val="00651A6F"/>
    <w:rsid w:val="0065217A"/>
    <w:rsid w:val="0065264A"/>
    <w:rsid w:val="00652EA6"/>
    <w:rsid w:val="00652FB0"/>
    <w:rsid w:val="006530A6"/>
    <w:rsid w:val="006533AC"/>
    <w:rsid w:val="00653548"/>
    <w:rsid w:val="00653B91"/>
    <w:rsid w:val="00653BC5"/>
    <w:rsid w:val="00653F2C"/>
    <w:rsid w:val="00653FBC"/>
    <w:rsid w:val="00654037"/>
    <w:rsid w:val="00654A05"/>
    <w:rsid w:val="00654BA5"/>
    <w:rsid w:val="00655013"/>
    <w:rsid w:val="00655AEB"/>
    <w:rsid w:val="0065684B"/>
    <w:rsid w:val="00656852"/>
    <w:rsid w:val="006569B1"/>
    <w:rsid w:val="006570A3"/>
    <w:rsid w:val="006572AA"/>
    <w:rsid w:val="00657B60"/>
    <w:rsid w:val="00657D9D"/>
    <w:rsid w:val="00657E93"/>
    <w:rsid w:val="00660D80"/>
    <w:rsid w:val="00661316"/>
    <w:rsid w:val="00661B38"/>
    <w:rsid w:val="00662E2D"/>
    <w:rsid w:val="00663C69"/>
    <w:rsid w:val="00664053"/>
    <w:rsid w:val="00664B55"/>
    <w:rsid w:val="00665233"/>
    <w:rsid w:val="00665541"/>
    <w:rsid w:val="00665A68"/>
    <w:rsid w:val="00665B9E"/>
    <w:rsid w:val="00665B9F"/>
    <w:rsid w:val="00666809"/>
    <w:rsid w:val="00666872"/>
    <w:rsid w:val="006668B5"/>
    <w:rsid w:val="00666A2D"/>
    <w:rsid w:val="00670405"/>
    <w:rsid w:val="006704FA"/>
    <w:rsid w:val="006705C4"/>
    <w:rsid w:val="00670BFD"/>
    <w:rsid w:val="00670CB0"/>
    <w:rsid w:val="00671272"/>
    <w:rsid w:val="00671A4E"/>
    <w:rsid w:val="00671C5D"/>
    <w:rsid w:val="006722B2"/>
    <w:rsid w:val="006723C9"/>
    <w:rsid w:val="006724CB"/>
    <w:rsid w:val="00672A36"/>
    <w:rsid w:val="006736D6"/>
    <w:rsid w:val="006737EC"/>
    <w:rsid w:val="00673FCD"/>
    <w:rsid w:val="0067418F"/>
    <w:rsid w:val="00674B3F"/>
    <w:rsid w:val="00675247"/>
    <w:rsid w:val="00675608"/>
    <w:rsid w:val="00675CDB"/>
    <w:rsid w:val="00676F4D"/>
    <w:rsid w:val="00677560"/>
    <w:rsid w:val="00677B77"/>
    <w:rsid w:val="00677E11"/>
    <w:rsid w:val="00680170"/>
    <w:rsid w:val="0068039F"/>
    <w:rsid w:val="00680421"/>
    <w:rsid w:val="00680BFA"/>
    <w:rsid w:val="00680DA4"/>
    <w:rsid w:val="00680FF4"/>
    <w:rsid w:val="00681210"/>
    <w:rsid w:val="006820CC"/>
    <w:rsid w:val="0068215A"/>
    <w:rsid w:val="0068240B"/>
    <w:rsid w:val="0068283D"/>
    <w:rsid w:val="006837DE"/>
    <w:rsid w:val="00683C69"/>
    <w:rsid w:val="00683E44"/>
    <w:rsid w:val="00684856"/>
    <w:rsid w:val="006848C1"/>
    <w:rsid w:val="0068599A"/>
    <w:rsid w:val="006859C0"/>
    <w:rsid w:val="00686268"/>
    <w:rsid w:val="00686BE5"/>
    <w:rsid w:val="00686C6E"/>
    <w:rsid w:val="0068728E"/>
    <w:rsid w:val="00690267"/>
    <w:rsid w:val="0069085F"/>
    <w:rsid w:val="0069124D"/>
    <w:rsid w:val="00691259"/>
    <w:rsid w:val="006916D0"/>
    <w:rsid w:val="00691DC1"/>
    <w:rsid w:val="00692431"/>
    <w:rsid w:val="00692738"/>
    <w:rsid w:val="00693B03"/>
    <w:rsid w:val="00693B05"/>
    <w:rsid w:val="0069482D"/>
    <w:rsid w:val="0069556D"/>
    <w:rsid w:val="006970D2"/>
    <w:rsid w:val="00697179"/>
    <w:rsid w:val="00697B7A"/>
    <w:rsid w:val="006A05CC"/>
    <w:rsid w:val="006A1349"/>
    <w:rsid w:val="006A2399"/>
    <w:rsid w:val="006A2BDF"/>
    <w:rsid w:val="006A3017"/>
    <w:rsid w:val="006A367B"/>
    <w:rsid w:val="006A36A8"/>
    <w:rsid w:val="006A407E"/>
    <w:rsid w:val="006A49ED"/>
    <w:rsid w:val="006A4BA1"/>
    <w:rsid w:val="006A4DA0"/>
    <w:rsid w:val="006A5AB2"/>
    <w:rsid w:val="006A5C45"/>
    <w:rsid w:val="006A5F3C"/>
    <w:rsid w:val="006A6559"/>
    <w:rsid w:val="006A6E15"/>
    <w:rsid w:val="006A6E7C"/>
    <w:rsid w:val="006A6EBE"/>
    <w:rsid w:val="006A70F7"/>
    <w:rsid w:val="006A74AC"/>
    <w:rsid w:val="006A7C0F"/>
    <w:rsid w:val="006B0078"/>
    <w:rsid w:val="006B12A3"/>
    <w:rsid w:val="006B1849"/>
    <w:rsid w:val="006B227B"/>
    <w:rsid w:val="006B26B5"/>
    <w:rsid w:val="006B278E"/>
    <w:rsid w:val="006B282E"/>
    <w:rsid w:val="006B29C7"/>
    <w:rsid w:val="006B2B49"/>
    <w:rsid w:val="006B372C"/>
    <w:rsid w:val="006B3907"/>
    <w:rsid w:val="006B3961"/>
    <w:rsid w:val="006B3AE1"/>
    <w:rsid w:val="006B49C1"/>
    <w:rsid w:val="006B4E06"/>
    <w:rsid w:val="006B542D"/>
    <w:rsid w:val="006B547C"/>
    <w:rsid w:val="006B5876"/>
    <w:rsid w:val="006B59A6"/>
    <w:rsid w:val="006B66A4"/>
    <w:rsid w:val="006B6BE5"/>
    <w:rsid w:val="006B6E9A"/>
    <w:rsid w:val="006B783A"/>
    <w:rsid w:val="006B7ECF"/>
    <w:rsid w:val="006C0435"/>
    <w:rsid w:val="006C0805"/>
    <w:rsid w:val="006C0A8D"/>
    <w:rsid w:val="006C0E84"/>
    <w:rsid w:val="006C0FC4"/>
    <w:rsid w:val="006C1046"/>
    <w:rsid w:val="006C14EB"/>
    <w:rsid w:val="006C1DBA"/>
    <w:rsid w:val="006C236E"/>
    <w:rsid w:val="006C2563"/>
    <w:rsid w:val="006C29ED"/>
    <w:rsid w:val="006C2ACA"/>
    <w:rsid w:val="006C2E7F"/>
    <w:rsid w:val="006C2F49"/>
    <w:rsid w:val="006C2FFB"/>
    <w:rsid w:val="006C327E"/>
    <w:rsid w:val="006C341E"/>
    <w:rsid w:val="006C3854"/>
    <w:rsid w:val="006C3A70"/>
    <w:rsid w:val="006C4D8D"/>
    <w:rsid w:val="006C561C"/>
    <w:rsid w:val="006C58BC"/>
    <w:rsid w:val="006C5C3F"/>
    <w:rsid w:val="006C6044"/>
    <w:rsid w:val="006C6355"/>
    <w:rsid w:val="006C65E3"/>
    <w:rsid w:val="006C689C"/>
    <w:rsid w:val="006C7BAE"/>
    <w:rsid w:val="006C7CE8"/>
    <w:rsid w:val="006D00F7"/>
    <w:rsid w:val="006D07C1"/>
    <w:rsid w:val="006D1087"/>
    <w:rsid w:val="006D12C4"/>
    <w:rsid w:val="006D1DA4"/>
    <w:rsid w:val="006D1E7E"/>
    <w:rsid w:val="006D1F53"/>
    <w:rsid w:val="006D30B2"/>
    <w:rsid w:val="006D3139"/>
    <w:rsid w:val="006D40CD"/>
    <w:rsid w:val="006D4F9E"/>
    <w:rsid w:val="006D6019"/>
    <w:rsid w:val="006D65BD"/>
    <w:rsid w:val="006D660C"/>
    <w:rsid w:val="006D6739"/>
    <w:rsid w:val="006D71BB"/>
    <w:rsid w:val="006D7B16"/>
    <w:rsid w:val="006D7BAF"/>
    <w:rsid w:val="006D7E86"/>
    <w:rsid w:val="006E1063"/>
    <w:rsid w:val="006E2256"/>
    <w:rsid w:val="006E2C93"/>
    <w:rsid w:val="006E3581"/>
    <w:rsid w:val="006E38D2"/>
    <w:rsid w:val="006E3BC2"/>
    <w:rsid w:val="006E3C66"/>
    <w:rsid w:val="006E3F44"/>
    <w:rsid w:val="006E3F5C"/>
    <w:rsid w:val="006E4456"/>
    <w:rsid w:val="006E511E"/>
    <w:rsid w:val="006E7611"/>
    <w:rsid w:val="006E7898"/>
    <w:rsid w:val="006E7ABB"/>
    <w:rsid w:val="006F0530"/>
    <w:rsid w:val="006F0C39"/>
    <w:rsid w:val="006F1158"/>
    <w:rsid w:val="006F272A"/>
    <w:rsid w:val="006F320B"/>
    <w:rsid w:val="006F358C"/>
    <w:rsid w:val="006F4459"/>
    <w:rsid w:val="006F4CE7"/>
    <w:rsid w:val="006F54DD"/>
    <w:rsid w:val="006F5A62"/>
    <w:rsid w:val="006F637D"/>
    <w:rsid w:val="006F6826"/>
    <w:rsid w:val="006F6AB9"/>
    <w:rsid w:val="006F6EFA"/>
    <w:rsid w:val="006F79E5"/>
    <w:rsid w:val="006F7C3E"/>
    <w:rsid w:val="0070084C"/>
    <w:rsid w:val="007008D2"/>
    <w:rsid w:val="00700921"/>
    <w:rsid w:val="00701376"/>
    <w:rsid w:val="007015BA"/>
    <w:rsid w:val="00701A95"/>
    <w:rsid w:val="0070208E"/>
    <w:rsid w:val="00702A7B"/>
    <w:rsid w:val="00703295"/>
    <w:rsid w:val="0070398E"/>
    <w:rsid w:val="00703A33"/>
    <w:rsid w:val="00704084"/>
    <w:rsid w:val="00704ADD"/>
    <w:rsid w:val="00704F24"/>
    <w:rsid w:val="00705599"/>
    <w:rsid w:val="007057A4"/>
    <w:rsid w:val="00705BE1"/>
    <w:rsid w:val="00705EA3"/>
    <w:rsid w:val="00705EA6"/>
    <w:rsid w:val="00705FAD"/>
    <w:rsid w:val="007063FA"/>
    <w:rsid w:val="00706A3F"/>
    <w:rsid w:val="00706D07"/>
    <w:rsid w:val="007072CD"/>
    <w:rsid w:val="007073DD"/>
    <w:rsid w:val="00707CBE"/>
    <w:rsid w:val="00707DB3"/>
    <w:rsid w:val="0071022D"/>
    <w:rsid w:val="0071037D"/>
    <w:rsid w:val="00710DB8"/>
    <w:rsid w:val="00710DDC"/>
    <w:rsid w:val="00711230"/>
    <w:rsid w:val="007113DA"/>
    <w:rsid w:val="00711A5A"/>
    <w:rsid w:val="00711F53"/>
    <w:rsid w:val="00711F86"/>
    <w:rsid w:val="007124C7"/>
    <w:rsid w:val="00712C00"/>
    <w:rsid w:val="00713552"/>
    <w:rsid w:val="00713934"/>
    <w:rsid w:val="00714667"/>
    <w:rsid w:val="007148A6"/>
    <w:rsid w:val="00714C34"/>
    <w:rsid w:val="00715528"/>
    <w:rsid w:val="007156A1"/>
    <w:rsid w:val="00715DDA"/>
    <w:rsid w:val="00715F62"/>
    <w:rsid w:val="00716170"/>
    <w:rsid w:val="00716A1A"/>
    <w:rsid w:val="00716C34"/>
    <w:rsid w:val="00717D0D"/>
    <w:rsid w:val="00720108"/>
    <w:rsid w:val="007208DD"/>
    <w:rsid w:val="00720A30"/>
    <w:rsid w:val="00720EB4"/>
    <w:rsid w:val="007211AE"/>
    <w:rsid w:val="00721695"/>
    <w:rsid w:val="0072178B"/>
    <w:rsid w:val="007218E4"/>
    <w:rsid w:val="00721B01"/>
    <w:rsid w:val="007222D6"/>
    <w:rsid w:val="007226C9"/>
    <w:rsid w:val="007233EE"/>
    <w:rsid w:val="0072357C"/>
    <w:rsid w:val="00723EA0"/>
    <w:rsid w:val="00723FDE"/>
    <w:rsid w:val="007240E6"/>
    <w:rsid w:val="00724277"/>
    <w:rsid w:val="007243F8"/>
    <w:rsid w:val="007246FB"/>
    <w:rsid w:val="00724717"/>
    <w:rsid w:val="007247A4"/>
    <w:rsid w:val="0072503E"/>
    <w:rsid w:val="00725206"/>
    <w:rsid w:val="007253E8"/>
    <w:rsid w:val="00725843"/>
    <w:rsid w:val="0072701D"/>
    <w:rsid w:val="007270CE"/>
    <w:rsid w:val="00727A43"/>
    <w:rsid w:val="00727AD6"/>
    <w:rsid w:val="007300FB"/>
    <w:rsid w:val="007302BF"/>
    <w:rsid w:val="0073072B"/>
    <w:rsid w:val="00730B17"/>
    <w:rsid w:val="00730B57"/>
    <w:rsid w:val="007310A6"/>
    <w:rsid w:val="00731347"/>
    <w:rsid w:val="00731371"/>
    <w:rsid w:val="007314EA"/>
    <w:rsid w:val="00731524"/>
    <w:rsid w:val="00731AE4"/>
    <w:rsid w:val="0073270B"/>
    <w:rsid w:val="0073272E"/>
    <w:rsid w:val="00732782"/>
    <w:rsid w:val="007328F3"/>
    <w:rsid w:val="00732D79"/>
    <w:rsid w:val="0073315B"/>
    <w:rsid w:val="0073332D"/>
    <w:rsid w:val="00733D32"/>
    <w:rsid w:val="007344E8"/>
    <w:rsid w:val="00734807"/>
    <w:rsid w:val="007349FB"/>
    <w:rsid w:val="00734C2D"/>
    <w:rsid w:val="00735891"/>
    <w:rsid w:val="00735A27"/>
    <w:rsid w:val="00735D06"/>
    <w:rsid w:val="00735D7D"/>
    <w:rsid w:val="00735E7E"/>
    <w:rsid w:val="00736097"/>
    <w:rsid w:val="00736311"/>
    <w:rsid w:val="00736700"/>
    <w:rsid w:val="00736B45"/>
    <w:rsid w:val="00736DFD"/>
    <w:rsid w:val="0073708B"/>
    <w:rsid w:val="00737DB0"/>
    <w:rsid w:val="00737EBF"/>
    <w:rsid w:val="00737FBD"/>
    <w:rsid w:val="00740DB2"/>
    <w:rsid w:val="0074139E"/>
    <w:rsid w:val="007414AA"/>
    <w:rsid w:val="0074190E"/>
    <w:rsid w:val="00741D6A"/>
    <w:rsid w:val="007423B2"/>
    <w:rsid w:val="00742443"/>
    <w:rsid w:val="00742FCD"/>
    <w:rsid w:val="007431E8"/>
    <w:rsid w:val="00743AB9"/>
    <w:rsid w:val="00743B84"/>
    <w:rsid w:val="00744620"/>
    <w:rsid w:val="007451D6"/>
    <w:rsid w:val="00745321"/>
    <w:rsid w:val="0074553D"/>
    <w:rsid w:val="0074655C"/>
    <w:rsid w:val="00746D06"/>
    <w:rsid w:val="00746F26"/>
    <w:rsid w:val="00747430"/>
    <w:rsid w:val="007476C4"/>
    <w:rsid w:val="00747EDC"/>
    <w:rsid w:val="00750035"/>
    <w:rsid w:val="00750BF6"/>
    <w:rsid w:val="00751160"/>
    <w:rsid w:val="0075172C"/>
    <w:rsid w:val="00751A3B"/>
    <w:rsid w:val="00751A74"/>
    <w:rsid w:val="007520AC"/>
    <w:rsid w:val="0075253D"/>
    <w:rsid w:val="007528AA"/>
    <w:rsid w:val="00752B8E"/>
    <w:rsid w:val="007535ED"/>
    <w:rsid w:val="007538E2"/>
    <w:rsid w:val="00754492"/>
    <w:rsid w:val="0075500C"/>
    <w:rsid w:val="0075544A"/>
    <w:rsid w:val="00755F45"/>
    <w:rsid w:val="007568CC"/>
    <w:rsid w:val="00757A2A"/>
    <w:rsid w:val="00757C72"/>
    <w:rsid w:val="00757DE5"/>
    <w:rsid w:val="007603E6"/>
    <w:rsid w:val="00760981"/>
    <w:rsid w:val="00761BB4"/>
    <w:rsid w:val="00761E3A"/>
    <w:rsid w:val="00762258"/>
    <w:rsid w:val="00763423"/>
    <w:rsid w:val="00763BCE"/>
    <w:rsid w:val="00764263"/>
    <w:rsid w:val="00764288"/>
    <w:rsid w:val="0076485D"/>
    <w:rsid w:val="00764C3A"/>
    <w:rsid w:val="00765079"/>
    <w:rsid w:val="00765C3F"/>
    <w:rsid w:val="00766CA7"/>
    <w:rsid w:val="00767563"/>
    <w:rsid w:val="00770075"/>
    <w:rsid w:val="00770761"/>
    <w:rsid w:val="007707D2"/>
    <w:rsid w:val="00770AAC"/>
    <w:rsid w:val="0077105E"/>
    <w:rsid w:val="007710E8"/>
    <w:rsid w:val="00771244"/>
    <w:rsid w:val="00771526"/>
    <w:rsid w:val="007720F0"/>
    <w:rsid w:val="007723D5"/>
    <w:rsid w:val="00772918"/>
    <w:rsid w:val="00772D85"/>
    <w:rsid w:val="00772E64"/>
    <w:rsid w:val="00772E6B"/>
    <w:rsid w:val="0077371E"/>
    <w:rsid w:val="00773B03"/>
    <w:rsid w:val="00773BAF"/>
    <w:rsid w:val="00773E94"/>
    <w:rsid w:val="00774527"/>
    <w:rsid w:val="00776EB7"/>
    <w:rsid w:val="00776F49"/>
    <w:rsid w:val="007771C7"/>
    <w:rsid w:val="00777834"/>
    <w:rsid w:val="00777EBE"/>
    <w:rsid w:val="00777F8A"/>
    <w:rsid w:val="00780CBC"/>
    <w:rsid w:val="00780D38"/>
    <w:rsid w:val="00781874"/>
    <w:rsid w:val="00781DAD"/>
    <w:rsid w:val="00782756"/>
    <w:rsid w:val="00782F1B"/>
    <w:rsid w:val="0078320D"/>
    <w:rsid w:val="007832A4"/>
    <w:rsid w:val="00783358"/>
    <w:rsid w:val="00783CE4"/>
    <w:rsid w:val="00784354"/>
    <w:rsid w:val="00784DB4"/>
    <w:rsid w:val="0078560C"/>
    <w:rsid w:val="007858A9"/>
    <w:rsid w:val="007867D8"/>
    <w:rsid w:val="00786C77"/>
    <w:rsid w:val="007870A1"/>
    <w:rsid w:val="00787A1B"/>
    <w:rsid w:val="00787FE2"/>
    <w:rsid w:val="00790382"/>
    <w:rsid w:val="00790A30"/>
    <w:rsid w:val="007917EA"/>
    <w:rsid w:val="007920C0"/>
    <w:rsid w:val="00792765"/>
    <w:rsid w:val="00792A33"/>
    <w:rsid w:val="007938CD"/>
    <w:rsid w:val="00793C23"/>
    <w:rsid w:val="00793C83"/>
    <w:rsid w:val="00794689"/>
    <w:rsid w:val="007947B3"/>
    <w:rsid w:val="00794A9D"/>
    <w:rsid w:val="00794DED"/>
    <w:rsid w:val="00794EB1"/>
    <w:rsid w:val="00795AB8"/>
    <w:rsid w:val="00795C99"/>
    <w:rsid w:val="00796920"/>
    <w:rsid w:val="00796FD2"/>
    <w:rsid w:val="00797840"/>
    <w:rsid w:val="00797D31"/>
    <w:rsid w:val="007A1084"/>
    <w:rsid w:val="007A10A1"/>
    <w:rsid w:val="007A115F"/>
    <w:rsid w:val="007A11D6"/>
    <w:rsid w:val="007A1ACC"/>
    <w:rsid w:val="007A3751"/>
    <w:rsid w:val="007A3946"/>
    <w:rsid w:val="007A3EA1"/>
    <w:rsid w:val="007A4187"/>
    <w:rsid w:val="007A4710"/>
    <w:rsid w:val="007A4B13"/>
    <w:rsid w:val="007A4BC3"/>
    <w:rsid w:val="007A50F8"/>
    <w:rsid w:val="007A5491"/>
    <w:rsid w:val="007A54B1"/>
    <w:rsid w:val="007A57F6"/>
    <w:rsid w:val="007A5DD9"/>
    <w:rsid w:val="007A60A1"/>
    <w:rsid w:val="007A60CE"/>
    <w:rsid w:val="007A6D44"/>
    <w:rsid w:val="007A72ED"/>
    <w:rsid w:val="007A7BD3"/>
    <w:rsid w:val="007A7DF2"/>
    <w:rsid w:val="007A7E49"/>
    <w:rsid w:val="007A7EEB"/>
    <w:rsid w:val="007B0206"/>
    <w:rsid w:val="007B0209"/>
    <w:rsid w:val="007B12F8"/>
    <w:rsid w:val="007B1CE4"/>
    <w:rsid w:val="007B1EA8"/>
    <w:rsid w:val="007B278F"/>
    <w:rsid w:val="007B399E"/>
    <w:rsid w:val="007B3D0A"/>
    <w:rsid w:val="007B4561"/>
    <w:rsid w:val="007B47EF"/>
    <w:rsid w:val="007B5778"/>
    <w:rsid w:val="007B6D08"/>
    <w:rsid w:val="007B7D5D"/>
    <w:rsid w:val="007C026E"/>
    <w:rsid w:val="007C13CD"/>
    <w:rsid w:val="007C1F4D"/>
    <w:rsid w:val="007C2394"/>
    <w:rsid w:val="007C2BBC"/>
    <w:rsid w:val="007C2F3B"/>
    <w:rsid w:val="007C3095"/>
    <w:rsid w:val="007C32E6"/>
    <w:rsid w:val="007C33A0"/>
    <w:rsid w:val="007C342C"/>
    <w:rsid w:val="007C367F"/>
    <w:rsid w:val="007C379D"/>
    <w:rsid w:val="007C392B"/>
    <w:rsid w:val="007C3BE8"/>
    <w:rsid w:val="007C4211"/>
    <w:rsid w:val="007C43A7"/>
    <w:rsid w:val="007C442C"/>
    <w:rsid w:val="007C4518"/>
    <w:rsid w:val="007C47E3"/>
    <w:rsid w:val="007C4BE1"/>
    <w:rsid w:val="007C51D3"/>
    <w:rsid w:val="007C5347"/>
    <w:rsid w:val="007C538F"/>
    <w:rsid w:val="007C5ABD"/>
    <w:rsid w:val="007C5E31"/>
    <w:rsid w:val="007C71CC"/>
    <w:rsid w:val="007C7898"/>
    <w:rsid w:val="007C792D"/>
    <w:rsid w:val="007D03F1"/>
    <w:rsid w:val="007D1027"/>
    <w:rsid w:val="007D110C"/>
    <w:rsid w:val="007D16A2"/>
    <w:rsid w:val="007D18FC"/>
    <w:rsid w:val="007D1C4B"/>
    <w:rsid w:val="007D1C96"/>
    <w:rsid w:val="007D24E1"/>
    <w:rsid w:val="007D2538"/>
    <w:rsid w:val="007D28E6"/>
    <w:rsid w:val="007D3684"/>
    <w:rsid w:val="007D3C13"/>
    <w:rsid w:val="007D3C25"/>
    <w:rsid w:val="007D4463"/>
    <w:rsid w:val="007D4B14"/>
    <w:rsid w:val="007D4E87"/>
    <w:rsid w:val="007D5669"/>
    <w:rsid w:val="007D59E4"/>
    <w:rsid w:val="007D609D"/>
    <w:rsid w:val="007D6578"/>
    <w:rsid w:val="007D659A"/>
    <w:rsid w:val="007D65A6"/>
    <w:rsid w:val="007D6782"/>
    <w:rsid w:val="007D6989"/>
    <w:rsid w:val="007D74D4"/>
    <w:rsid w:val="007E0443"/>
    <w:rsid w:val="007E0684"/>
    <w:rsid w:val="007E072E"/>
    <w:rsid w:val="007E19A6"/>
    <w:rsid w:val="007E1B37"/>
    <w:rsid w:val="007E21DD"/>
    <w:rsid w:val="007E2BB1"/>
    <w:rsid w:val="007E3849"/>
    <w:rsid w:val="007E3F47"/>
    <w:rsid w:val="007E3F81"/>
    <w:rsid w:val="007E4A40"/>
    <w:rsid w:val="007E5D90"/>
    <w:rsid w:val="007E5F2F"/>
    <w:rsid w:val="007E6075"/>
    <w:rsid w:val="007E617C"/>
    <w:rsid w:val="007E6A40"/>
    <w:rsid w:val="007F0694"/>
    <w:rsid w:val="007F074F"/>
    <w:rsid w:val="007F08E4"/>
    <w:rsid w:val="007F1E1B"/>
    <w:rsid w:val="007F208B"/>
    <w:rsid w:val="007F3886"/>
    <w:rsid w:val="007F396E"/>
    <w:rsid w:val="007F3D7D"/>
    <w:rsid w:val="007F427B"/>
    <w:rsid w:val="007F4A87"/>
    <w:rsid w:val="007F4F34"/>
    <w:rsid w:val="007F5F23"/>
    <w:rsid w:val="007F60F1"/>
    <w:rsid w:val="007F6858"/>
    <w:rsid w:val="007F69FE"/>
    <w:rsid w:val="007F6AEA"/>
    <w:rsid w:val="007F6E2E"/>
    <w:rsid w:val="007F704A"/>
    <w:rsid w:val="008007F5"/>
    <w:rsid w:val="00800813"/>
    <w:rsid w:val="00801B43"/>
    <w:rsid w:val="00801DF8"/>
    <w:rsid w:val="008024E9"/>
    <w:rsid w:val="00802B0B"/>
    <w:rsid w:val="00804106"/>
    <w:rsid w:val="00804E3F"/>
    <w:rsid w:val="00805658"/>
    <w:rsid w:val="00805AB8"/>
    <w:rsid w:val="00805CA5"/>
    <w:rsid w:val="00805CE6"/>
    <w:rsid w:val="00806025"/>
    <w:rsid w:val="008072FB"/>
    <w:rsid w:val="008078FF"/>
    <w:rsid w:val="00807EBD"/>
    <w:rsid w:val="00810599"/>
    <w:rsid w:val="0081126F"/>
    <w:rsid w:val="00811387"/>
    <w:rsid w:val="0081205B"/>
    <w:rsid w:val="008122B3"/>
    <w:rsid w:val="00812901"/>
    <w:rsid w:val="0081339A"/>
    <w:rsid w:val="00813CD5"/>
    <w:rsid w:val="00814282"/>
    <w:rsid w:val="00814732"/>
    <w:rsid w:val="0081497B"/>
    <w:rsid w:val="00815555"/>
    <w:rsid w:val="00815707"/>
    <w:rsid w:val="00816289"/>
    <w:rsid w:val="00817AD8"/>
    <w:rsid w:val="00817D09"/>
    <w:rsid w:val="0082018D"/>
    <w:rsid w:val="00820809"/>
    <w:rsid w:val="00820F8F"/>
    <w:rsid w:val="008213B0"/>
    <w:rsid w:val="008213CD"/>
    <w:rsid w:val="00821DB9"/>
    <w:rsid w:val="0082218D"/>
    <w:rsid w:val="00822362"/>
    <w:rsid w:val="008229C2"/>
    <w:rsid w:val="00822A00"/>
    <w:rsid w:val="00822B89"/>
    <w:rsid w:val="00822DA2"/>
    <w:rsid w:val="00822DFF"/>
    <w:rsid w:val="008230BE"/>
    <w:rsid w:val="0082337B"/>
    <w:rsid w:val="00823C39"/>
    <w:rsid w:val="00824DAB"/>
    <w:rsid w:val="008250CD"/>
    <w:rsid w:val="00825A72"/>
    <w:rsid w:val="00825CCB"/>
    <w:rsid w:val="00826B46"/>
    <w:rsid w:val="00826D83"/>
    <w:rsid w:val="00827234"/>
    <w:rsid w:val="008275E5"/>
    <w:rsid w:val="00830A29"/>
    <w:rsid w:val="00831657"/>
    <w:rsid w:val="00831BBA"/>
    <w:rsid w:val="00831C7B"/>
    <w:rsid w:val="008322BD"/>
    <w:rsid w:val="00832B00"/>
    <w:rsid w:val="00832FCB"/>
    <w:rsid w:val="0083398E"/>
    <w:rsid w:val="00834677"/>
    <w:rsid w:val="0083499E"/>
    <w:rsid w:val="00834BEF"/>
    <w:rsid w:val="00834CC9"/>
    <w:rsid w:val="00834D17"/>
    <w:rsid w:val="00834EB9"/>
    <w:rsid w:val="0083548F"/>
    <w:rsid w:val="00835F1C"/>
    <w:rsid w:val="0083619B"/>
    <w:rsid w:val="0083682C"/>
    <w:rsid w:val="00836D09"/>
    <w:rsid w:val="00836F44"/>
    <w:rsid w:val="008405E1"/>
    <w:rsid w:val="00841BB3"/>
    <w:rsid w:val="00841FC2"/>
    <w:rsid w:val="008424CB"/>
    <w:rsid w:val="0084281B"/>
    <w:rsid w:val="00842E54"/>
    <w:rsid w:val="00843238"/>
    <w:rsid w:val="00843FF6"/>
    <w:rsid w:val="00844AEE"/>
    <w:rsid w:val="0084504B"/>
    <w:rsid w:val="008455AC"/>
    <w:rsid w:val="00845A35"/>
    <w:rsid w:val="00845B7B"/>
    <w:rsid w:val="0084612F"/>
    <w:rsid w:val="00846184"/>
    <w:rsid w:val="00846519"/>
    <w:rsid w:val="0084705C"/>
    <w:rsid w:val="008502FB"/>
    <w:rsid w:val="00850339"/>
    <w:rsid w:val="00850638"/>
    <w:rsid w:val="0085105E"/>
    <w:rsid w:val="00851240"/>
    <w:rsid w:val="00851655"/>
    <w:rsid w:val="00851ED5"/>
    <w:rsid w:val="00852128"/>
    <w:rsid w:val="0085275F"/>
    <w:rsid w:val="00852DA0"/>
    <w:rsid w:val="008531C0"/>
    <w:rsid w:val="0085381B"/>
    <w:rsid w:val="008545B7"/>
    <w:rsid w:val="00855005"/>
    <w:rsid w:val="008551EF"/>
    <w:rsid w:val="00855228"/>
    <w:rsid w:val="008554B2"/>
    <w:rsid w:val="00855FCC"/>
    <w:rsid w:val="008565C8"/>
    <w:rsid w:val="00856A53"/>
    <w:rsid w:val="0086014E"/>
    <w:rsid w:val="0086060F"/>
    <w:rsid w:val="008606E5"/>
    <w:rsid w:val="00860CB6"/>
    <w:rsid w:val="00860F4E"/>
    <w:rsid w:val="008612AC"/>
    <w:rsid w:val="008625B0"/>
    <w:rsid w:val="008625F4"/>
    <w:rsid w:val="008628CB"/>
    <w:rsid w:val="00862BDD"/>
    <w:rsid w:val="00862FE5"/>
    <w:rsid w:val="00863172"/>
    <w:rsid w:val="0086321C"/>
    <w:rsid w:val="00863FC6"/>
    <w:rsid w:val="008641BC"/>
    <w:rsid w:val="008642F1"/>
    <w:rsid w:val="00864605"/>
    <w:rsid w:val="00864FA5"/>
    <w:rsid w:val="00865594"/>
    <w:rsid w:val="00865960"/>
    <w:rsid w:val="00866BD4"/>
    <w:rsid w:val="00866D0C"/>
    <w:rsid w:val="00867B7F"/>
    <w:rsid w:val="00867CDB"/>
    <w:rsid w:val="00871088"/>
    <w:rsid w:val="00871AE8"/>
    <w:rsid w:val="0087253C"/>
    <w:rsid w:val="00872594"/>
    <w:rsid w:val="0087266E"/>
    <w:rsid w:val="008729BA"/>
    <w:rsid w:val="00872FDE"/>
    <w:rsid w:val="00873386"/>
    <w:rsid w:val="008733C0"/>
    <w:rsid w:val="00873630"/>
    <w:rsid w:val="0087417D"/>
    <w:rsid w:val="00875CF6"/>
    <w:rsid w:val="00875FE3"/>
    <w:rsid w:val="00876DF1"/>
    <w:rsid w:val="00877000"/>
    <w:rsid w:val="008774E1"/>
    <w:rsid w:val="008776F3"/>
    <w:rsid w:val="00880866"/>
    <w:rsid w:val="0088090E"/>
    <w:rsid w:val="008817B5"/>
    <w:rsid w:val="008818BE"/>
    <w:rsid w:val="00881AA0"/>
    <w:rsid w:val="00881C47"/>
    <w:rsid w:val="00881D32"/>
    <w:rsid w:val="00881D86"/>
    <w:rsid w:val="0088212F"/>
    <w:rsid w:val="00882389"/>
    <w:rsid w:val="008825F9"/>
    <w:rsid w:val="0088299B"/>
    <w:rsid w:val="008829CC"/>
    <w:rsid w:val="00882F90"/>
    <w:rsid w:val="00883270"/>
    <w:rsid w:val="0088348A"/>
    <w:rsid w:val="00884423"/>
    <w:rsid w:val="0088491E"/>
    <w:rsid w:val="00884F47"/>
    <w:rsid w:val="008862B0"/>
    <w:rsid w:val="0088680D"/>
    <w:rsid w:val="00887E45"/>
    <w:rsid w:val="0089012F"/>
    <w:rsid w:val="0089221F"/>
    <w:rsid w:val="00892398"/>
    <w:rsid w:val="00892F27"/>
    <w:rsid w:val="00893BBE"/>
    <w:rsid w:val="00894975"/>
    <w:rsid w:val="00894C03"/>
    <w:rsid w:val="00894ED8"/>
    <w:rsid w:val="00894F34"/>
    <w:rsid w:val="008967F2"/>
    <w:rsid w:val="00896A8F"/>
    <w:rsid w:val="00896E0B"/>
    <w:rsid w:val="00897194"/>
    <w:rsid w:val="008974C3"/>
    <w:rsid w:val="00897996"/>
    <w:rsid w:val="00897F9D"/>
    <w:rsid w:val="008A0049"/>
    <w:rsid w:val="008A0283"/>
    <w:rsid w:val="008A035D"/>
    <w:rsid w:val="008A03ED"/>
    <w:rsid w:val="008A1531"/>
    <w:rsid w:val="008A1DD3"/>
    <w:rsid w:val="008A255C"/>
    <w:rsid w:val="008A4CB2"/>
    <w:rsid w:val="008A514B"/>
    <w:rsid w:val="008A552C"/>
    <w:rsid w:val="008A5B13"/>
    <w:rsid w:val="008A5D9F"/>
    <w:rsid w:val="008A5EB6"/>
    <w:rsid w:val="008A61B6"/>
    <w:rsid w:val="008A663D"/>
    <w:rsid w:val="008A72AE"/>
    <w:rsid w:val="008A74BD"/>
    <w:rsid w:val="008A7782"/>
    <w:rsid w:val="008A7B58"/>
    <w:rsid w:val="008A7BF0"/>
    <w:rsid w:val="008B007B"/>
    <w:rsid w:val="008B01C8"/>
    <w:rsid w:val="008B0479"/>
    <w:rsid w:val="008B06DE"/>
    <w:rsid w:val="008B167C"/>
    <w:rsid w:val="008B1A7C"/>
    <w:rsid w:val="008B1EEE"/>
    <w:rsid w:val="008B2C92"/>
    <w:rsid w:val="008B3011"/>
    <w:rsid w:val="008B37D0"/>
    <w:rsid w:val="008B38EE"/>
    <w:rsid w:val="008B3D45"/>
    <w:rsid w:val="008B43CF"/>
    <w:rsid w:val="008B4E2A"/>
    <w:rsid w:val="008B64AE"/>
    <w:rsid w:val="008B6513"/>
    <w:rsid w:val="008B69DD"/>
    <w:rsid w:val="008B6D86"/>
    <w:rsid w:val="008B6E41"/>
    <w:rsid w:val="008B6F0B"/>
    <w:rsid w:val="008C1265"/>
    <w:rsid w:val="008C1311"/>
    <w:rsid w:val="008C1E3B"/>
    <w:rsid w:val="008C34A6"/>
    <w:rsid w:val="008C3A09"/>
    <w:rsid w:val="008C3ACB"/>
    <w:rsid w:val="008C41AB"/>
    <w:rsid w:val="008C44C9"/>
    <w:rsid w:val="008C492D"/>
    <w:rsid w:val="008C547A"/>
    <w:rsid w:val="008C59E9"/>
    <w:rsid w:val="008C5B3C"/>
    <w:rsid w:val="008C5F29"/>
    <w:rsid w:val="008C60CF"/>
    <w:rsid w:val="008C697C"/>
    <w:rsid w:val="008C6B13"/>
    <w:rsid w:val="008C6C85"/>
    <w:rsid w:val="008C708C"/>
    <w:rsid w:val="008C76E2"/>
    <w:rsid w:val="008C7BAE"/>
    <w:rsid w:val="008D027B"/>
    <w:rsid w:val="008D0985"/>
    <w:rsid w:val="008D0ACF"/>
    <w:rsid w:val="008D25B8"/>
    <w:rsid w:val="008D2767"/>
    <w:rsid w:val="008D280D"/>
    <w:rsid w:val="008D2989"/>
    <w:rsid w:val="008D3503"/>
    <w:rsid w:val="008D3948"/>
    <w:rsid w:val="008D397D"/>
    <w:rsid w:val="008D3BC2"/>
    <w:rsid w:val="008D3D92"/>
    <w:rsid w:val="008D401C"/>
    <w:rsid w:val="008D508A"/>
    <w:rsid w:val="008D5AC4"/>
    <w:rsid w:val="008D5C99"/>
    <w:rsid w:val="008D6A5D"/>
    <w:rsid w:val="008D6FEF"/>
    <w:rsid w:val="008D6FFF"/>
    <w:rsid w:val="008D70D1"/>
    <w:rsid w:val="008D7490"/>
    <w:rsid w:val="008D79BD"/>
    <w:rsid w:val="008D7D26"/>
    <w:rsid w:val="008E007A"/>
    <w:rsid w:val="008E066A"/>
    <w:rsid w:val="008E06E9"/>
    <w:rsid w:val="008E0C15"/>
    <w:rsid w:val="008E0D74"/>
    <w:rsid w:val="008E1B1D"/>
    <w:rsid w:val="008E1E3D"/>
    <w:rsid w:val="008E25EC"/>
    <w:rsid w:val="008E27D4"/>
    <w:rsid w:val="008E2A5C"/>
    <w:rsid w:val="008E2D06"/>
    <w:rsid w:val="008E30DD"/>
    <w:rsid w:val="008E39CD"/>
    <w:rsid w:val="008E3EBF"/>
    <w:rsid w:val="008E41EC"/>
    <w:rsid w:val="008E4605"/>
    <w:rsid w:val="008E515C"/>
    <w:rsid w:val="008E52CB"/>
    <w:rsid w:val="008E5980"/>
    <w:rsid w:val="008E5C6C"/>
    <w:rsid w:val="008E683C"/>
    <w:rsid w:val="008E6AED"/>
    <w:rsid w:val="008E7341"/>
    <w:rsid w:val="008E7393"/>
    <w:rsid w:val="008E742A"/>
    <w:rsid w:val="008E7733"/>
    <w:rsid w:val="008E7A7C"/>
    <w:rsid w:val="008F0566"/>
    <w:rsid w:val="008F07CB"/>
    <w:rsid w:val="008F0C79"/>
    <w:rsid w:val="008F1D1C"/>
    <w:rsid w:val="008F1D81"/>
    <w:rsid w:val="008F20B4"/>
    <w:rsid w:val="008F2595"/>
    <w:rsid w:val="008F2D5F"/>
    <w:rsid w:val="008F3063"/>
    <w:rsid w:val="008F360D"/>
    <w:rsid w:val="008F4140"/>
    <w:rsid w:val="008F4558"/>
    <w:rsid w:val="008F4BF8"/>
    <w:rsid w:val="008F5583"/>
    <w:rsid w:val="008F5EE5"/>
    <w:rsid w:val="008F710E"/>
    <w:rsid w:val="008F7329"/>
    <w:rsid w:val="008F7B84"/>
    <w:rsid w:val="008F7C63"/>
    <w:rsid w:val="008F7FD2"/>
    <w:rsid w:val="008F7FFA"/>
    <w:rsid w:val="009001FA"/>
    <w:rsid w:val="00901704"/>
    <w:rsid w:val="00902083"/>
    <w:rsid w:val="00902481"/>
    <w:rsid w:val="009025CC"/>
    <w:rsid w:val="0090293D"/>
    <w:rsid w:val="009029FB"/>
    <w:rsid w:val="00903559"/>
    <w:rsid w:val="00903FC7"/>
    <w:rsid w:val="00905654"/>
    <w:rsid w:val="00905700"/>
    <w:rsid w:val="00905C20"/>
    <w:rsid w:val="009065EA"/>
    <w:rsid w:val="009072E8"/>
    <w:rsid w:val="0090741D"/>
    <w:rsid w:val="00907518"/>
    <w:rsid w:val="00907557"/>
    <w:rsid w:val="009106A8"/>
    <w:rsid w:val="009116E3"/>
    <w:rsid w:val="009117E1"/>
    <w:rsid w:val="00911864"/>
    <w:rsid w:val="00911B3B"/>
    <w:rsid w:val="00912616"/>
    <w:rsid w:val="0091267F"/>
    <w:rsid w:val="0091268C"/>
    <w:rsid w:val="009128DB"/>
    <w:rsid w:val="00912EC4"/>
    <w:rsid w:val="0091377E"/>
    <w:rsid w:val="009148D0"/>
    <w:rsid w:val="00914D6E"/>
    <w:rsid w:val="009161D1"/>
    <w:rsid w:val="009164E6"/>
    <w:rsid w:val="00917CC3"/>
    <w:rsid w:val="00920EEA"/>
    <w:rsid w:val="00920F5B"/>
    <w:rsid w:val="00921280"/>
    <w:rsid w:val="00921843"/>
    <w:rsid w:val="00922D7C"/>
    <w:rsid w:val="00923026"/>
    <w:rsid w:val="009241BC"/>
    <w:rsid w:val="00924939"/>
    <w:rsid w:val="00924AF3"/>
    <w:rsid w:val="00925853"/>
    <w:rsid w:val="00925854"/>
    <w:rsid w:val="009262FF"/>
    <w:rsid w:val="00926957"/>
    <w:rsid w:val="009271DD"/>
    <w:rsid w:val="009274A1"/>
    <w:rsid w:val="0092784D"/>
    <w:rsid w:val="00927C8D"/>
    <w:rsid w:val="009302F2"/>
    <w:rsid w:val="00930360"/>
    <w:rsid w:val="00930762"/>
    <w:rsid w:val="00930B05"/>
    <w:rsid w:val="00930BCD"/>
    <w:rsid w:val="00931333"/>
    <w:rsid w:val="009316A2"/>
    <w:rsid w:val="009316D3"/>
    <w:rsid w:val="009318E5"/>
    <w:rsid w:val="00931AB7"/>
    <w:rsid w:val="00932253"/>
    <w:rsid w:val="00932EE6"/>
    <w:rsid w:val="009332A3"/>
    <w:rsid w:val="00933F29"/>
    <w:rsid w:val="009343B9"/>
    <w:rsid w:val="00934550"/>
    <w:rsid w:val="00934C40"/>
    <w:rsid w:val="009356C8"/>
    <w:rsid w:val="00935B0B"/>
    <w:rsid w:val="009364DB"/>
    <w:rsid w:val="00936C1E"/>
    <w:rsid w:val="00937236"/>
    <w:rsid w:val="00937819"/>
    <w:rsid w:val="009400A5"/>
    <w:rsid w:val="0094088B"/>
    <w:rsid w:val="00940AD8"/>
    <w:rsid w:val="00940D41"/>
    <w:rsid w:val="009411DE"/>
    <w:rsid w:val="00941216"/>
    <w:rsid w:val="00941A44"/>
    <w:rsid w:val="00941F1A"/>
    <w:rsid w:val="00941F3C"/>
    <w:rsid w:val="009425A1"/>
    <w:rsid w:val="0094285C"/>
    <w:rsid w:val="00943CC7"/>
    <w:rsid w:val="00943FF6"/>
    <w:rsid w:val="00944D7D"/>
    <w:rsid w:val="009451E4"/>
    <w:rsid w:val="00945416"/>
    <w:rsid w:val="00945C8B"/>
    <w:rsid w:val="0094632E"/>
    <w:rsid w:val="00946AE2"/>
    <w:rsid w:val="00946D97"/>
    <w:rsid w:val="00947447"/>
    <w:rsid w:val="00947839"/>
    <w:rsid w:val="00947B07"/>
    <w:rsid w:val="00950C0F"/>
    <w:rsid w:val="00950D6C"/>
    <w:rsid w:val="00950DFF"/>
    <w:rsid w:val="00950F40"/>
    <w:rsid w:val="009513BB"/>
    <w:rsid w:val="009514CF"/>
    <w:rsid w:val="00952AEC"/>
    <w:rsid w:val="00952E92"/>
    <w:rsid w:val="00952F1B"/>
    <w:rsid w:val="00953276"/>
    <w:rsid w:val="009532BA"/>
    <w:rsid w:val="00953E64"/>
    <w:rsid w:val="00954997"/>
    <w:rsid w:val="00955386"/>
    <w:rsid w:val="009568CE"/>
    <w:rsid w:val="0095692F"/>
    <w:rsid w:val="00956C40"/>
    <w:rsid w:val="009578BA"/>
    <w:rsid w:val="00960283"/>
    <w:rsid w:val="009603B5"/>
    <w:rsid w:val="009606C0"/>
    <w:rsid w:val="0096164A"/>
    <w:rsid w:val="009619F5"/>
    <w:rsid w:val="009621B0"/>
    <w:rsid w:val="00962604"/>
    <w:rsid w:val="009626F3"/>
    <w:rsid w:val="009627CB"/>
    <w:rsid w:val="00962C68"/>
    <w:rsid w:val="00962CD2"/>
    <w:rsid w:val="009631B1"/>
    <w:rsid w:val="00963D45"/>
    <w:rsid w:val="0096489B"/>
    <w:rsid w:val="00964CEF"/>
    <w:rsid w:val="0096544C"/>
    <w:rsid w:val="0096620C"/>
    <w:rsid w:val="00966533"/>
    <w:rsid w:val="009669EA"/>
    <w:rsid w:val="00966E59"/>
    <w:rsid w:val="009675D2"/>
    <w:rsid w:val="00967E85"/>
    <w:rsid w:val="00967F20"/>
    <w:rsid w:val="009700AB"/>
    <w:rsid w:val="009703FB"/>
    <w:rsid w:val="00971125"/>
    <w:rsid w:val="0097248A"/>
    <w:rsid w:val="0097297E"/>
    <w:rsid w:val="00973334"/>
    <w:rsid w:val="00973953"/>
    <w:rsid w:val="00973C36"/>
    <w:rsid w:val="00973D1B"/>
    <w:rsid w:val="00973E91"/>
    <w:rsid w:val="00973EE5"/>
    <w:rsid w:val="00974288"/>
    <w:rsid w:val="00974A07"/>
    <w:rsid w:val="00974AD9"/>
    <w:rsid w:val="0097546B"/>
    <w:rsid w:val="009759CC"/>
    <w:rsid w:val="00975D80"/>
    <w:rsid w:val="009761FB"/>
    <w:rsid w:val="009762C1"/>
    <w:rsid w:val="0097646C"/>
    <w:rsid w:val="00976BF8"/>
    <w:rsid w:val="00976D3C"/>
    <w:rsid w:val="00977A81"/>
    <w:rsid w:val="00977DC2"/>
    <w:rsid w:val="00980504"/>
    <w:rsid w:val="00980529"/>
    <w:rsid w:val="00981F5A"/>
    <w:rsid w:val="0098294D"/>
    <w:rsid w:val="00983A88"/>
    <w:rsid w:val="00983E52"/>
    <w:rsid w:val="009845AF"/>
    <w:rsid w:val="00984769"/>
    <w:rsid w:val="00984A60"/>
    <w:rsid w:val="00985553"/>
    <w:rsid w:val="00985AAF"/>
    <w:rsid w:val="0098680F"/>
    <w:rsid w:val="00986B1D"/>
    <w:rsid w:val="00987239"/>
    <w:rsid w:val="00987580"/>
    <w:rsid w:val="00987881"/>
    <w:rsid w:val="009878C3"/>
    <w:rsid w:val="00987D62"/>
    <w:rsid w:val="00987FE2"/>
    <w:rsid w:val="00990166"/>
    <w:rsid w:val="009903A6"/>
    <w:rsid w:val="00990DE0"/>
    <w:rsid w:val="009916A5"/>
    <w:rsid w:val="00992192"/>
    <w:rsid w:val="009925C3"/>
    <w:rsid w:val="00992643"/>
    <w:rsid w:val="0099266A"/>
    <w:rsid w:val="00992C93"/>
    <w:rsid w:val="00993427"/>
    <w:rsid w:val="00993579"/>
    <w:rsid w:val="0099367D"/>
    <w:rsid w:val="00993C31"/>
    <w:rsid w:val="00993C3C"/>
    <w:rsid w:val="00993DFE"/>
    <w:rsid w:val="00994DA8"/>
    <w:rsid w:val="00994FFE"/>
    <w:rsid w:val="00995B67"/>
    <w:rsid w:val="00995C0A"/>
    <w:rsid w:val="00996B44"/>
    <w:rsid w:val="00996D1D"/>
    <w:rsid w:val="009970EC"/>
    <w:rsid w:val="00997D43"/>
    <w:rsid w:val="00997D81"/>
    <w:rsid w:val="009A001F"/>
    <w:rsid w:val="009A0DA2"/>
    <w:rsid w:val="009A0F50"/>
    <w:rsid w:val="009A1073"/>
    <w:rsid w:val="009A1852"/>
    <w:rsid w:val="009A1B02"/>
    <w:rsid w:val="009A1DFD"/>
    <w:rsid w:val="009A2168"/>
    <w:rsid w:val="009A321E"/>
    <w:rsid w:val="009A3988"/>
    <w:rsid w:val="009A4B76"/>
    <w:rsid w:val="009A55E2"/>
    <w:rsid w:val="009A5747"/>
    <w:rsid w:val="009A5800"/>
    <w:rsid w:val="009A6B37"/>
    <w:rsid w:val="009A6ED8"/>
    <w:rsid w:val="009B023D"/>
    <w:rsid w:val="009B05A7"/>
    <w:rsid w:val="009B0BD9"/>
    <w:rsid w:val="009B1699"/>
    <w:rsid w:val="009B1CBE"/>
    <w:rsid w:val="009B1E4C"/>
    <w:rsid w:val="009B20EA"/>
    <w:rsid w:val="009B249C"/>
    <w:rsid w:val="009B2C15"/>
    <w:rsid w:val="009B31B9"/>
    <w:rsid w:val="009B3B36"/>
    <w:rsid w:val="009B410F"/>
    <w:rsid w:val="009B423D"/>
    <w:rsid w:val="009B4D28"/>
    <w:rsid w:val="009B4DAE"/>
    <w:rsid w:val="009B4EFD"/>
    <w:rsid w:val="009B5416"/>
    <w:rsid w:val="009B5AF7"/>
    <w:rsid w:val="009B5E43"/>
    <w:rsid w:val="009B5F0A"/>
    <w:rsid w:val="009B622F"/>
    <w:rsid w:val="009B64CC"/>
    <w:rsid w:val="009B663D"/>
    <w:rsid w:val="009B6CE1"/>
    <w:rsid w:val="009B6D8B"/>
    <w:rsid w:val="009B6FC7"/>
    <w:rsid w:val="009B7822"/>
    <w:rsid w:val="009B79A3"/>
    <w:rsid w:val="009B7BC1"/>
    <w:rsid w:val="009C0240"/>
    <w:rsid w:val="009C031B"/>
    <w:rsid w:val="009C0909"/>
    <w:rsid w:val="009C0C62"/>
    <w:rsid w:val="009C0D52"/>
    <w:rsid w:val="009C1001"/>
    <w:rsid w:val="009C1D87"/>
    <w:rsid w:val="009C2795"/>
    <w:rsid w:val="009C2A86"/>
    <w:rsid w:val="009C3B5E"/>
    <w:rsid w:val="009C3BB8"/>
    <w:rsid w:val="009C44B2"/>
    <w:rsid w:val="009C45BD"/>
    <w:rsid w:val="009C6372"/>
    <w:rsid w:val="009C651E"/>
    <w:rsid w:val="009C6C86"/>
    <w:rsid w:val="009D050F"/>
    <w:rsid w:val="009D077D"/>
    <w:rsid w:val="009D0F83"/>
    <w:rsid w:val="009D12CE"/>
    <w:rsid w:val="009D138D"/>
    <w:rsid w:val="009D1726"/>
    <w:rsid w:val="009D1744"/>
    <w:rsid w:val="009D22BF"/>
    <w:rsid w:val="009D2BE0"/>
    <w:rsid w:val="009D3B82"/>
    <w:rsid w:val="009D3DCE"/>
    <w:rsid w:val="009D407B"/>
    <w:rsid w:val="009D44A1"/>
    <w:rsid w:val="009D488A"/>
    <w:rsid w:val="009D4C8D"/>
    <w:rsid w:val="009D5E68"/>
    <w:rsid w:val="009D5EC8"/>
    <w:rsid w:val="009D6407"/>
    <w:rsid w:val="009D64DD"/>
    <w:rsid w:val="009D6648"/>
    <w:rsid w:val="009D772B"/>
    <w:rsid w:val="009E03C9"/>
    <w:rsid w:val="009E22F0"/>
    <w:rsid w:val="009E2439"/>
    <w:rsid w:val="009E25A0"/>
    <w:rsid w:val="009E2D31"/>
    <w:rsid w:val="009E328E"/>
    <w:rsid w:val="009E3919"/>
    <w:rsid w:val="009E3A93"/>
    <w:rsid w:val="009E3B19"/>
    <w:rsid w:val="009E3F5B"/>
    <w:rsid w:val="009E40F5"/>
    <w:rsid w:val="009E4293"/>
    <w:rsid w:val="009E4CF0"/>
    <w:rsid w:val="009E57CC"/>
    <w:rsid w:val="009E5886"/>
    <w:rsid w:val="009E58AE"/>
    <w:rsid w:val="009E5BD7"/>
    <w:rsid w:val="009E76FF"/>
    <w:rsid w:val="009E7707"/>
    <w:rsid w:val="009E7B86"/>
    <w:rsid w:val="009F018A"/>
    <w:rsid w:val="009F048A"/>
    <w:rsid w:val="009F0537"/>
    <w:rsid w:val="009F0F32"/>
    <w:rsid w:val="009F1A51"/>
    <w:rsid w:val="009F1A64"/>
    <w:rsid w:val="009F1B22"/>
    <w:rsid w:val="009F1E23"/>
    <w:rsid w:val="009F3189"/>
    <w:rsid w:val="009F3401"/>
    <w:rsid w:val="009F3EDD"/>
    <w:rsid w:val="009F4E15"/>
    <w:rsid w:val="009F5B24"/>
    <w:rsid w:val="009F5EC4"/>
    <w:rsid w:val="009F602D"/>
    <w:rsid w:val="009F60AD"/>
    <w:rsid w:val="009F60F5"/>
    <w:rsid w:val="009F61FF"/>
    <w:rsid w:val="009F63CA"/>
    <w:rsid w:val="009F6C87"/>
    <w:rsid w:val="009F6DB5"/>
    <w:rsid w:val="009F747E"/>
    <w:rsid w:val="00A00402"/>
    <w:rsid w:val="00A00681"/>
    <w:rsid w:val="00A00F59"/>
    <w:rsid w:val="00A0104D"/>
    <w:rsid w:val="00A01101"/>
    <w:rsid w:val="00A01A75"/>
    <w:rsid w:val="00A02637"/>
    <w:rsid w:val="00A02686"/>
    <w:rsid w:val="00A03AEA"/>
    <w:rsid w:val="00A05243"/>
    <w:rsid w:val="00A05774"/>
    <w:rsid w:val="00A06734"/>
    <w:rsid w:val="00A06B1F"/>
    <w:rsid w:val="00A0709E"/>
    <w:rsid w:val="00A0712D"/>
    <w:rsid w:val="00A07952"/>
    <w:rsid w:val="00A07995"/>
    <w:rsid w:val="00A100A2"/>
    <w:rsid w:val="00A1058D"/>
    <w:rsid w:val="00A110CD"/>
    <w:rsid w:val="00A11202"/>
    <w:rsid w:val="00A1121D"/>
    <w:rsid w:val="00A115C1"/>
    <w:rsid w:val="00A11807"/>
    <w:rsid w:val="00A122D1"/>
    <w:rsid w:val="00A12827"/>
    <w:rsid w:val="00A132A0"/>
    <w:rsid w:val="00A1351F"/>
    <w:rsid w:val="00A13F7E"/>
    <w:rsid w:val="00A140E7"/>
    <w:rsid w:val="00A14936"/>
    <w:rsid w:val="00A14DA8"/>
    <w:rsid w:val="00A155B5"/>
    <w:rsid w:val="00A1560C"/>
    <w:rsid w:val="00A162C3"/>
    <w:rsid w:val="00A16892"/>
    <w:rsid w:val="00A1697C"/>
    <w:rsid w:val="00A16B49"/>
    <w:rsid w:val="00A171B5"/>
    <w:rsid w:val="00A1799A"/>
    <w:rsid w:val="00A17A6A"/>
    <w:rsid w:val="00A2011D"/>
    <w:rsid w:val="00A2057A"/>
    <w:rsid w:val="00A20738"/>
    <w:rsid w:val="00A2100B"/>
    <w:rsid w:val="00A21479"/>
    <w:rsid w:val="00A215D1"/>
    <w:rsid w:val="00A217C9"/>
    <w:rsid w:val="00A21B6D"/>
    <w:rsid w:val="00A21F9A"/>
    <w:rsid w:val="00A22643"/>
    <w:rsid w:val="00A231D6"/>
    <w:rsid w:val="00A23364"/>
    <w:rsid w:val="00A2336F"/>
    <w:rsid w:val="00A23722"/>
    <w:rsid w:val="00A23849"/>
    <w:rsid w:val="00A2397D"/>
    <w:rsid w:val="00A23BB6"/>
    <w:rsid w:val="00A2410D"/>
    <w:rsid w:val="00A243AA"/>
    <w:rsid w:val="00A243CD"/>
    <w:rsid w:val="00A24538"/>
    <w:rsid w:val="00A25603"/>
    <w:rsid w:val="00A25948"/>
    <w:rsid w:val="00A25962"/>
    <w:rsid w:val="00A25E38"/>
    <w:rsid w:val="00A2613E"/>
    <w:rsid w:val="00A26486"/>
    <w:rsid w:val="00A26947"/>
    <w:rsid w:val="00A27532"/>
    <w:rsid w:val="00A27560"/>
    <w:rsid w:val="00A2776C"/>
    <w:rsid w:val="00A30484"/>
    <w:rsid w:val="00A3133E"/>
    <w:rsid w:val="00A314B4"/>
    <w:rsid w:val="00A3153F"/>
    <w:rsid w:val="00A318D7"/>
    <w:rsid w:val="00A31DB7"/>
    <w:rsid w:val="00A31ED5"/>
    <w:rsid w:val="00A3262D"/>
    <w:rsid w:val="00A3283D"/>
    <w:rsid w:val="00A32C12"/>
    <w:rsid w:val="00A32E9C"/>
    <w:rsid w:val="00A33216"/>
    <w:rsid w:val="00A3383B"/>
    <w:rsid w:val="00A339AC"/>
    <w:rsid w:val="00A342DE"/>
    <w:rsid w:val="00A3475F"/>
    <w:rsid w:val="00A34EC3"/>
    <w:rsid w:val="00A352D8"/>
    <w:rsid w:val="00A36237"/>
    <w:rsid w:val="00A36C3F"/>
    <w:rsid w:val="00A36F12"/>
    <w:rsid w:val="00A370F1"/>
    <w:rsid w:val="00A37319"/>
    <w:rsid w:val="00A379BE"/>
    <w:rsid w:val="00A40357"/>
    <w:rsid w:val="00A40668"/>
    <w:rsid w:val="00A4080D"/>
    <w:rsid w:val="00A40D78"/>
    <w:rsid w:val="00A4126A"/>
    <w:rsid w:val="00A41641"/>
    <w:rsid w:val="00A419F1"/>
    <w:rsid w:val="00A41F96"/>
    <w:rsid w:val="00A421DB"/>
    <w:rsid w:val="00A42C2C"/>
    <w:rsid w:val="00A42E15"/>
    <w:rsid w:val="00A434F9"/>
    <w:rsid w:val="00A4380B"/>
    <w:rsid w:val="00A4382C"/>
    <w:rsid w:val="00A43EF9"/>
    <w:rsid w:val="00A441A2"/>
    <w:rsid w:val="00A4513B"/>
    <w:rsid w:val="00A452AB"/>
    <w:rsid w:val="00A452DD"/>
    <w:rsid w:val="00A458A9"/>
    <w:rsid w:val="00A46190"/>
    <w:rsid w:val="00A466F9"/>
    <w:rsid w:val="00A467B8"/>
    <w:rsid w:val="00A4701D"/>
    <w:rsid w:val="00A47023"/>
    <w:rsid w:val="00A47114"/>
    <w:rsid w:val="00A47200"/>
    <w:rsid w:val="00A47941"/>
    <w:rsid w:val="00A47BCC"/>
    <w:rsid w:val="00A47E64"/>
    <w:rsid w:val="00A50D6E"/>
    <w:rsid w:val="00A50E72"/>
    <w:rsid w:val="00A5120A"/>
    <w:rsid w:val="00A52091"/>
    <w:rsid w:val="00A52513"/>
    <w:rsid w:val="00A52560"/>
    <w:rsid w:val="00A5256C"/>
    <w:rsid w:val="00A5282E"/>
    <w:rsid w:val="00A52932"/>
    <w:rsid w:val="00A52B43"/>
    <w:rsid w:val="00A5320C"/>
    <w:rsid w:val="00A536A1"/>
    <w:rsid w:val="00A5382D"/>
    <w:rsid w:val="00A5390C"/>
    <w:rsid w:val="00A54582"/>
    <w:rsid w:val="00A545D6"/>
    <w:rsid w:val="00A54EC4"/>
    <w:rsid w:val="00A54F83"/>
    <w:rsid w:val="00A54F9D"/>
    <w:rsid w:val="00A550BA"/>
    <w:rsid w:val="00A55605"/>
    <w:rsid w:val="00A55E1A"/>
    <w:rsid w:val="00A55FC1"/>
    <w:rsid w:val="00A55FFE"/>
    <w:rsid w:val="00A5622A"/>
    <w:rsid w:val="00A568A4"/>
    <w:rsid w:val="00A568F9"/>
    <w:rsid w:val="00A56CE0"/>
    <w:rsid w:val="00A56D65"/>
    <w:rsid w:val="00A57176"/>
    <w:rsid w:val="00A57A70"/>
    <w:rsid w:val="00A57FED"/>
    <w:rsid w:val="00A60562"/>
    <w:rsid w:val="00A61338"/>
    <w:rsid w:val="00A61944"/>
    <w:rsid w:val="00A6197B"/>
    <w:rsid w:val="00A61CA2"/>
    <w:rsid w:val="00A61E1F"/>
    <w:rsid w:val="00A61F66"/>
    <w:rsid w:val="00A62B9A"/>
    <w:rsid w:val="00A637E0"/>
    <w:rsid w:val="00A63CEC"/>
    <w:rsid w:val="00A6497F"/>
    <w:rsid w:val="00A65039"/>
    <w:rsid w:val="00A652AC"/>
    <w:rsid w:val="00A65642"/>
    <w:rsid w:val="00A659EB"/>
    <w:rsid w:val="00A65F25"/>
    <w:rsid w:val="00A663DD"/>
    <w:rsid w:val="00A66595"/>
    <w:rsid w:val="00A668F4"/>
    <w:rsid w:val="00A67698"/>
    <w:rsid w:val="00A71AC2"/>
    <w:rsid w:val="00A722E3"/>
    <w:rsid w:val="00A72383"/>
    <w:rsid w:val="00A724CC"/>
    <w:rsid w:val="00A72BF1"/>
    <w:rsid w:val="00A73213"/>
    <w:rsid w:val="00A73509"/>
    <w:rsid w:val="00A738B0"/>
    <w:rsid w:val="00A73B41"/>
    <w:rsid w:val="00A7412A"/>
    <w:rsid w:val="00A7489D"/>
    <w:rsid w:val="00A74EE8"/>
    <w:rsid w:val="00A758F6"/>
    <w:rsid w:val="00A760E6"/>
    <w:rsid w:val="00A768BE"/>
    <w:rsid w:val="00A768FA"/>
    <w:rsid w:val="00A76BC5"/>
    <w:rsid w:val="00A76CEB"/>
    <w:rsid w:val="00A774FB"/>
    <w:rsid w:val="00A77D00"/>
    <w:rsid w:val="00A77FC5"/>
    <w:rsid w:val="00A804F6"/>
    <w:rsid w:val="00A804F9"/>
    <w:rsid w:val="00A808A4"/>
    <w:rsid w:val="00A80E21"/>
    <w:rsid w:val="00A815B4"/>
    <w:rsid w:val="00A826CA"/>
    <w:rsid w:val="00A829AA"/>
    <w:rsid w:val="00A82BD5"/>
    <w:rsid w:val="00A82E98"/>
    <w:rsid w:val="00A82EED"/>
    <w:rsid w:val="00A834A0"/>
    <w:rsid w:val="00A83B38"/>
    <w:rsid w:val="00A844C8"/>
    <w:rsid w:val="00A84652"/>
    <w:rsid w:val="00A84C0D"/>
    <w:rsid w:val="00A854FC"/>
    <w:rsid w:val="00A857EE"/>
    <w:rsid w:val="00A85AEB"/>
    <w:rsid w:val="00A86294"/>
    <w:rsid w:val="00A865D9"/>
    <w:rsid w:val="00A86E6B"/>
    <w:rsid w:val="00A86ECA"/>
    <w:rsid w:val="00A903B7"/>
    <w:rsid w:val="00A9071C"/>
    <w:rsid w:val="00A90798"/>
    <w:rsid w:val="00A9159D"/>
    <w:rsid w:val="00A91962"/>
    <w:rsid w:val="00A91B66"/>
    <w:rsid w:val="00A92840"/>
    <w:rsid w:val="00A928C7"/>
    <w:rsid w:val="00A92AA4"/>
    <w:rsid w:val="00A93005"/>
    <w:rsid w:val="00A93750"/>
    <w:rsid w:val="00A938B4"/>
    <w:rsid w:val="00A93A03"/>
    <w:rsid w:val="00A93C78"/>
    <w:rsid w:val="00A94023"/>
    <w:rsid w:val="00A94134"/>
    <w:rsid w:val="00A949EA"/>
    <w:rsid w:val="00A94F3C"/>
    <w:rsid w:val="00A954D8"/>
    <w:rsid w:val="00A956E1"/>
    <w:rsid w:val="00A9629C"/>
    <w:rsid w:val="00A9676B"/>
    <w:rsid w:val="00A96FC9"/>
    <w:rsid w:val="00AA0253"/>
    <w:rsid w:val="00AA04C3"/>
    <w:rsid w:val="00AA0593"/>
    <w:rsid w:val="00AA0B7C"/>
    <w:rsid w:val="00AA0DCA"/>
    <w:rsid w:val="00AA14C5"/>
    <w:rsid w:val="00AA19F9"/>
    <w:rsid w:val="00AA1A4E"/>
    <w:rsid w:val="00AA1C47"/>
    <w:rsid w:val="00AA2CEF"/>
    <w:rsid w:val="00AA2F67"/>
    <w:rsid w:val="00AA2FDD"/>
    <w:rsid w:val="00AA30F1"/>
    <w:rsid w:val="00AA3200"/>
    <w:rsid w:val="00AA3217"/>
    <w:rsid w:val="00AA3342"/>
    <w:rsid w:val="00AA394C"/>
    <w:rsid w:val="00AA3AFE"/>
    <w:rsid w:val="00AA3B2D"/>
    <w:rsid w:val="00AA43B2"/>
    <w:rsid w:val="00AA520A"/>
    <w:rsid w:val="00AA580A"/>
    <w:rsid w:val="00AA5849"/>
    <w:rsid w:val="00AA5922"/>
    <w:rsid w:val="00AA5AFE"/>
    <w:rsid w:val="00AA60C2"/>
    <w:rsid w:val="00AA6632"/>
    <w:rsid w:val="00AA692E"/>
    <w:rsid w:val="00AA69C4"/>
    <w:rsid w:val="00AA6D0E"/>
    <w:rsid w:val="00AA6FE8"/>
    <w:rsid w:val="00AB0E94"/>
    <w:rsid w:val="00AB108F"/>
    <w:rsid w:val="00AB1727"/>
    <w:rsid w:val="00AB1D44"/>
    <w:rsid w:val="00AB1F1A"/>
    <w:rsid w:val="00AB3C64"/>
    <w:rsid w:val="00AB4833"/>
    <w:rsid w:val="00AB4A58"/>
    <w:rsid w:val="00AB4D35"/>
    <w:rsid w:val="00AB53BE"/>
    <w:rsid w:val="00AB5E5C"/>
    <w:rsid w:val="00AB5FF6"/>
    <w:rsid w:val="00AB6BB4"/>
    <w:rsid w:val="00AB6C3F"/>
    <w:rsid w:val="00AB771F"/>
    <w:rsid w:val="00AB79E9"/>
    <w:rsid w:val="00AC05FC"/>
    <w:rsid w:val="00AC0ED1"/>
    <w:rsid w:val="00AC114A"/>
    <w:rsid w:val="00AC193B"/>
    <w:rsid w:val="00AC2217"/>
    <w:rsid w:val="00AC239E"/>
    <w:rsid w:val="00AC2BB6"/>
    <w:rsid w:val="00AC2C55"/>
    <w:rsid w:val="00AC31A6"/>
    <w:rsid w:val="00AC35CC"/>
    <w:rsid w:val="00AC3EC6"/>
    <w:rsid w:val="00AC41E9"/>
    <w:rsid w:val="00AC4226"/>
    <w:rsid w:val="00AC4BC1"/>
    <w:rsid w:val="00AC5BD6"/>
    <w:rsid w:val="00AC5E9A"/>
    <w:rsid w:val="00AC661D"/>
    <w:rsid w:val="00AC6923"/>
    <w:rsid w:val="00AC70BE"/>
    <w:rsid w:val="00AC7470"/>
    <w:rsid w:val="00AC7653"/>
    <w:rsid w:val="00AC77CB"/>
    <w:rsid w:val="00AC7B69"/>
    <w:rsid w:val="00AC7B8A"/>
    <w:rsid w:val="00AC7D44"/>
    <w:rsid w:val="00AC7FD7"/>
    <w:rsid w:val="00AD0559"/>
    <w:rsid w:val="00AD0B4B"/>
    <w:rsid w:val="00AD0CD2"/>
    <w:rsid w:val="00AD14AD"/>
    <w:rsid w:val="00AD14BA"/>
    <w:rsid w:val="00AD1992"/>
    <w:rsid w:val="00AD1EBD"/>
    <w:rsid w:val="00AD23C8"/>
    <w:rsid w:val="00AD28BB"/>
    <w:rsid w:val="00AD29FB"/>
    <w:rsid w:val="00AD2EE7"/>
    <w:rsid w:val="00AD40D6"/>
    <w:rsid w:val="00AD5168"/>
    <w:rsid w:val="00AD5246"/>
    <w:rsid w:val="00AD558E"/>
    <w:rsid w:val="00AD55D6"/>
    <w:rsid w:val="00AD587C"/>
    <w:rsid w:val="00AD59AC"/>
    <w:rsid w:val="00AD5BC9"/>
    <w:rsid w:val="00AD688E"/>
    <w:rsid w:val="00AD6A65"/>
    <w:rsid w:val="00AD6C69"/>
    <w:rsid w:val="00AD75BD"/>
    <w:rsid w:val="00AD7752"/>
    <w:rsid w:val="00AD7840"/>
    <w:rsid w:val="00AD7C0D"/>
    <w:rsid w:val="00AD7C47"/>
    <w:rsid w:val="00AD7DE1"/>
    <w:rsid w:val="00AE0D2D"/>
    <w:rsid w:val="00AE11A1"/>
    <w:rsid w:val="00AE1723"/>
    <w:rsid w:val="00AE27C9"/>
    <w:rsid w:val="00AE2939"/>
    <w:rsid w:val="00AE2A5B"/>
    <w:rsid w:val="00AE2CEB"/>
    <w:rsid w:val="00AE358F"/>
    <w:rsid w:val="00AE3AE7"/>
    <w:rsid w:val="00AE6CF0"/>
    <w:rsid w:val="00AE723E"/>
    <w:rsid w:val="00AE78A5"/>
    <w:rsid w:val="00AF0D98"/>
    <w:rsid w:val="00AF0EB4"/>
    <w:rsid w:val="00AF108B"/>
    <w:rsid w:val="00AF123D"/>
    <w:rsid w:val="00AF1477"/>
    <w:rsid w:val="00AF2437"/>
    <w:rsid w:val="00AF2765"/>
    <w:rsid w:val="00AF2A88"/>
    <w:rsid w:val="00AF34B6"/>
    <w:rsid w:val="00AF37EF"/>
    <w:rsid w:val="00AF5612"/>
    <w:rsid w:val="00AF57B6"/>
    <w:rsid w:val="00AF5C5B"/>
    <w:rsid w:val="00AF5DB7"/>
    <w:rsid w:val="00AF66AB"/>
    <w:rsid w:val="00AF6A06"/>
    <w:rsid w:val="00AF7033"/>
    <w:rsid w:val="00AF737C"/>
    <w:rsid w:val="00AF7559"/>
    <w:rsid w:val="00B0074A"/>
    <w:rsid w:val="00B00973"/>
    <w:rsid w:val="00B00989"/>
    <w:rsid w:val="00B00A8D"/>
    <w:rsid w:val="00B01371"/>
    <w:rsid w:val="00B0289B"/>
    <w:rsid w:val="00B02C08"/>
    <w:rsid w:val="00B02E29"/>
    <w:rsid w:val="00B02E92"/>
    <w:rsid w:val="00B0304E"/>
    <w:rsid w:val="00B032EC"/>
    <w:rsid w:val="00B03933"/>
    <w:rsid w:val="00B0420B"/>
    <w:rsid w:val="00B04BB4"/>
    <w:rsid w:val="00B04E38"/>
    <w:rsid w:val="00B054DE"/>
    <w:rsid w:val="00B05C51"/>
    <w:rsid w:val="00B06878"/>
    <w:rsid w:val="00B06E42"/>
    <w:rsid w:val="00B06F76"/>
    <w:rsid w:val="00B076C9"/>
    <w:rsid w:val="00B10427"/>
    <w:rsid w:val="00B1056F"/>
    <w:rsid w:val="00B106D0"/>
    <w:rsid w:val="00B1372E"/>
    <w:rsid w:val="00B13986"/>
    <w:rsid w:val="00B13A7C"/>
    <w:rsid w:val="00B1425E"/>
    <w:rsid w:val="00B14DE1"/>
    <w:rsid w:val="00B15BFB"/>
    <w:rsid w:val="00B15C4E"/>
    <w:rsid w:val="00B160F6"/>
    <w:rsid w:val="00B166A9"/>
    <w:rsid w:val="00B167CC"/>
    <w:rsid w:val="00B16DAB"/>
    <w:rsid w:val="00B16DFA"/>
    <w:rsid w:val="00B20ABD"/>
    <w:rsid w:val="00B20F39"/>
    <w:rsid w:val="00B20FD7"/>
    <w:rsid w:val="00B2102E"/>
    <w:rsid w:val="00B213FE"/>
    <w:rsid w:val="00B21C3D"/>
    <w:rsid w:val="00B2352D"/>
    <w:rsid w:val="00B24C18"/>
    <w:rsid w:val="00B24D6D"/>
    <w:rsid w:val="00B24E04"/>
    <w:rsid w:val="00B24FCB"/>
    <w:rsid w:val="00B26220"/>
    <w:rsid w:val="00B26B5D"/>
    <w:rsid w:val="00B26FD3"/>
    <w:rsid w:val="00B26FD5"/>
    <w:rsid w:val="00B274CF"/>
    <w:rsid w:val="00B2760E"/>
    <w:rsid w:val="00B27AB8"/>
    <w:rsid w:val="00B3034F"/>
    <w:rsid w:val="00B308B0"/>
    <w:rsid w:val="00B30AE4"/>
    <w:rsid w:val="00B30D50"/>
    <w:rsid w:val="00B31EF9"/>
    <w:rsid w:val="00B326E0"/>
    <w:rsid w:val="00B32B3A"/>
    <w:rsid w:val="00B32CB6"/>
    <w:rsid w:val="00B33119"/>
    <w:rsid w:val="00B3444B"/>
    <w:rsid w:val="00B3467B"/>
    <w:rsid w:val="00B34735"/>
    <w:rsid w:val="00B34A1A"/>
    <w:rsid w:val="00B34E93"/>
    <w:rsid w:val="00B36251"/>
    <w:rsid w:val="00B36351"/>
    <w:rsid w:val="00B368CB"/>
    <w:rsid w:val="00B36C38"/>
    <w:rsid w:val="00B36E26"/>
    <w:rsid w:val="00B37B24"/>
    <w:rsid w:val="00B37BBC"/>
    <w:rsid w:val="00B4008D"/>
    <w:rsid w:val="00B407CD"/>
    <w:rsid w:val="00B40A97"/>
    <w:rsid w:val="00B4125F"/>
    <w:rsid w:val="00B413F0"/>
    <w:rsid w:val="00B416D8"/>
    <w:rsid w:val="00B417C8"/>
    <w:rsid w:val="00B41F4C"/>
    <w:rsid w:val="00B4205B"/>
    <w:rsid w:val="00B42409"/>
    <w:rsid w:val="00B436D9"/>
    <w:rsid w:val="00B44373"/>
    <w:rsid w:val="00B446F9"/>
    <w:rsid w:val="00B4486B"/>
    <w:rsid w:val="00B44D7B"/>
    <w:rsid w:val="00B4526C"/>
    <w:rsid w:val="00B45551"/>
    <w:rsid w:val="00B45600"/>
    <w:rsid w:val="00B45BCE"/>
    <w:rsid w:val="00B461CF"/>
    <w:rsid w:val="00B46388"/>
    <w:rsid w:val="00B469B0"/>
    <w:rsid w:val="00B469D8"/>
    <w:rsid w:val="00B4726E"/>
    <w:rsid w:val="00B4730E"/>
    <w:rsid w:val="00B47820"/>
    <w:rsid w:val="00B47865"/>
    <w:rsid w:val="00B5060D"/>
    <w:rsid w:val="00B507EC"/>
    <w:rsid w:val="00B510FD"/>
    <w:rsid w:val="00B51F2E"/>
    <w:rsid w:val="00B52B91"/>
    <w:rsid w:val="00B53389"/>
    <w:rsid w:val="00B53BF7"/>
    <w:rsid w:val="00B54144"/>
    <w:rsid w:val="00B54AB3"/>
    <w:rsid w:val="00B54BF9"/>
    <w:rsid w:val="00B5660B"/>
    <w:rsid w:val="00B56D0C"/>
    <w:rsid w:val="00B56EC4"/>
    <w:rsid w:val="00B57133"/>
    <w:rsid w:val="00B57138"/>
    <w:rsid w:val="00B6018F"/>
    <w:rsid w:val="00B60BB6"/>
    <w:rsid w:val="00B60DF2"/>
    <w:rsid w:val="00B60F47"/>
    <w:rsid w:val="00B60FBC"/>
    <w:rsid w:val="00B61E90"/>
    <w:rsid w:val="00B62176"/>
    <w:rsid w:val="00B629CD"/>
    <w:rsid w:val="00B62DC0"/>
    <w:rsid w:val="00B6330A"/>
    <w:rsid w:val="00B63C30"/>
    <w:rsid w:val="00B64794"/>
    <w:rsid w:val="00B65F68"/>
    <w:rsid w:val="00B6636F"/>
    <w:rsid w:val="00B6663F"/>
    <w:rsid w:val="00B6667B"/>
    <w:rsid w:val="00B66E76"/>
    <w:rsid w:val="00B672BA"/>
    <w:rsid w:val="00B67E10"/>
    <w:rsid w:val="00B705C0"/>
    <w:rsid w:val="00B70B30"/>
    <w:rsid w:val="00B715F2"/>
    <w:rsid w:val="00B71C6E"/>
    <w:rsid w:val="00B71D82"/>
    <w:rsid w:val="00B720D6"/>
    <w:rsid w:val="00B72701"/>
    <w:rsid w:val="00B728A7"/>
    <w:rsid w:val="00B73601"/>
    <w:rsid w:val="00B738D3"/>
    <w:rsid w:val="00B768D1"/>
    <w:rsid w:val="00B76A14"/>
    <w:rsid w:val="00B76FE4"/>
    <w:rsid w:val="00B7766D"/>
    <w:rsid w:val="00B77853"/>
    <w:rsid w:val="00B77B29"/>
    <w:rsid w:val="00B80510"/>
    <w:rsid w:val="00B80E4A"/>
    <w:rsid w:val="00B80FA5"/>
    <w:rsid w:val="00B811F3"/>
    <w:rsid w:val="00B812E0"/>
    <w:rsid w:val="00B81A1B"/>
    <w:rsid w:val="00B8212F"/>
    <w:rsid w:val="00B824AC"/>
    <w:rsid w:val="00B82669"/>
    <w:rsid w:val="00B832C3"/>
    <w:rsid w:val="00B83853"/>
    <w:rsid w:val="00B83F7B"/>
    <w:rsid w:val="00B84369"/>
    <w:rsid w:val="00B849B4"/>
    <w:rsid w:val="00B858F0"/>
    <w:rsid w:val="00B85985"/>
    <w:rsid w:val="00B85FA7"/>
    <w:rsid w:val="00B85FF6"/>
    <w:rsid w:val="00B86D87"/>
    <w:rsid w:val="00B8709E"/>
    <w:rsid w:val="00B875EE"/>
    <w:rsid w:val="00B876A0"/>
    <w:rsid w:val="00B87786"/>
    <w:rsid w:val="00B87C4A"/>
    <w:rsid w:val="00B87D6E"/>
    <w:rsid w:val="00B87DD2"/>
    <w:rsid w:val="00B87FBE"/>
    <w:rsid w:val="00B9001E"/>
    <w:rsid w:val="00B9235A"/>
    <w:rsid w:val="00B9323A"/>
    <w:rsid w:val="00B93698"/>
    <w:rsid w:val="00B93989"/>
    <w:rsid w:val="00B941C9"/>
    <w:rsid w:val="00B944C5"/>
    <w:rsid w:val="00B947CC"/>
    <w:rsid w:val="00B94E92"/>
    <w:rsid w:val="00B94EC4"/>
    <w:rsid w:val="00B956BB"/>
    <w:rsid w:val="00B959FD"/>
    <w:rsid w:val="00B95B3B"/>
    <w:rsid w:val="00B95E4D"/>
    <w:rsid w:val="00B9601B"/>
    <w:rsid w:val="00B961D2"/>
    <w:rsid w:val="00B96266"/>
    <w:rsid w:val="00B9649C"/>
    <w:rsid w:val="00B96B1B"/>
    <w:rsid w:val="00B96B2F"/>
    <w:rsid w:val="00B96B5E"/>
    <w:rsid w:val="00B96B96"/>
    <w:rsid w:val="00B96E09"/>
    <w:rsid w:val="00B97130"/>
    <w:rsid w:val="00B973D1"/>
    <w:rsid w:val="00B974ED"/>
    <w:rsid w:val="00B97D0A"/>
    <w:rsid w:val="00BA0229"/>
    <w:rsid w:val="00BA064E"/>
    <w:rsid w:val="00BA106F"/>
    <w:rsid w:val="00BA190C"/>
    <w:rsid w:val="00BA1E3E"/>
    <w:rsid w:val="00BA1E45"/>
    <w:rsid w:val="00BA1F4C"/>
    <w:rsid w:val="00BA21F1"/>
    <w:rsid w:val="00BA2642"/>
    <w:rsid w:val="00BA2F7B"/>
    <w:rsid w:val="00BA39FC"/>
    <w:rsid w:val="00BA5CC4"/>
    <w:rsid w:val="00BA6040"/>
    <w:rsid w:val="00BA66A1"/>
    <w:rsid w:val="00BA67D9"/>
    <w:rsid w:val="00BA6862"/>
    <w:rsid w:val="00BA6916"/>
    <w:rsid w:val="00BA6A06"/>
    <w:rsid w:val="00BA6FA3"/>
    <w:rsid w:val="00BA73E8"/>
    <w:rsid w:val="00BA74A9"/>
    <w:rsid w:val="00BA7C1B"/>
    <w:rsid w:val="00BA7CF8"/>
    <w:rsid w:val="00BA7E40"/>
    <w:rsid w:val="00BA7F08"/>
    <w:rsid w:val="00BB0212"/>
    <w:rsid w:val="00BB0614"/>
    <w:rsid w:val="00BB06EB"/>
    <w:rsid w:val="00BB14A3"/>
    <w:rsid w:val="00BB209F"/>
    <w:rsid w:val="00BB241A"/>
    <w:rsid w:val="00BB2424"/>
    <w:rsid w:val="00BB2714"/>
    <w:rsid w:val="00BB2864"/>
    <w:rsid w:val="00BB2A01"/>
    <w:rsid w:val="00BB2C2E"/>
    <w:rsid w:val="00BB30F4"/>
    <w:rsid w:val="00BB3199"/>
    <w:rsid w:val="00BB320F"/>
    <w:rsid w:val="00BB335A"/>
    <w:rsid w:val="00BB35AF"/>
    <w:rsid w:val="00BB408F"/>
    <w:rsid w:val="00BB4F02"/>
    <w:rsid w:val="00BB4F23"/>
    <w:rsid w:val="00BB4F30"/>
    <w:rsid w:val="00BB51A1"/>
    <w:rsid w:val="00BB5555"/>
    <w:rsid w:val="00BB56E3"/>
    <w:rsid w:val="00BB57D9"/>
    <w:rsid w:val="00BB5AD4"/>
    <w:rsid w:val="00BB67B2"/>
    <w:rsid w:val="00BB6D65"/>
    <w:rsid w:val="00BB7EF7"/>
    <w:rsid w:val="00BC0301"/>
    <w:rsid w:val="00BC06A2"/>
    <w:rsid w:val="00BC07A2"/>
    <w:rsid w:val="00BC09A5"/>
    <w:rsid w:val="00BC117E"/>
    <w:rsid w:val="00BC12A2"/>
    <w:rsid w:val="00BC1879"/>
    <w:rsid w:val="00BC1A54"/>
    <w:rsid w:val="00BC1BB1"/>
    <w:rsid w:val="00BC1CE4"/>
    <w:rsid w:val="00BC27BA"/>
    <w:rsid w:val="00BC2F5D"/>
    <w:rsid w:val="00BC2F8A"/>
    <w:rsid w:val="00BC5B97"/>
    <w:rsid w:val="00BC5BA0"/>
    <w:rsid w:val="00BC6014"/>
    <w:rsid w:val="00BC618F"/>
    <w:rsid w:val="00BC65EE"/>
    <w:rsid w:val="00BC6919"/>
    <w:rsid w:val="00BC7009"/>
    <w:rsid w:val="00BC7539"/>
    <w:rsid w:val="00BC7664"/>
    <w:rsid w:val="00BC77C9"/>
    <w:rsid w:val="00BC790D"/>
    <w:rsid w:val="00BC7CB0"/>
    <w:rsid w:val="00BD07B7"/>
    <w:rsid w:val="00BD0F4B"/>
    <w:rsid w:val="00BD148B"/>
    <w:rsid w:val="00BD16E7"/>
    <w:rsid w:val="00BD1766"/>
    <w:rsid w:val="00BD3625"/>
    <w:rsid w:val="00BD3778"/>
    <w:rsid w:val="00BD452D"/>
    <w:rsid w:val="00BD4C64"/>
    <w:rsid w:val="00BD5218"/>
    <w:rsid w:val="00BD5B01"/>
    <w:rsid w:val="00BD5B39"/>
    <w:rsid w:val="00BD5B71"/>
    <w:rsid w:val="00BD5BC2"/>
    <w:rsid w:val="00BD6BB6"/>
    <w:rsid w:val="00BD7DF1"/>
    <w:rsid w:val="00BD7FE2"/>
    <w:rsid w:val="00BE05E3"/>
    <w:rsid w:val="00BE0747"/>
    <w:rsid w:val="00BE0AEB"/>
    <w:rsid w:val="00BE1A18"/>
    <w:rsid w:val="00BE3ADB"/>
    <w:rsid w:val="00BE3B9F"/>
    <w:rsid w:val="00BE4441"/>
    <w:rsid w:val="00BE44BC"/>
    <w:rsid w:val="00BE465F"/>
    <w:rsid w:val="00BE4A78"/>
    <w:rsid w:val="00BE5B04"/>
    <w:rsid w:val="00BE5F48"/>
    <w:rsid w:val="00BE710C"/>
    <w:rsid w:val="00BF00F4"/>
    <w:rsid w:val="00BF0A3D"/>
    <w:rsid w:val="00BF204E"/>
    <w:rsid w:val="00BF2138"/>
    <w:rsid w:val="00BF3151"/>
    <w:rsid w:val="00BF408B"/>
    <w:rsid w:val="00BF47A7"/>
    <w:rsid w:val="00BF5446"/>
    <w:rsid w:val="00BF59D0"/>
    <w:rsid w:val="00C00B7A"/>
    <w:rsid w:val="00C02032"/>
    <w:rsid w:val="00C032E5"/>
    <w:rsid w:val="00C045ED"/>
    <w:rsid w:val="00C05BDA"/>
    <w:rsid w:val="00C05DCC"/>
    <w:rsid w:val="00C0613F"/>
    <w:rsid w:val="00C06512"/>
    <w:rsid w:val="00C06CD6"/>
    <w:rsid w:val="00C071C3"/>
    <w:rsid w:val="00C07990"/>
    <w:rsid w:val="00C07B05"/>
    <w:rsid w:val="00C100B0"/>
    <w:rsid w:val="00C11B80"/>
    <w:rsid w:val="00C11C42"/>
    <w:rsid w:val="00C125C6"/>
    <w:rsid w:val="00C13C3A"/>
    <w:rsid w:val="00C14AF5"/>
    <w:rsid w:val="00C15128"/>
    <w:rsid w:val="00C15863"/>
    <w:rsid w:val="00C15DDB"/>
    <w:rsid w:val="00C1600C"/>
    <w:rsid w:val="00C162DA"/>
    <w:rsid w:val="00C16658"/>
    <w:rsid w:val="00C169C6"/>
    <w:rsid w:val="00C16E2C"/>
    <w:rsid w:val="00C17C2B"/>
    <w:rsid w:val="00C20056"/>
    <w:rsid w:val="00C20090"/>
    <w:rsid w:val="00C20557"/>
    <w:rsid w:val="00C20743"/>
    <w:rsid w:val="00C20A7F"/>
    <w:rsid w:val="00C20D27"/>
    <w:rsid w:val="00C20F1C"/>
    <w:rsid w:val="00C21926"/>
    <w:rsid w:val="00C219AE"/>
    <w:rsid w:val="00C219E3"/>
    <w:rsid w:val="00C22288"/>
    <w:rsid w:val="00C22514"/>
    <w:rsid w:val="00C22775"/>
    <w:rsid w:val="00C23AC1"/>
    <w:rsid w:val="00C249B3"/>
    <w:rsid w:val="00C250EC"/>
    <w:rsid w:val="00C25327"/>
    <w:rsid w:val="00C2561D"/>
    <w:rsid w:val="00C25703"/>
    <w:rsid w:val="00C25E94"/>
    <w:rsid w:val="00C262F9"/>
    <w:rsid w:val="00C26C50"/>
    <w:rsid w:val="00C26CDD"/>
    <w:rsid w:val="00C272F1"/>
    <w:rsid w:val="00C2742D"/>
    <w:rsid w:val="00C2746D"/>
    <w:rsid w:val="00C27BE9"/>
    <w:rsid w:val="00C27D86"/>
    <w:rsid w:val="00C309B2"/>
    <w:rsid w:val="00C30AB3"/>
    <w:rsid w:val="00C30BF8"/>
    <w:rsid w:val="00C30D93"/>
    <w:rsid w:val="00C30F72"/>
    <w:rsid w:val="00C30FF4"/>
    <w:rsid w:val="00C317FC"/>
    <w:rsid w:val="00C31CB4"/>
    <w:rsid w:val="00C31DEF"/>
    <w:rsid w:val="00C31F8E"/>
    <w:rsid w:val="00C321F9"/>
    <w:rsid w:val="00C3430C"/>
    <w:rsid w:val="00C34949"/>
    <w:rsid w:val="00C34B4C"/>
    <w:rsid w:val="00C34E7C"/>
    <w:rsid w:val="00C351C0"/>
    <w:rsid w:val="00C35826"/>
    <w:rsid w:val="00C35895"/>
    <w:rsid w:val="00C35979"/>
    <w:rsid w:val="00C35AE1"/>
    <w:rsid w:val="00C365E7"/>
    <w:rsid w:val="00C36646"/>
    <w:rsid w:val="00C36683"/>
    <w:rsid w:val="00C36A89"/>
    <w:rsid w:val="00C37381"/>
    <w:rsid w:val="00C40139"/>
    <w:rsid w:val="00C40902"/>
    <w:rsid w:val="00C40A36"/>
    <w:rsid w:val="00C40E58"/>
    <w:rsid w:val="00C4168A"/>
    <w:rsid w:val="00C41B9A"/>
    <w:rsid w:val="00C42EAE"/>
    <w:rsid w:val="00C434F4"/>
    <w:rsid w:val="00C437CE"/>
    <w:rsid w:val="00C437EB"/>
    <w:rsid w:val="00C43F7F"/>
    <w:rsid w:val="00C446AF"/>
    <w:rsid w:val="00C449B9"/>
    <w:rsid w:val="00C44B51"/>
    <w:rsid w:val="00C45A59"/>
    <w:rsid w:val="00C45B0A"/>
    <w:rsid w:val="00C45D66"/>
    <w:rsid w:val="00C46282"/>
    <w:rsid w:val="00C462DD"/>
    <w:rsid w:val="00C465F6"/>
    <w:rsid w:val="00C50822"/>
    <w:rsid w:val="00C51184"/>
    <w:rsid w:val="00C5167A"/>
    <w:rsid w:val="00C5184B"/>
    <w:rsid w:val="00C51B18"/>
    <w:rsid w:val="00C5239D"/>
    <w:rsid w:val="00C524D8"/>
    <w:rsid w:val="00C52848"/>
    <w:rsid w:val="00C530B9"/>
    <w:rsid w:val="00C54024"/>
    <w:rsid w:val="00C542E0"/>
    <w:rsid w:val="00C54BE8"/>
    <w:rsid w:val="00C55275"/>
    <w:rsid w:val="00C5569C"/>
    <w:rsid w:val="00C55A1A"/>
    <w:rsid w:val="00C55CB4"/>
    <w:rsid w:val="00C55DA7"/>
    <w:rsid w:val="00C560F5"/>
    <w:rsid w:val="00C5629E"/>
    <w:rsid w:val="00C563CB"/>
    <w:rsid w:val="00C5648A"/>
    <w:rsid w:val="00C56C41"/>
    <w:rsid w:val="00C56D2A"/>
    <w:rsid w:val="00C57117"/>
    <w:rsid w:val="00C57325"/>
    <w:rsid w:val="00C57549"/>
    <w:rsid w:val="00C575AE"/>
    <w:rsid w:val="00C5796C"/>
    <w:rsid w:val="00C57E5F"/>
    <w:rsid w:val="00C57F86"/>
    <w:rsid w:val="00C602A0"/>
    <w:rsid w:val="00C60CD7"/>
    <w:rsid w:val="00C60D61"/>
    <w:rsid w:val="00C60D6E"/>
    <w:rsid w:val="00C61723"/>
    <w:rsid w:val="00C61864"/>
    <w:rsid w:val="00C61F20"/>
    <w:rsid w:val="00C62A67"/>
    <w:rsid w:val="00C62A94"/>
    <w:rsid w:val="00C62D73"/>
    <w:rsid w:val="00C6307C"/>
    <w:rsid w:val="00C6323F"/>
    <w:rsid w:val="00C64446"/>
    <w:rsid w:val="00C6467F"/>
    <w:rsid w:val="00C646C9"/>
    <w:rsid w:val="00C6484C"/>
    <w:rsid w:val="00C6581A"/>
    <w:rsid w:val="00C65E55"/>
    <w:rsid w:val="00C6609B"/>
    <w:rsid w:val="00C66181"/>
    <w:rsid w:val="00C663FE"/>
    <w:rsid w:val="00C66A38"/>
    <w:rsid w:val="00C67CB2"/>
    <w:rsid w:val="00C706E2"/>
    <w:rsid w:val="00C71B52"/>
    <w:rsid w:val="00C71BF6"/>
    <w:rsid w:val="00C71FCC"/>
    <w:rsid w:val="00C724C0"/>
    <w:rsid w:val="00C72801"/>
    <w:rsid w:val="00C72D93"/>
    <w:rsid w:val="00C72E9A"/>
    <w:rsid w:val="00C7302D"/>
    <w:rsid w:val="00C73D50"/>
    <w:rsid w:val="00C7411E"/>
    <w:rsid w:val="00C74436"/>
    <w:rsid w:val="00C74D15"/>
    <w:rsid w:val="00C76103"/>
    <w:rsid w:val="00C770B9"/>
    <w:rsid w:val="00C77ADC"/>
    <w:rsid w:val="00C77C77"/>
    <w:rsid w:val="00C77CFB"/>
    <w:rsid w:val="00C8013B"/>
    <w:rsid w:val="00C80FEA"/>
    <w:rsid w:val="00C811FA"/>
    <w:rsid w:val="00C815A0"/>
    <w:rsid w:val="00C81927"/>
    <w:rsid w:val="00C81E25"/>
    <w:rsid w:val="00C82709"/>
    <w:rsid w:val="00C8271E"/>
    <w:rsid w:val="00C82A9C"/>
    <w:rsid w:val="00C832C3"/>
    <w:rsid w:val="00C83322"/>
    <w:rsid w:val="00C83452"/>
    <w:rsid w:val="00C83497"/>
    <w:rsid w:val="00C83547"/>
    <w:rsid w:val="00C84029"/>
    <w:rsid w:val="00C84602"/>
    <w:rsid w:val="00C851DC"/>
    <w:rsid w:val="00C85FDD"/>
    <w:rsid w:val="00C8608C"/>
    <w:rsid w:val="00C86934"/>
    <w:rsid w:val="00C86FBD"/>
    <w:rsid w:val="00C872B7"/>
    <w:rsid w:val="00C87C51"/>
    <w:rsid w:val="00C90099"/>
    <w:rsid w:val="00C90328"/>
    <w:rsid w:val="00C90773"/>
    <w:rsid w:val="00C90A64"/>
    <w:rsid w:val="00C90EB1"/>
    <w:rsid w:val="00C90F45"/>
    <w:rsid w:val="00C91732"/>
    <w:rsid w:val="00C91CCA"/>
    <w:rsid w:val="00C922A0"/>
    <w:rsid w:val="00C92549"/>
    <w:rsid w:val="00C92F95"/>
    <w:rsid w:val="00C938B7"/>
    <w:rsid w:val="00C93BB9"/>
    <w:rsid w:val="00C93C6B"/>
    <w:rsid w:val="00C93D42"/>
    <w:rsid w:val="00C95462"/>
    <w:rsid w:val="00C958FF"/>
    <w:rsid w:val="00C95C39"/>
    <w:rsid w:val="00C95F5C"/>
    <w:rsid w:val="00C964F9"/>
    <w:rsid w:val="00C96FF7"/>
    <w:rsid w:val="00C97644"/>
    <w:rsid w:val="00C97A98"/>
    <w:rsid w:val="00C97B7A"/>
    <w:rsid w:val="00CA0145"/>
    <w:rsid w:val="00CA05C5"/>
    <w:rsid w:val="00CA0651"/>
    <w:rsid w:val="00CA0840"/>
    <w:rsid w:val="00CA09CA"/>
    <w:rsid w:val="00CA24FE"/>
    <w:rsid w:val="00CA362F"/>
    <w:rsid w:val="00CA3828"/>
    <w:rsid w:val="00CA4A7D"/>
    <w:rsid w:val="00CA54AE"/>
    <w:rsid w:val="00CA5C1A"/>
    <w:rsid w:val="00CA61C9"/>
    <w:rsid w:val="00CA63A3"/>
    <w:rsid w:val="00CA6CF8"/>
    <w:rsid w:val="00CA71D9"/>
    <w:rsid w:val="00CA7427"/>
    <w:rsid w:val="00CA75CC"/>
    <w:rsid w:val="00CA7C61"/>
    <w:rsid w:val="00CA7E16"/>
    <w:rsid w:val="00CB0144"/>
    <w:rsid w:val="00CB0482"/>
    <w:rsid w:val="00CB079B"/>
    <w:rsid w:val="00CB1744"/>
    <w:rsid w:val="00CB1885"/>
    <w:rsid w:val="00CB1E3F"/>
    <w:rsid w:val="00CB2601"/>
    <w:rsid w:val="00CB2936"/>
    <w:rsid w:val="00CB298C"/>
    <w:rsid w:val="00CB2AC7"/>
    <w:rsid w:val="00CB3580"/>
    <w:rsid w:val="00CB39D2"/>
    <w:rsid w:val="00CB50F9"/>
    <w:rsid w:val="00CB51A1"/>
    <w:rsid w:val="00CB610F"/>
    <w:rsid w:val="00CB67AB"/>
    <w:rsid w:val="00CB6BCE"/>
    <w:rsid w:val="00CB6EC6"/>
    <w:rsid w:val="00CB71ED"/>
    <w:rsid w:val="00CB731D"/>
    <w:rsid w:val="00CB7361"/>
    <w:rsid w:val="00CB765D"/>
    <w:rsid w:val="00CB7CF6"/>
    <w:rsid w:val="00CC00A1"/>
    <w:rsid w:val="00CC03B0"/>
    <w:rsid w:val="00CC0A9E"/>
    <w:rsid w:val="00CC120B"/>
    <w:rsid w:val="00CC13A8"/>
    <w:rsid w:val="00CC1A32"/>
    <w:rsid w:val="00CC2004"/>
    <w:rsid w:val="00CC2551"/>
    <w:rsid w:val="00CC272B"/>
    <w:rsid w:val="00CC2731"/>
    <w:rsid w:val="00CC2791"/>
    <w:rsid w:val="00CC2C3C"/>
    <w:rsid w:val="00CC2D2F"/>
    <w:rsid w:val="00CC33D0"/>
    <w:rsid w:val="00CC3C9C"/>
    <w:rsid w:val="00CC3FB6"/>
    <w:rsid w:val="00CC4376"/>
    <w:rsid w:val="00CC43BA"/>
    <w:rsid w:val="00CC4942"/>
    <w:rsid w:val="00CC5273"/>
    <w:rsid w:val="00CC53A6"/>
    <w:rsid w:val="00CC53C8"/>
    <w:rsid w:val="00CC54DB"/>
    <w:rsid w:val="00CC5976"/>
    <w:rsid w:val="00CC5FB3"/>
    <w:rsid w:val="00CC66D4"/>
    <w:rsid w:val="00CC69AB"/>
    <w:rsid w:val="00CC6B9E"/>
    <w:rsid w:val="00CC6CAA"/>
    <w:rsid w:val="00CC7058"/>
    <w:rsid w:val="00CC7DCC"/>
    <w:rsid w:val="00CD0292"/>
    <w:rsid w:val="00CD1CDF"/>
    <w:rsid w:val="00CD1CEF"/>
    <w:rsid w:val="00CD1E85"/>
    <w:rsid w:val="00CD2094"/>
    <w:rsid w:val="00CD25FB"/>
    <w:rsid w:val="00CD2738"/>
    <w:rsid w:val="00CD2826"/>
    <w:rsid w:val="00CD2987"/>
    <w:rsid w:val="00CD2BD4"/>
    <w:rsid w:val="00CD3038"/>
    <w:rsid w:val="00CD3096"/>
    <w:rsid w:val="00CD381B"/>
    <w:rsid w:val="00CD4239"/>
    <w:rsid w:val="00CD4FEB"/>
    <w:rsid w:val="00CD5264"/>
    <w:rsid w:val="00CD55C2"/>
    <w:rsid w:val="00CD5777"/>
    <w:rsid w:val="00CD5914"/>
    <w:rsid w:val="00CD5C5A"/>
    <w:rsid w:val="00CD5FED"/>
    <w:rsid w:val="00CD69CB"/>
    <w:rsid w:val="00CD6BAF"/>
    <w:rsid w:val="00CD6DDD"/>
    <w:rsid w:val="00CD7463"/>
    <w:rsid w:val="00CD7C92"/>
    <w:rsid w:val="00CE0CDA"/>
    <w:rsid w:val="00CE0F80"/>
    <w:rsid w:val="00CE1D3E"/>
    <w:rsid w:val="00CE1DC1"/>
    <w:rsid w:val="00CE2057"/>
    <w:rsid w:val="00CE336A"/>
    <w:rsid w:val="00CE416E"/>
    <w:rsid w:val="00CE4379"/>
    <w:rsid w:val="00CE4F23"/>
    <w:rsid w:val="00CE5FC8"/>
    <w:rsid w:val="00CE7095"/>
    <w:rsid w:val="00CE7192"/>
    <w:rsid w:val="00CE7864"/>
    <w:rsid w:val="00CE7883"/>
    <w:rsid w:val="00CE7D2C"/>
    <w:rsid w:val="00CF09AA"/>
    <w:rsid w:val="00CF0EFC"/>
    <w:rsid w:val="00CF0F2F"/>
    <w:rsid w:val="00CF13EA"/>
    <w:rsid w:val="00CF14ED"/>
    <w:rsid w:val="00CF1E66"/>
    <w:rsid w:val="00CF2AEF"/>
    <w:rsid w:val="00CF300F"/>
    <w:rsid w:val="00CF3756"/>
    <w:rsid w:val="00CF4333"/>
    <w:rsid w:val="00CF4A75"/>
    <w:rsid w:val="00CF4EF6"/>
    <w:rsid w:val="00CF4F8E"/>
    <w:rsid w:val="00CF52C8"/>
    <w:rsid w:val="00CF5A20"/>
    <w:rsid w:val="00CF5CAC"/>
    <w:rsid w:val="00CF5E57"/>
    <w:rsid w:val="00CF62DA"/>
    <w:rsid w:val="00CF68A9"/>
    <w:rsid w:val="00CF72CE"/>
    <w:rsid w:val="00CF761A"/>
    <w:rsid w:val="00D001A3"/>
    <w:rsid w:val="00D00390"/>
    <w:rsid w:val="00D01563"/>
    <w:rsid w:val="00D016D8"/>
    <w:rsid w:val="00D01DC4"/>
    <w:rsid w:val="00D02435"/>
    <w:rsid w:val="00D030A2"/>
    <w:rsid w:val="00D032EF"/>
    <w:rsid w:val="00D045E3"/>
    <w:rsid w:val="00D05098"/>
    <w:rsid w:val="00D0583F"/>
    <w:rsid w:val="00D06491"/>
    <w:rsid w:val="00D07C22"/>
    <w:rsid w:val="00D07D64"/>
    <w:rsid w:val="00D102F0"/>
    <w:rsid w:val="00D1064C"/>
    <w:rsid w:val="00D1102E"/>
    <w:rsid w:val="00D1187B"/>
    <w:rsid w:val="00D11D21"/>
    <w:rsid w:val="00D11D58"/>
    <w:rsid w:val="00D149D8"/>
    <w:rsid w:val="00D14C69"/>
    <w:rsid w:val="00D14EE3"/>
    <w:rsid w:val="00D14F87"/>
    <w:rsid w:val="00D15C5D"/>
    <w:rsid w:val="00D15EDF"/>
    <w:rsid w:val="00D1629B"/>
    <w:rsid w:val="00D166D3"/>
    <w:rsid w:val="00D16A1F"/>
    <w:rsid w:val="00D16BF5"/>
    <w:rsid w:val="00D17159"/>
    <w:rsid w:val="00D178D9"/>
    <w:rsid w:val="00D17B87"/>
    <w:rsid w:val="00D20333"/>
    <w:rsid w:val="00D203E7"/>
    <w:rsid w:val="00D207F2"/>
    <w:rsid w:val="00D20D19"/>
    <w:rsid w:val="00D21EB2"/>
    <w:rsid w:val="00D22297"/>
    <w:rsid w:val="00D227B6"/>
    <w:rsid w:val="00D23222"/>
    <w:rsid w:val="00D23A4B"/>
    <w:rsid w:val="00D243FB"/>
    <w:rsid w:val="00D24F75"/>
    <w:rsid w:val="00D26138"/>
    <w:rsid w:val="00D2723B"/>
    <w:rsid w:val="00D27E58"/>
    <w:rsid w:val="00D3045E"/>
    <w:rsid w:val="00D30561"/>
    <w:rsid w:val="00D30EFD"/>
    <w:rsid w:val="00D31393"/>
    <w:rsid w:val="00D31E75"/>
    <w:rsid w:val="00D325B6"/>
    <w:rsid w:val="00D32DD6"/>
    <w:rsid w:val="00D330DD"/>
    <w:rsid w:val="00D33296"/>
    <w:rsid w:val="00D3407B"/>
    <w:rsid w:val="00D34C7D"/>
    <w:rsid w:val="00D34F0D"/>
    <w:rsid w:val="00D35483"/>
    <w:rsid w:val="00D35FD0"/>
    <w:rsid w:val="00D36592"/>
    <w:rsid w:val="00D37271"/>
    <w:rsid w:val="00D401B6"/>
    <w:rsid w:val="00D4082F"/>
    <w:rsid w:val="00D408FC"/>
    <w:rsid w:val="00D40E3D"/>
    <w:rsid w:val="00D41502"/>
    <w:rsid w:val="00D41833"/>
    <w:rsid w:val="00D41CFC"/>
    <w:rsid w:val="00D41EFF"/>
    <w:rsid w:val="00D426CF"/>
    <w:rsid w:val="00D42711"/>
    <w:rsid w:val="00D43321"/>
    <w:rsid w:val="00D43849"/>
    <w:rsid w:val="00D439F2"/>
    <w:rsid w:val="00D449C9"/>
    <w:rsid w:val="00D44A08"/>
    <w:rsid w:val="00D44FC3"/>
    <w:rsid w:val="00D458B8"/>
    <w:rsid w:val="00D459CB"/>
    <w:rsid w:val="00D45CB0"/>
    <w:rsid w:val="00D45CB9"/>
    <w:rsid w:val="00D465AE"/>
    <w:rsid w:val="00D4661B"/>
    <w:rsid w:val="00D47F9D"/>
    <w:rsid w:val="00D505B7"/>
    <w:rsid w:val="00D50666"/>
    <w:rsid w:val="00D5070E"/>
    <w:rsid w:val="00D50D54"/>
    <w:rsid w:val="00D50DA7"/>
    <w:rsid w:val="00D50E47"/>
    <w:rsid w:val="00D51ADA"/>
    <w:rsid w:val="00D52236"/>
    <w:rsid w:val="00D52249"/>
    <w:rsid w:val="00D5241D"/>
    <w:rsid w:val="00D52C6A"/>
    <w:rsid w:val="00D52CFC"/>
    <w:rsid w:val="00D5302E"/>
    <w:rsid w:val="00D534B5"/>
    <w:rsid w:val="00D5387C"/>
    <w:rsid w:val="00D5397A"/>
    <w:rsid w:val="00D53C11"/>
    <w:rsid w:val="00D53EFE"/>
    <w:rsid w:val="00D5408B"/>
    <w:rsid w:val="00D54D91"/>
    <w:rsid w:val="00D559C9"/>
    <w:rsid w:val="00D55CD9"/>
    <w:rsid w:val="00D55ECC"/>
    <w:rsid w:val="00D56446"/>
    <w:rsid w:val="00D57085"/>
    <w:rsid w:val="00D57BBF"/>
    <w:rsid w:val="00D57C74"/>
    <w:rsid w:val="00D61261"/>
    <w:rsid w:val="00D61332"/>
    <w:rsid w:val="00D6147C"/>
    <w:rsid w:val="00D61762"/>
    <w:rsid w:val="00D62420"/>
    <w:rsid w:val="00D627E0"/>
    <w:rsid w:val="00D62C52"/>
    <w:rsid w:val="00D62CA8"/>
    <w:rsid w:val="00D62DED"/>
    <w:rsid w:val="00D630A8"/>
    <w:rsid w:val="00D632DC"/>
    <w:rsid w:val="00D6385B"/>
    <w:rsid w:val="00D6395F"/>
    <w:rsid w:val="00D63D00"/>
    <w:rsid w:val="00D64B86"/>
    <w:rsid w:val="00D65474"/>
    <w:rsid w:val="00D65516"/>
    <w:rsid w:val="00D65644"/>
    <w:rsid w:val="00D65DD4"/>
    <w:rsid w:val="00D66500"/>
    <w:rsid w:val="00D66AC1"/>
    <w:rsid w:val="00D674E3"/>
    <w:rsid w:val="00D67C08"/>
    <w:rsid w:val="00D71CF0"/>
    <w:rsid w:val="00D723E2"/>
    <w:rsid w:val="00D739E1"/>
    <w:rsid w:val="00D73C83"/>
    <w:rsid w:val="00D746DC"/>
    <w:rsid w:val="00D75240"/>
    <w:rsid w:val="00D752C4"/>
    <w:rsid w:val="00D756DA"/>
    <w:rsid w:val="00D75C8C"/>
    <w:rsid w:val="00D769B6"/>
    <w:rsid w:val="00D77F05"/>
    <w:rsid w:val="00D80000"/>
    <w:rsid w:val="00D80891"/>
    <w:rsid w:val="00D80A13"/>
    <w:rsid w:val="00D80AD5"/>
    <w:rsid w:val="00D819F9"/>
    <w:rsid w:val="00D81F80"/>
    <w:rsid w:val="00D81F86"/>
    <w:rsid w:val="00D82795"/>
    <w:rsid w:val="00D83726"/>
    <w:rsid w:val="00D83E5F"/>
    <w:rsid w:val="00D84092"/>
    <w:rsid w:val="00D84A0F"/>
    <w:rsid w:val="00D84F36"/>
    <w:rsid w:val="00D8526B"/>
    <w:rsid w:val="00D852E5"/>
    <w:rsid w:val="00D8565B"/>
    <w:rsid w:val="00D85CDF"/>
    <w:rsid w:val="00D863C8"/>
    <w:rsid w:val="00D8667D"/>
    <w:rsid w:val="00D8691B"/>
    <w:rsid w:val="00D870C7"/>
    <w:rsid w:val="00D87833"/>
    <w:rsid w:val="00D87AAF"/>
    <w:rsid w:val="00D87E7B"/>
    <w:rsid w:val="00D90606"/>
    <w:rsid w:val="00D9125E"/>
    <w:rsid w:val="00D9127D"/>
    <w:rsid w:val="00D915B1"/>
    <w:rsid w:val="00D91A9F"/>
    <w:rsid w:val="00D922FC"/>
    <w:rsid w:val="00D93501"/>
    <w:rsid w:val="00D9371B"/>
    <w:rsid w:val="00D937A8"/>
    <w:rsid w:val="00D93E46"/>
    <w:rsid w:val="00D940F3"/>
    <w:rsid w:val="00D943CD"/>
    <w:rsid w:val="00D94933"/>
    <w:rsid w:val="00D970BB"/>
    <w:rsid w:val="00D9722C"/>
    <w:rsid w:val="00D97407"/>
    <w:rsid w:val="00D97655"/>
    <w:rsid w:val="00D977C5"/>
    <w:rsid w:val="00D97F7F"/>
    <w:rsid w:val="00DA0964"/>
    <w:rsid w:val="00DA0C3C"/>
    <w:rsid w:val="00DA1335"/>
    <w:rsid w:val="00DA151A"/>
    <w:rsid w:val="00DA16BB"/>
    <w:rsid w:val="00DA28B4"/>
    <w:rsid w:val="00DA2947"/>
    <w:rsid w:val="00DA2A3E"/>
    <w:rsid w:val="00DA2F43"/>
    <w:rsid w:val="00DA3143"/>
    <w:rsid w:val="00DA339D"/>
    <w:rsid w:val="00DA3730"/>
    <w:rsid w:val="00DA375F"/>
    <w:rsid w:val="00DA37F6"/>
    <w:rsid w:val="00DA3F34"/>
    <w:rsid w:val="00DA42F4"/>
    <w:rsid w:val="00DA44F5"/>
    <w:rsid w:val="00DA4644"/>
    <w:rsid w:val="00DA49D1"/>
    <w:rsid w:val="00DA4B91"/>
    <w:rsid w:val="00DA528D"/>
    <w:rsid w:val="00DA5421"/>
    <w:rsid w:val="00DA5680"/>
    <w:rsid w:val="00DA57E8"/>
    <w:rsid w:val="00DA5C3A"/>
    <w:rsid w:val="00DA6044"/>
    <w:rsid w:val="00DA7814"/>
    <w:rsid w:val="00DA797D"/>
    <w:rsid w:val="00DB0693"/>
    <w:rsid w:val="00DB07CC"/>
    <w:rsid w:val="00DB0AD6"/>
    <w:rsid w:val="00DB0CBA"/>
    <w:rsid w:val="00DB0F83"/>
    <w:rsid w:val="00DB192F"/>
    <w:rsid w:val="00DB2279"/>
    <w:rsid w:val="00DB23F6"/>
    <w:rsid w:val="00DB2CEF"/>
    <w:rsid w:val="00DB3B0A"/>
    <w:rsid w:val="00DB40BB"/>
    <w:rsid w:val="00DB477E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24"/>
    <w:rsid w:val="00DC18A4"/>
    <w:rsid w:val="00DC1EC7"/>
    <w:rsid w:val="00DC1FE7"/>
    <w:rsid w:val="00DC2966"/>
    <w:rsid w:val="00DC2EA9"/>
    <w:rsid w:val="00DC2F98"/>
    <w:rsid w:val="00DC32FC"/>
    <w:rsid w:val="00DC4039"/>
    <w:rsid w:val="00DC4449"/>
    <w:rsid w:val="00DC4C04"/>
    <w:rsid w:val="00DC5AEA"/>
    <w:rsid w:val="00DC68F8"/>
    <w:rsid w:val="00DC6A14"/>
    <w:rsid w:val="00DC7EC1"/>
    <w:rsid w:val="00DD0370"/>
    <w:rsid w:val="00DD0AF1"/>
    <w:rsid w:val="00DD0C8B"/>
    <w:rsid w:val="00DD1970"/>
    <w:rsid w:val="00DD20AD"/>
    <w:rsid w:val="00DD2346"/>
    <w:rsid w:val="00DD258E"/>
    <w:rsid w:val="00DD2F67"/>
    <w:rsid w:val="00DD4F95"/>
    <w:rsid w:val="00DD593A"/>
    <w:rsid w:val="00DD6175"/>
    <w:rsid w:val="00DD69F8"/>
    <w:rsid w:val="00DD6F4E"/>
    <w:rsid w:val="00DD70B8"/>
    <w:rsid w:val="00DD725D"/>
    <w:rsid w:val="00DE0225"/>
    <w:rsid w:val="00DE0A4C"/>
    <w:rsid w:val="00DE0A7F"/>
    <w:rsid w:val="00DE176C"/>
    <w:rsid w:val="00DE1773"/>
    <w:rsid w:val="00DE1EFA"/>
    <w:rsid w:val="00DE251D"/>
    <w:rsid w:val="00DE2AD3"/>
    <w:rsid w:val="00DE363F"/>
    <w:rsid w:val="00DE38E6"/>
    <w:rsid w:val="00DE4972"/>
    <w:rsid w:val="00DE4AA0"/>
    <w:rsid w:val="00DE4BD6"/>
    <w:rsid w:val="00DE567C"/>
    <w:rsid w:val="00DE5B3B"/>
    <w:rsid w:val="00DE5F8E"/>
    <w:rsid w:val="00DE616F"/>
    <w:rsid w:val="00DE6A40"/>
    <w:rsid w:val="00DE6B6D"/>
    <w:rsid w:val="00DE6EE9"/>
    <w:rsid w:val="00DE71C6"/>
    <w:rsid w:val="00DE7A52"/>
    <w:rsid w:val="00DF08EE"/>
    <w:rsid w:val="00DF0C6F"/>
    <w:rsid w:val="00DF1593"/>
    <w:rsid w:val="00DF1E3C"/>
    <w:rsid w:val="00DF1F4B"/>
    <w:rsid w:val="00DF2197"/>
    <w:rsid w:val="00DF27DC"/>
    <w:rsid w:val="00DF29AF"/>
    <w:rsid w:val="00DF2D03"/>
    <w:rsid w:val="00DF361B"/>
    <w:rsid w:val="00DF41F1"/>
    <w:rsid w:val="00DF4451"/>
    <w:rsid w:val="00DF4B0A"/>
    <w:rsid w:val="00DF4EA4"/>
    <w:rsid w:val="00DF56D7"/>
    <w:rsid w:val="00DF5872"/>
    <w:rsid w:val="00DF5E42"/>
    <w:rsid w:val="00DF6F29"/>
    <w:rsid w:val="00DF74FD"/>
    <w:rsid w:val="00DF7502"/>
    <w:rsid w:val="00DF7A59"/>
    <w:rsid w:val="00DF7B7E"/>
    <w:rsid w:val="00DF7BE7"/>
    <w:rsid w:val="00E0008E"/>
    <w:rsid w:val="00E01696"/>
    <w:rsid w:val="00E026AC"/>
    <w:rsid w:val="00E02C6E"/>
    <w:rsid w:val="00E039F5"/>
    <w:rsid w:val="00E048FF"/>
    <w:rsid w:val="00E05013"/>
    <w:rsid w:val="00E0577B"/>
    <w:rsid w:val="00E05CA6"/>
    <w:rsid w:val="00E06C53"/>
    <w:rsid w:val="00E07C75"/>
    <w:rsid w:val="00E106CB"/>
    <w:rsid w:val="00E10DBD"/>
    <w:rsid w:val="00E1113F"/>
    <w:rsid w:val="00E11187"/>
    <w:rsid w:val="00E11189"/>
    <w:rsid w:val="00E111B5"/>
    <w:rsid w:val="00E114B0"/>
    <w:rsid w:val="00E117FA"/>
    <w:rsid w:val="00E11F80"/>
    <w:rsid w:val="00E12120"/>
    <w:rsid w:val="00E12652"/>
    <w:rsid w:val="00E12889"/>
    <w:rsid w:val="00E12C52"/>
    <w:rsid w:val="00E1305B"/>
    <w:rsid w:val="00E13A00"/>
    <w:rsid w:val="00E14239"/>
    <w:rsid w:val="00E14C80"/>
    <w:rsid w:val="00E15380"/>
    <w:rsid w:val="00E153EA"/>
    <w:rsid w:val="00E15D04"/>
    <w:rsid w:val="00E15D62"/>
    <w:rsid w:val="00E15F4A"/>
    <w:rsid w:val="00E16895"/>
    <w:rsid w:val="00E169A6"/>
    <w:rsid w:val="00E16C3B"/>
    <w:rsid w:val="00E20356"/>
    <w:rsid w:val="00E20EC5"/>
    <w:rsid w:val="00E210A3"/>
    <w:rsid w:val="00E21472"/>
    <w:rsid w:val="00E2151B"/>
    <w:rsid w:val="00E2176F"/>
    <w:rsid w:val="00E21CC7"/>
    <w:rsid w:val="00E22807"/>
    <w:rsid w:val="00E229E2"/>
    <w:rsid w:val="00E243CF"/>
    <w:rsid w:val="00E25320"/>
    <w:rsid w:val="00E25781"/>
    <w:rsid w:val="00E25826"/>
    <w:rsid w:val="00E26013"/>
    <w:rsid w:val="00E262D6"/>
    <w:rsid w:val="00E2682C"/>
    <w:rsid w:val="00E268D9"/>
    <w:rsid w:val="00E269DD"/>
    <w:rsid w:val="00E26EED"/>
    <w:rsid w:val="00E273A6"/>
    <w:rsid w:val="00E3029E"/>
    <w:rsid w:val="00E304C6"/>
    <w:rsid w:val="00E30568"/>
    <w:rsid w:val="00E30ABB"/>
    <w:rsid w:val="00E30F65"/>
    <w:rsid w:val="00E31305"/>
    <w:rsid w:val="00E31B54"/>
    <w:rsid w:val="00E31D8B"/>
    <w:rsid w:val="00E31DB4"/>
    <w:rsid w:val="00E3200D"/>
    <w:rsid w:val="00E32185"/>
    <w:rsid w:val="00E32EAD"/>
    <w:rsid w:val="00E335C1"/>
    <w:rsid w:val="00E33B33"/>
    <w:rsid w:val="00E341C6"/>
    <w:rsid w:val="00E348F4"/>
    <w:rsid w:val="00E34BA7"/>
    <w:rsid w:val="00E34C85"/>
    <w:rsid w:val="00E34E4A"/>
    <w:rsid w:val="00E353B8"/>
    <w:rsid w:val="00E358B4"/>
    <w:rsid w:val="00E35E30"/>
    <w:rsid w:val="00E37CA1"/>
    <w:rsid w:val="00E4004C"/>
    <w:rsid w:val="00E407D6"/>
    <w:rsid w:val="00E4084B"/>
    <w:rsid w:val="00E409FD"/>
    <w:rsid w:val="00E413C8"/>
    <w:rsid w:val="00E4144C"/>
    <w:rsid w:val="00E415E5"/>
    <w:rsid w:val="00E41FE5"/>
    <w:rsid w:val="00E420C5"/>
    <w:rsid w:val="00E428CF"/>
    <w:rsid w:val="00E42A6B"/>
    <w:rsid w:val="00E42E67"/>
    <w:rsid w:val="00E42FD5"/>
    <w:rsid w:val="00E440D2"/>
    <w:rsid w:val="00E444C9"/>
    <w:rsid w:val="00E447A1"/>
    <w:rsid w:val="00E44A43"/>
    <w:rsid w:val="00E4571D"/>
    <w:rsid w:val="00E4581A"/>
    <w:rsid w:val="00E45FF0"/>
    <w:rsid w:val="00E4606E"/>
    <w:rsid w:val="00E463F3"/>
    <w:rsid w:val="00E46A5C"/>
    <w:rsid w:val="00E471D3"/>
    <w:rsid w:val="00E47E07"/>
    <w:rsid w:val="00E50D7B"/>
    <w:rsid w:val="00E51044"/>
    <w:rsid w:val="00E51A59"/>
    <w:rsid w:val="00E51A5F"/>
    <w:rsid w:val="00E51BA6"/>
    <w:rsid w:val="00E52037"/>
    <w:rsid w:val="00E530E3"/>
    <w:rsid w:val="00E5318A"/>
    <w:rsid w:val="00E53369"/>
    <w:rsid w:val="00E54A05"/>
    <w:rsid w:val="00E54C88"/>
    <w:rsid w:val="00E54E87"/>
    <w:rsid w:val="00E54FA4"/>
    <w:rsid w:val="00E55556"/>
    <w:rsid w:val="00E55B3F"/>
    <w:rsid w:val="00E5710E"/>
    <w:rsid w:val="00E57ED3"/>
    <w:rsid w:val="00E605E6"/>
    <w:rsid w:val="00E607CF"/>
    <w:rsid w:val="00E60F3D"/>
    <w:rsid w:val="00E6155D"/>
    <w:rsid w:val="00E61768"/>
    <w:rsid w:val="00E61A07"/>
    <w:rsid w:val="00E61B21"/>
    <w:rsid w:val="00E620B3"/>
    <w:rsid w:val="00E62138"/>
    <w:rsid w:val="00E63BD8"/>
    <w:rsid w:val="00E63DB6"/>
    <w:rsid w:val="00E63EE2"/>
    <w:rsid w:val="00E641A3"/>
    <w:rsid w:val="00E65378"/>
    <w:rsid w:val="00E65560"/>
    <w:rsid w:val="00E655B4"/>
    <w:rsid w:val="00E65798"/>
    <w:rsid w:val="00E65A19"/>
    <w:rsid w:val="00E65B64"/>
    <w:rsid w:val="00E65ECF"/>
    <w:rsid w:val="00E65EFF"/>
    <w:rsid w:val="00E66179"/>
    <w:rsid w:val="00E66435"/>
    <w:rsid w:val="00E670F0"/>
    <w:rsid w:val="00E67BA1"/>
    <w:rsid w:val="00E67D1C"/>
    <w:rsid w:val="00E7033E"/>
    <w:rsid w:val="00E70AA5"/>
    <w:rsid w:val="00E7105F"/>
    <w:rsid w:val="00E71753"/>
    <w:rsid w:val="00E734AD"/>
    <w:rsid w:val="00E73C52"/>
    <w:rsid w:val="00E74BD6"/>
    <w:rsid w:val="00E750AA"/>
    <w:rsid w:val="00E751BC"/>
    <w:rsid w:val="00E754F7"/>
    <w:rsid w:val="00E75702"/>
    <w:rsid w:val="00E761C4"/>
    <w:rsid w:val="00E7687B"/>
    <w:rsid w:val="00E768F7"/>
    <w:rsid w:val="00E77C64"/>
    <w:rsid w:val="00E77E98"/>
    <w:rsid w:val="00E8004D"/>
    <w:rsid w:val="00E800A5"/>
    <w:rsid w:val="00E800BA"/>
    <w:rsid w:val="00E8016E"/>
    <w:rsid w:val="00E8077B"/>
    <w:rsid w:val="00E808D2"/>
    <w:rsid w:val="00E80E4A"/>
    <w:rsid w:val="00E80E63"/>
    <w:rsid w:val="00E80EC6"/>
    <w:rsid w:val="00E80F5F"/>
    <w:rsid w:val="00E810FD"/>
    <w:rsid w:val="00E81121"/>
    <w:rsid w:val="00E811DE"/>
    <w:rsid w:val="00E816DB"/>
    <w:rsid w:val="00E81773"/>
    <w:rsid w:val="00E81BEC"/>
    <w:rsid w:val="00E827DF"/>
    <w:rsid w:val="00E8295D"/>
    <w:rsid w:val="00E82C4E"/>
    <w:rsid w:val="00E82CC2"/>
    <w:rsid w:val="00E832FA"/>
    <w:rsid w:val="00E8402C"/>
    <w:rsid w:val="00E844A5"/>
    <w:rsid w:val="00E847FA"/>
    <w:rsid w:val="00E85166"/>
    <w:rsid w:val="00E85848"/>
    <w:rsid w:val="00E85B9C"/>
    <w:rsid w:val="00E85DFD"/>
    <w:rsid w:val="00E85E0D"/>
    <w:rsid w:val="00E86487"/>
    <w:rsid w:val="00E864C2"/>
    <w:rsid w:val="00E86D85"/>
    <w:rsid w:val="00E87290"/>
    <w:rsid w:val="00E87668"/>
    <w:rsid w:val="00E87942"/>
    <w:rsid w:val="00E87D5E"/>
    <w:rsid w:val="00E91639"/>
    <w:rsid w:val="00E916B8"/>
    <w:rsid w:val="00E91DF3"/>
    <w:rsid w:val="00E9268C"/>
    <w:rsid w:val="00E927AE"/>
    <w:rsid w:val="00E92ABA"/>
    <w:rsid w:val="00E92ACB"/>
    <w:rsid w:val="00E92EBF"/>
    <w:rsid w:val="00E92F89"/>
    <w:rsid w:val="00E937C9"/>
    <w:rsid w:val="00E9395F"/>
    <w:rsid w:val="00E93B5A"/>
    <w:rsid w:val="00E93C0C"/>
    <w:rsid w:val="00E9407C"/>
    <w:rsid w:val="00E94845"/>
    <w:rsid w:val="00E94853"/>
    <w:rsid w:val="00E9485F"/>
    <w:rsid w:val="00E94C50"/>
    <w:rsid w:val="00E95407"/>
    <w:rsid w:val="00E95A06"/>
    <w:rsid w:val="00E95A90"/>
    <w:rsid w:val="00E95E77"/>
    <w:rsid w:val="00E96F38"/>
    <w:rsid w:val="00E973C8"/>
    <w:rsid w:val="00E97ADC"/>
    <w:rsid w:val="00E97D11"/>
    <w:rsid w:val="00EA00C7"/>
    <w:rsid w:val="00EA01B5"/>
    <w:rsid w:val="00EA0477"/>
    <w:rsid w:val="00EA05FD"/>
    <w:rsid w:val="00EA084B"/>
    <w:rsid w:val="00EA0ACB"/>
    <w:rsid w:val="00EA0D35"/>
    <w:rsid w:val="00EA0DA7"/>
    <w:rsid w:val="00EA20B1"/>
    <w:rsid w:val="00EA20B7"/>
    <w:rsid w:val="00EA3207"/>
    <w:rsid w:val="00EA4092"/>
    <w:rsid w:val="00EA4C99"/>
    <w:rsid w:val="00EA50C8"/>
    <w:rsid w:val="00EA5673"/>
    <w:rsid w:val="00EA5951"/>
    <w:rsid w:val="00EA5D88"/>
    <w:rsid w:val="00EA5FB8"/>
    <w:rsid w:val="00EA6046"/>
    <w:rsid w:val="00EA68CA"/>
    <w:rsid w:val="00EA6CD8"/>
    <w:rsid w:val="00EA6FE6"/>
    <w:rsid w:val="00EA708B"/>
    <w:rsid w:val="00EA7277"/>
    <w:rsid w:val="00EA778D"/>
    <w:rsid w:val="00EA7DEB"/>
    <w:rsid w:val="00EB02FB"/>
    <w:rsid w:val="00EB048B"/>
    <w:rsid w:val="00EB0587"/>
    <w:rsid w:val="00EB0CB8"/>
    <w:rsid w:val="00EB1571"/>
    <w:rsid w:val="00EB1F8F"/>
    <w:rsid w:val="00EB2088"/>
    <w:rsid w:val="00EB22E8"/>
    <w:rsid w:val="00EB2BF0"/>
    <w:rsid w:val="00EB2C0F"/>
    <w:rsid w:val="00EB328E"/>
    <w:rsid w:val="00EB3453"/>
    <w:rsid w:val="00EB41C9"/>
    <w:rsid w:val="00EB48BC"/>
    <w:rsid w:val="00EB553E"/>
    <w:rsid w:val="00EB6866"/>
    <w:rsid w:val="00EB7390"/>
    <w:rsid w:val="00EB759F"/>
    <w:rsid w:val="00EC02AA"/>
    <w:rsid w:val="00EC0374"/>
    <w:rsid w:val="00EC04AC"/>
    <w:rsid w:val="00EC0FB2"/>
    <w:rsid w:val="00EC1598"/>
    <w:rsid w:val="00EC15C1"/>
    <w:rsid w:val="00EC1688"/>
    <w:rsid w:val="00EC1698"/>
    <w:rsid w:val="00EC1927"/>
    <w:rsid w:val="00EC1D01"/>
    <w:rsid w:val="00EC3732"/>
    <w:rsid w:val="00EC4599"/>
    <w:rsid w:val="00EC4615"/>
    <w:rsid w:val="00EC4E80"/>
    <w:rsid w:val="00EC4EF2"/>
    <w:rsid w:val="00EC4F5B"/>
    <w:rsid w:val="00EC53CE"/>
    <w:rsid w:val="00EC551B"/>
    <w:rsid w:val="00EC57DD"/>
    <w:rsid w:val="00EC5BD2"/>
    <w:rsid w:val="00EC5CBD"/>
    <w:rsid w:val="00EC6170"/>
    <w:rsid w:val="00EC6333"/>
    <w:rsid w:val="00EC6AC9"/>
    <w:rsid w:val="00EC7A1F"/>
    <w:rsid w:val="00ED08ED"/>
    <w:rsid w:val="00ED0A91"/>
    <w:rsid w:val="00ED1ADB"/>
    <w:rsid w:val="00ED1B93"/>
    <w:rsid w:val="00ED1D89"/>
    <w:rsid w:val="00ED1F45"/>
    <w:rsid w:val="00ED2168"/>
    <w:rsid w:val="00ED2E69"/>
    <w:rsid w:val="00ED3297"/>
    <w:rsid w:val="00ED4080"/>
    <w:rsid w:val="00ED4133"/>
    <w:rsid w:val="00ED4679"/>
    <w:rsid w:val="00ED46F6"/>
    <w:rsid w:val="00ED4704"/>
    <w:rsid w:val="00ED5B2E"/>
    <w:rsid w:val="00ED69A7"/>
    <w:rsid w:val="00ED7911"/>
    <w:rsid w:val="00ED7F60"/>
    <w:rsid w:val="00EE1346"/>
    <w:rsid w:val="00EE146F"/>
    <w:rsid w:val="00EE1528"/>
    <w:rsid w:val="00EE2521"/>
    <w:rsid w:val="00EE2693"/>
    <w:rsid w:val="00EE27CC"/>
    <w:rsid w:val="00EE2AD7"/>
    <w:rsid w:val="00EE335B"/>
    <w:rsid w:val="00EE3901"/>
    <w:rsid w:val="00EE3B22"/>
    <w:rsid w:val="00EE446F"/>
    <w:rsid w:val="00EE50C5"/>
    <w:rsid w:val="00EE51B8"/>
    <w:rsid w:val="00EE642C"/>
    <w:rsid w:val="00EE6A15"/>
    <w:rsid w:val="00EE6AA5"/>
    <w:rsid w:val="00EE6C4E"/>
    <w:rsid w:val="00EE6FF7"/>
    <w:rsid w:val="00EE7016"/>
    <w:rsid w:val="00EE729A"/>
    <w:rsid w:val="00EE76BC"/>
    <w:rsid w:val="00EF00EF"/>
    <w:rsid w:val="00EF0216"/>
    <w:rsid w:val="00EF0623"/>
    <w:rsid w:val="00EF06E8"/>
    <w:rsid w:val="00EF095B"/>
    <w:rsid w:val="00EF0FE0"/>
    <w:rsid w:val="00EF1373"/>
    <w:rsid w:val="00EF15BD"/>
    <w:rsid w:val="00EF181F"/>
    <w:rsid w:val="00EF1FB8"/>
    <w:rsid w:val="00EF22AF"/>
    <w:rsid w:val="00EF22B8"/>
    <w:rsid w:val="00EF2E9B"/>
    <w:rsid w:val="00EF3997"/>
    <w:rsid w:val="00EF4055"/>
    <w:rsid w:val="00EF4680"/>
    <w:rsid w:val="00EF46FF"/>
    <w:rsid w:val="00EF5358"/>
    <w:rsid w:val="00EF5891"/>
    <w:rsid w:val="00EF59BB"/>
    <w:rsid w:val="00EF603C"/>
    <w:rsid w:val="00EF6436"/>
    <w:rsid w:val="00EF66D6"/>
    <w:rsid w:val="00EF68B8"/>
    <w:rsid w:val="00EF72DB"/>
    <w:rsid w:val="00EF73AC"/>
    <w:rsid w:val="00EF773C"/>
    <w:rsid w:val="00EF7B65"/>
    <w:rsid w:val="00F00B92"/>
    <w:rsid w:val="00F015E8"/>
    <w:rsid w:val="00F01FB8"/>
    <w:rsid w:val="00F01FC0"/>
    <w:rsid w:val="00F02408"/>
    <w:rsid w:val="00F026FF"/>
    <w:rsid w:val="00F02C4D"/>
    <w:rsid w:val="00F032A5"/>
    <w:rsid w:val="00F03528"/>
    <w:rsid w:val="00F037C9"/>
    <w:rsid w:val="00F0388D"/>
    <w:rsid w:val="00F04F93"/>
    <w:rsid w:val="00F05087"/>
    <w:rsid w:val="00F055D2"/>
    <w:rsid w:val="00F056BF"/>
    <w:rsid w:val="00F05CE8"/>
    <w:rsid w:val="00F06361"/>
    <w:rsid w:val="00F06689"/>
    <w:rsid w:val="00F07102"/>
    <w:rsid w:val="00F0719D"/>
    <w:rsid w:val="00F07494"/>
    <w:rsid w:val="00F07B2C"/>
    <w:rsid w:val="00F1089A"/>
    <w:rsid w:val="00F11013"/>
    <w:rsid w:val="00F11843"/>
    <w:rsid w:val="00F11963"/>
    <w:rsid w:val="00F11CD7"/>
    <w:rsid w:val="00F11CF6"/>
    <w:rsid w:val="00F11F3D"/>
    <w:rsid w:val="00F12632"/>
    <w:rsid w:val="00F12CF2"/>
    <w:rsid w:val="00F12F55"/>
    <w:rsid w:val="00F14338"/>
    <w:rsid w:val="00F1489A"/>
    <w:rsid w:val="00F14951"/>
    <w:rsid w:val="00F14F33"/>
    <w:rsid w:val="00F1556A"/>
    <w:rsid w:val="00F15BEA"/>
    <w:rsid w:val="00F15C6A"/>
    <w:rsid w:val="00F160B7"/>
    <w:rsid w:val="00F16A7B"/>
    <w:rsid w:val="00F172C0"/>
    <w:rsid w:val="00F174BD"/>
    <w:rsid w:val="00F17A22"/>
    <w:rsid w:val="00F17B6B"/>
    <w:rsid w:val="00F17C20"/>
    <w:rsid w:val="00F17DD4"/>
    <w:rsid w:val="00F2057E"/>
    <w:rsid w:val="00F215C5"/>
    <w:rsid w:val="00F21B01"/>
    <w:rsid w:val="00F21FEC"/>
    <w:rsid w:val="00F22367"/>
    <w:rsid w:val="00F234F8"/>
    <w:rsid w:val="00F23E0A"/>
    <w:rsid w:val="00F24BD6"/>
    <w:rsid w:val="00F2638F"/>
    <w:rsid w:val="00F266D1"/>
    <w:rsid w:val="00F2671C"/>
    <w:rsid w:val="00F26724"/>
    <w:rsid w:val="00F2696F"/>
    <w:rsid w:val="00F27AA2"/>
    <w:rsid w:val="00F27C37"/>
    <w:rsid w:val="00F30352"/>
    <w:rsid w:val="00F30E3D"/>
    <w:rsid w:val="00F325D5"/>
    <w:rsid w:val="00F32655"/>
    <w:rsid w:val="00F32B73"/>
    <w:rsid w:val="00F32C92"/>
    <w:rsid w:val="00F32E35"/>
    <w:rsid w:val="00F32E5F"/>
    <w:rsid w:val="00F331BC"/>
    <w:rsid w:val="00F342FE"/>
    <w:rsid w:val="00F34650"/>
    <w:rsid w:val="00F347B3"/>
    <w:rsid w:val="00F3554E"/>
    <w:rsid w:val="00F366E4"/>
    <w:rsid w:val="00F36B94"/>
    <w:rsid w:val="00F36C6A"/>
    <w:rsid w:val="00F3717D"/>
    <w:rsid w:val="00F37878"/>
    <w:rsid w:val="00F378E3"/>
    <w:rsid w:val="00F37AC3"/>
    <w:rsid w:val="00F4017D"/>
    <w:rsid w:val="00F401DF"/>
    <w:rsid w:val="00F402DD"/>
    <w:rsid w:val="00F4060F"/>
    <w:rsid w:val="00F4085B"/>
    <w:rsid w:val="00F40D38"/>
    <w:rsid w:val="00F42441"/>
    <w:rsid w:val="00F428D0"/>
    <w:rsid w:val="00F42B9C"/>
    <w:rsid w:val="00F42CAF"/>
    <w:rsid w:val="00F43502"/>
    <w:rsid w:val="00F43827"/>
    <w:rsid w:val="00F43EC4"/>
    <w:rsid w:val="00F446CC"/>
    <w:rsid w:val="00F4474D"/>
    <w:rsid w:val="00F449F0"/>
    <w:rsid w:val="00F46A29"/>
    <w:rsid w:val="00F46D98"/>
    <w:rsid w:val="00F47214"/>
    <w:rsid w:val="00F47608"/>
    <w:rsid w:val="00F479BB"/>
    <w:rsid w:val="00F47CE2"/>
    <w:rsid w:val="00F50412"/>
    <w:rsid w:val="00F50AF0"/>
    <w:rsid w:val="00F522CD"/>
    <w:rsid w:val="00F5242B"/>
    <w:rsid w:val="00F526A6"/>
    <w:rsid w:val="00F52D04"/>
    <w:rsid w:val="00F52DD5"/>
    <w:rsid w:val="00F53646"/>
    <w:rsid w:val="00F5370E"/>
    <w:rsid w:val="00F53854"/>
    <w:rsid w:val="00F53BB2"/>
    <w:rsid w:val="00F54B90"/>
    <w:rsid w:val="00F54BEE"/>
    <w:rsid w:val="00F5554E"/>
    <w:rsid w:val="00F55685"/>
    <w:rsid w:val="00F55A21"/>
    <w:rsid w:val="00F55BC9"/>
    <w:rsid w:val="00F56144"/>
    <w:rsid w:val="00F5695F"/>
    <w:rsid w:val="00F56992"/>
    <w:rsid w:val="00F56AC7"/>
    <w:rsid w:val="00F56D8E"/>
    <w:rsid w:val="00F56E93"/>
    <w:rsid w:val="00F57373"/>
    <w:rsid w:val="00F57610"/>
    <w:rsid w:val="00F5774F"/>
    <w:rsid w:val="00F577F2"/>
    <w:rsid w:val="00F579A7"/>
    <w:rsid w:val="00F60012"/>
    <w:rsid w:val="00F60167"/>
    <w:rsid w:val="00F601C4"/>
    <w:rsid w:val="00F603FD"/>
    <w:rsid w:val="00F605FC"/>
    <w:rsid w:val="00F608BD"/>
    <w:rsid w:val="00F619C2"/>
    <w:rsid w:val="00F61AD1"/>
    <w:rsid w:val="00F62495"/>
    <w:rsid w:val="00F6301A"/>
    <w:rsid w:val="00F6329D"/>
    <w:rsid w:val="00F632ED"/>
    <w:rsid w:val="00F6375E"/>
    <w:rsid w:val="00F63C52"/>
    <w:rsid w:val="00F63CC1"/>
    <w:rsid w:val="00F63DF7"/>
    <w:rsid w:val="00F64232"/>
    <w:rsid w:val="00F64357"/>
    <w:rsid w:val="00F647F6"/>
    <w:rsid w:val="00F65212"/>
    <w:rsid w:val="00F65673"/>
    <w:rsid w:val="00F65686"/>
    <w:rsid w:val="00F65939"/>
    <w:rsid w:val="00F65B7C"/>
    <w:rsid w:val="00F66122"/>
    <w:rsid w:val="00F665F9"/>
    <w:rsid w:val="00F66CC9"/>
    <w:rsid w:val="00F67538"/>
    <w:rsid w:val="00F67C70"/>
    <w:rsid w:val="00F67F0E"/>
    <w:rsid w:val="00F7014D"/>
    <w:rsid w:val="00F701A0"/>
    <w:rsid w:val="00F713CE"/>
    <w:rsid w:val="00F71836"/>
    <w:rsid w:val="00F7197E"/>
    <w:rsid w:val="00F723EE"/>
    <w:rsid w:val="00F7294D"/>
    <w:rsid w:val="00F72B5F"/>
    <w:rsid w:val="00F72BDE"/>
    <w:rsid w:val="00F72C81"/>
    <w:rsid w:val="00F73583"/>
    <w:rsid w:val="00F73C7E"/>
    <w:rsid w:val="00F74304"/>
    <w:rsid w:val="00F7442B"/>
    <w:rsid w:val="00F7498D"/>
    <w:rsid w:val="00F75F7B"/>
    <w:rsid w:val="00F76619"/>
    <w:rsid w:val="00F769AD"/>
    <w:rsid w:val="00F76B93"/>
    <w:rsid w:val="00F77A4C"/>
    <w:rsid w:val="00F77B20"/>
    <w:rsid w:val="00F77D3D"/>
    <w:rsid w:val="00F802C2"/>
    <w:rsid w:val="00F8033B"/>
    <w:rsid w:val="00F8038E"/>
    <w:rsid w:val="00F80F48"/>
    <w:rsid w:val="00F8185A"/>
    <w:rsid w:val="00F82378"/>
    <w:rsid w:val="00F82BF8"/>
    <w:rsid w:val="00F82DAC"/>
    <w:rsid w:val="00F83BD1"/>
    <w:rsid w:val="00F844B2"/>
    <w:rsid w:val="00F85B01"/>
    <w:rsid w:val="00F85C18"/>
    <w:rsid w:val="00F861EC"/>
    <w:rsid w:val="00F86AA3"/>
    <w:rsid w:val="00F86D31"/>
    <w:rsid w:val="00F87A5C"/>
    <w:rsid w:val="00F901E4"/>
    <w:rsid w:val="00F90BB5"/>
    <w:rsid w:val="00F9192C"/>
    <w:rsid w:val="00F938D7"/>
    <w:rsid w:val="00F9427E"/>
    <w:rsid w:val="00F94310"/>
    <w:rsid w:val="00F94555"/>
    <w:rsid w:val="00F94FE6"/>
    <w:rsid w:val="00F95326"/>
    <w:rsid w:val="00F9571B"/>
    <w:rsid w:val="00F96BE3"/>
    <w:rsid w:val="00F96DBD"/>
    <w:rsid w:val="00F9783D"/>
    <w:rsid w:val="00F97A50"/>
    <w:rsid w:val="00FA021B"/>
    <w:rsid w:val="00FA0B49"/>
    <w:rsid w:val="00FA0E2B"/>
    <w:rsid w:val="00FA164E"/>
    <w:rsid w:val="00FA1685"/>
    <w:rsid w:val="00FA1829"/>
    <w:rsid w:val="00FA1C94"/>
    <w:rsid w:val="00FA1D8D"/>
    <w:rsid w:val="00FA1F1C"/>
    <w:rsid w:val="00FA25E9"/>
    <w:rsid w:val="00FA264A"/>
    <w:rsid w:val="00FA264D"/>
    <w:rsid w:val="00FA2D00"/>
    <w:rsid w:val="00FA2DA3"/>
    <w:rsid w:val="00FA39E9"/>
    <w:rsid w:val="00FA3B9E"/>
    <w:rsid w:val="00FA4430"/>
    <w:rsid w:val="00FA49F0"/>
    <w:rsid w:val="00FA5268"/>
    <w:rsid w:val="00FA5A42"/>
    <w:rsid w:val="00FA5D4B"/>
    <w:rsid w:val="00FA6076"/>
    <w:rsid w:val="00FA62F6"/>
    <w:rsid w:val="00FA6A28"/>
    <w:rsid w:val="00FA6BC1"/>
    <w:rsid w:val="00FA6D30"/>
    <w:rsid w:val="00FA733A"/>
    <w:rsid w:val="00FA7BE9"/>
    <w:rsid w:val="00FB06BE"/>
    <w:rsid w:val="00FB0AA1"/>
    <w:rsid w:val="00FB12D6"/>
    <w:rsid w:val="00FB150B"/>
    <w:rsid w:val="00FB1777"/>
    <w:rsid w:val="00FB1ADF"/>
    <w:rsid w:val="00FB1CCB"/>
    <w:rsid w:val="00FB1D9A"/>
    <w:rsid w:val="00FB33B8"/>
    <w:rsid w:val="00FB3861"/>
    <w:rsid w:val="00FB39B6"/>
    <w:rsid w:val="00FB4A8B"/>
    <w:rsid w:val="00FB4F3A"/>
    <w:rsid w:val="00FB544B"/>
    <w:rsid w:val="00FB5D46"/>
    <w:rsid w:val="00FB640E"/>
    <w:rsid w:val="00FB67E3"/>
    <w:rsid w:val="00FB698D"/>
    <w:rsid w:val="00FB74E5"/>
    <w:rsid w:val="00FB78CA"/>
    <w:rsid w:val="00FB7E06"/>
    <w:rsid w:val="00FC0420"/>
    <w:rsid w:val="00FC05CB"/>
    <w:rsid w:val="00FC0A64"/>
    <w:rsid w:val="00FC10A1"/>
    <w:rsid w:val="00FC13E4"/>
    <w:rsid w:val="00FC1802"/>
    <w:rsid w:val="00FC2035"/>
    <w:rsid w:val="00FC2069"/>
    <w:rsid w:val="00FC2410"/>
    <w:rsid w:val="00FC272F"/>
    <w:rsid w:val="00FC327D"/>
    <w:rsid w:val="00FC345D"/>
    <w:rsid w:val="00FC3A56"/>
    <w:rsid w:val="00FC3B5C"/>
    <w:rsid w:val="00FC47FF"/>
    <w:rsid w:val="00FC4952"/>
    <w:rsid w:val="00FC4E26"/>
    <w:rsid w:val="00FC4F10"/>
    <w:rsid w:val="00FC523A"/>
    <w:rsid w:val="00FC5CCC"/>
    <w:rsid w:val="00FC61F3"/>
    <w:rsid w:val="00FC65B5"/>
    <w:rsid w:val="00FC6994"/>
    <w:rsid w:val="00FC7F9F"/>
    <w:rsid w:val="00FD2C59"/>
    <w:rsid w:val="00FD2D32"/>
    <w:rsid w:val="00FD2F7F"/>
    <w:rsid w:val="00FD34BF"/>
    <w:rsid w:val="00FD3D67"/>
    <w:rsid w:val="00FD3DFA"/>
    <w:rsid w:val="00FD4580"/>
    <w:rsid w:val="00FD4F84"/>
    <w:rsid w:val="00FD5004"/>
    <w:rsid w:val="00FD5715"/>
    <w:rsid w:val="00FD61BC"/>
    <w:rsid w:val="00FD631D"/>
    <w:rsid w:val="00FD646A"/>
    <w:rsid w:val="00FD69C3"/>
    <w:rsid w:val="00FD7C14"/>
    <w:rsid w:val="00FE0141"/>
    <w:rsid w:val="00FE057C"/>
    <w:rsid w:val="00FE0EE8"/>
    <w:rsid w:val="00FE0F64"/>
    <w:rsid w:val="00FE0F81"/>
    <w:rsid w:val="00FE14F0"/>
    <w:rsid w:val="00FE156D"/>
    <w:rsid w:val="00FE1634"/>
    <w:rsid w:val="00FE17B5"/>
    <w:rsid w:val="00FE185F"/>
    <w:rsid w:val="00FE1C8D"/>
    <w:rsid w:val="00FE23FA"/>
    <w:rsid w:val="00FE2441"/>
    <w:rsid w:val="00FE30C3"/>
    <w:rsid w:val="00FE321F"/>
    <w:rsid w:val="00FE39F8"/>
    <w:rsid w:val="00FE3AAF"/>
    <w:rsid w:val="00FE439A"/>
    <w:rsid w:val="00FE48DE"/>
    <w:rsid w:val="00FE4BA4"/>
    <w:rsid w:val="00FE595E"/>
    <w:rsid w:val="00FE5F78"/>
    <w:rsid w:val="00FE60E6"/>
    <w:rsid w:val="00FE63E5"/>
    <w:rsid w:val="00FE6634"/>
    <w:rsid w:val="00FE6846"/>
    <w:rsid w:val="00FE694A"/>
    <w:rsid w:val="00FE6C25"/>
    <w:rsid w:val="00FE6C35"/>
    <w:rsid w:val="00FE6F12"/>
    <w:rsid w:val="00FE7A26"/>
    <w:rsid w:val="00FF0151"/>
    <w:rsid w:val="00FF055C"/>
    <w:rsid w:val="00FF05D8"/>
    <w:rsid w:val="00FF08A8"/>
    <w:rsid w:val="00FF1074"/>
    <w:rsid w:val="00FF13BD"/>
    <w:rsid w:val="00FF1FC3"/>
    <w:rsid w:val="00FF20F9"/>
    <w:rsid w:val="00FF25BD"/>
    <w:rsid w:val="00FF26CD"/>
    <w:rsid w:val="00FF275A"/>
    <w:rsid w:val="00FF2AE0"/>
    <w:rsid w:val="00FF2AE1"/>
    <w:rsid w:val="00FF3869"/>
    <w:rsid w:val="00FF4394"/>
    <w:rsid w:val="00FF4BED"/>
    <w:rsid w:val="00FF50F8"/>
    <w:rsid w:val="00FF51CA"/>
    <w:rsid w:val="00FF51D0"/>
    <w:rsid w:val="00FF5934"/>
    <w:rsid w:val="00FF5E19"/>
    <w:rsid w:val="00FF6258"/>
    <w:rsid w:val="00FF6B87"/>
    <w:rsid w:val="00FF6DD2"/>
    <w:rsid w:val="00FF6FC1"/>
    <w:rsid w:val="00FF72FC"/>
    <w:rsid w:val="00FF7B21"/>
    <w:rsid w:val="00FF7C3D"/>
    <w:rsid w:val="00FF7EB7"/>
    <w:rsid w:val="035A748B"/>
    <w:rsid w:val="0B35F9C4"/>
    <w:rsid w:val="0BD66C8A"/>
    <w:rsid w:val="0E5E3934"/>
    <w:rsid w:val="10F6A0F5"/>
    <w:rsid w:val="18038B6C"/>
    <w:rsid w:val="1BFB484D"/>
    <w:rsid w:val="20B028A1"/>
    <w:rsid w:val="21916A7D"/>
    <w:rsid w:val="237696F7"/>
    <w:rsid w:val="23C1CC7A"/>
    <w:rsid w:val="246308DE"/>
    <w:rsid w:val="24E6119D"/>
    <w:rsid w:val="26792FD5"/>
    <w:rsid w:val="28460689"/>
    <w:rsid w:val="28EB177D"/>
    <w:rsid w:val="2958D3A4"/>
    <w:rsid w:val="2B653D16"/>
    <w:rsid w:val="2C0BA683"/>
    <w:rsid w:val="2ECCCA19"/>
    <w:rsid w:val="2F29B477"/>
    <w:rsid w:val="310E06C8"/>
    <w:rsid w:val="3487FCBE"/>
    <w:rsid w:val="3534F19A"/>
    <w:rsid w:val="37979F8C"/>
    <w:rsid w:val="3D17BC80"/>
    <w:rsid w:val="3DB991B6"/>
    <w:rsid w:val="3E54D460"/>
    <w:rsid w:val="40777F78"/>
    <w:rsid w:val="4128C359"/>
    <w:rsid w:val="46D7611C"/>
    <w:rsid w:val="48B836F8"/>
    <w:rsid w:val="4DD7EF6B"/>
    <w:rsid w:val="4ECCA1D4"/>
    <w:rsid w:val="4F4BB68E"/>
    <w:rsid w:val="529F3995"/>
    <w:rsid w:val="530AD9DB"/>
    <w:rsid w:val="549CFA80"/>
    <w:rsid w:val="563353AD"/>
    <w:rsid w:val="58D73AED"/>
    <w:rsid w:val="5E068A99"/>
    <w:rsid w:val="5ED566C3"/>
    <w:rsid w:val="5F621641"/>
    <w:rsid w:val="60B2B404"/>
    <w:rsid w:val="6126832E"/>
    <w:rsid w:val="618D065E"/>
    <w:rsid w:val="61BF0508"/>
    <w:rsid w:val="62194D22"/>
    <w:rsid w:val="62214E6A"/>
    <w:rsid w:val="67A4200D"/>
    <w:rsid w:val="69AA1C30"/>
    <w:rsid w:val="6A844A9B"/>
    <w:rsid w:val="6ABEA075"/>
    <w:rsid w:val="6BA3EE85"/>
    <w:rsid w:val="6CFEE087"/>
    <w:rsid w:val="6FB8781B"/>
    <w:rsid w:val="717DF0F0"/>
    <w:rsid w:val="73B9880E"/>
    <w:rsid w:val="7B29AD0D"/>
    <w:rsid w:val="7CDD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FF324A91-0C4F-4106-9300-7A7E3111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C0435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tabs>
        <w:tab w:val="num" w:pos="360"/>
      </w:tabs>
      <w:spacing w:after="60"/>
      <w:ind w:left="0" w:firstLine="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/>
    <w:trPr>
      <w:tblHeader/>
    </w:trPr>
    <w:tcPr>
      <w:tcBorders>
        <w:top w:val="single" w:sz="4" w:space="0" w:color="auto"/>
        <w:left w:val="nil"/>
        <w:bottom w:val="single" w:sz="4" w:space="0" w:color="auto"/>
        <w:right w:val="nil"/>
        <w:insideH w:val="nil"/>
        <w:insideV w:val="nil"/>
        <w:tl2br w:val="nil"/>
        <w:tr2bl w:val="nil"/>
      </w:tcBorders>
    </w:tcPr>
    <w:tblStylePr w:type="firstRow">
      <w:pPr>
        <w:keepNext/>
        <w:keepLines/>
        <w:wordWrap/>
      </w:pPr>
      <w:rPr>
        <w:b/>
      </w:rPr>
    </w:tblStylePr>
    <w:tblStylePr w:type="lastRow">
      <w:rPr>
        <w:b/>
        <w:i w:val="0"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</w:tblPr>
    <w:tcPr>
      <w:tcBorders>
        <w:left w:val="nil"/>
        <w:bottom w:val="none" w:sz="1" w:space="0" w:color="18646C"/>
        <w:right w:val="nil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twistedLines1" w:sz="106" w:space="14" w:color="3A562F" w:shadow="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ColBandSize w:val="1"/>
    </w:tblPr>
    <w:tcPr>
      <w:tcBorders>
        <w:top w:val="none" w:sz="246" w:space="0" w:color="563000"/>
        <w:left w:val="nil"/>
        <w:bottom w:val="single" w:sz="8" w:space="0" w:color="755DD9" w:themeColor="accent3"/>
        <w:right w:val="nil"/>
      </w:tcBorders>
      <w:shd w:val="clear" w:color="auto" w:fill="9B57D3" w:themeFill="accent2"/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</w:tblPr>
    <w:tcPr>
      <w:tcBorders>
        <w:top w:val="single" w:sz="8" w:space="0" w:color="9B57D3" w:themeColor="accent2"/>
        <w:left w:val="nil"/>
        <w:bottom w:val="single" w:sz="8" w:space="0" w:color="9B57D3" w:themeColor="accent2"/>
        <w:right w:val="nil"/>
        <w:insideH w:val="nil"/>
        <w:insideV w:val="nil"/>
        <w:tl2br w:val="nil"/>
        <w:tr2bl w:val="nil"/>
      </w:tcBorders>
      <w:shd w:val="clear" w:color="30EA6B" w:fill="010000"/>
    </w:tc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</w:tblPr>
    <w:tcPr>
      <w:tcBorders>
        <w:top w:val="zigZagStitch" w:sz="208" w:space="21" w:color="FF8000" w:frame="1"/>
        <w:left w:val="nil"/>
        <w:bottom w:val="single" w:sz="8" w:space="0" w:color="92278F" w:themeColor="accent1"/>
        <w:right w:val="nil"/>
      </w:tcBorders>
      <w:shd w:val="clear" w:color="auto" w:fill="EEBFEC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</w:tblPr>
    <w:tcPr>
      <w:tcBorders>
        <w:top w:val="single" w:sz="4" w:space="0" w:color="FFFFFF" w:themeColor="background1"/>
        <w:left w:val="nil"/>
        <w:bottom w:val="single" w:sz="4" w:space="0" w:color="FFFFFF" w:themeColor="background1"/>
        <w:right w:val="single" w:sz="4" w:space="0" w:color="FFFFFF" w:themeColor="background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E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60CE"/>
    <w:rPr>
      <w:rFonts w:ascii="Times New Roman" w:hAnsi="Times New Roman" w:cs="Times New Roman"/>
    </w:rPr>
  </w:style>
  <w:style w:type="table" w:styleId="ListTable4-Accent4">
    <w:name w:val="List Table 4 Accent 4"/>
    <w:basedOn w:val="TableNormal"/>
    <w:uiPriority w:val="49"/>
    <w:rsid w:val="003C56BF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E0DE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  <w:tblPr/>
      <w:tcPr>
        <w:tcBorders>
          <w:right w:val="none" w:sz="1" w:space="0" w:color="30EA6B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04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F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customXml" Target="../customXml/item3.xml"/><Relationship Id="rId21" Type="http://schemas.openxmlformats.org/officeDocument/2006/relationships/image" Target="media/image8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emf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y.gov.au/publications/australias-critical-minerals-list-and-strategic-materials-list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4c60e625c048c6ac864c45e02ecdcca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c8b9526ebdb68eb3bb6f7277730f7ee3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purl.org/dc/elements/1.1/"/>
    <ds:schemaRef ds:uri="http://purl.org/dc/dcmitype/"/>
    <ds:schemaRef ds:uri="http://purl.org/dc/terms/"/>
    <ds:schemaRef ds:uri="6322038e-9f5b-4648-9760-e4c049e9601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bfa91f7-f0f9-44ab-8607-0c628a47402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D6F85-943D-4B2E-B207-D2B87361B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4F74AD-A0E6-42A4-9D70-2E6472B4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2773</Words>
  <Characters>14647</Characters>
  <Application>Microsoft Office Word</Application>
  <DocSecurity>0</DocSecurity>
  <Lines>406</Lines>
  <Paragraphs>232</Paragraphs>
  <ScaleCrop>false</ScaleCrop>
  <Company>Department of Mines and Petroleum</Company>
  <LinksUpToDate>false</LinksUpToDate>
  <CharactersWithSpaces>17188</CharactersWithSpaces>
  <SharedDoc>false</SharedDoc>
  <HLinks>
    <vt:vector size="6" baseType="variant"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https://www.industry.gov.au/publications/australias-critical-minerals-list-and-strategic-materials-list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MASTER</dc:title>
  <dc:subject/>
  <dc:creator>Rajvi Bhalodi</dc:creator>
  <cp:keywords/>
  <dc:description/>
  <cp:lastModifiedBy>Mike Thomas</cp:lastModifiedBy>
  <cp:revision>2</cp:revision>
  <cp:lastPrinted>2020-11-17T23:38:00Z</cp:lastPrinted>
  <dcterms:created xsi:type="dcterms:W3CDTF">2026-03-11T02:18:00Z</dcterms:created>
  <dcterms:modified xsi:type="dcterms:W3CDTF">2026-03-11T02:18:00Z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