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90AA1" w14:textId="2D153688" w:rsidR="00012E02" w:rsidRPr="007C7FDA" w:rsidRDefault="00AF434F" w:rsidP="00E51A91">
      <w:pPr>
        <w:pStyle w:val="Heading1"/>
        <w:spacing w:before="840" w:after="240"/>
        <w:rPr>
          <w:color w:val="auto"/>
        </w:rPr>
      </w:pPr>
      <w:r w:rsidRPr="007C7FDA">
        <w:rPr>
          <w:color w:val="auto"/>
        </w:rPr>
        <w:t xml:space="preserve">Guidance Notes for </w:t>
      </w:r>
      <w:r w:rsidR="00305EF5" w:rsidRPr="007C7FDA">
        <w:rPr>
          <w:color w:val="auto"/>
        </w:rPr>
        <w:t xml:space="preserve">September 2026 Recruitment </w:t>
      </w:r>
      <w:r w:rsidR="00C65530" w:rsidRPr="007C7FDA">
        <w:rPr>
          <w:color w:val="auto"/>
        </w:rPr>
        <w:t>Reporting</w:t>
      </w:r>
      <w:r w:rsidR="00640C45" w:rsidRPr="007C7FDA">
        <w:rPr>
          <w:color w:val="auto"/>
        </w:rPr>
        <w:t>:</w:t>
      </w:r>
      <w:r w:rsidR="00A16887" w:rsidRPr="007C7FDA">
        <w:rPr>
          <w:color w:val="auto"/>
        </w:rPr>
        <w:t xml:space="preserve"> Tranche 1</w:t>
      </w:r>
    </w:p>
    <w:p w14:paraId="0AF478E8" w14:textId="63069D90" w:rsidR="00081763" w:rsidRPr="00B35D87" w:rsidRDefault="00081763" w:rsidP="00081763">
      <w:pPr>
        <w:rPr>
          <w:b/>
          <w:bCs/>
        </w:rPr>
      </w:pPr>
      <w:r w:rsidRPr="00B35D87">
        <w:rPr>
          <w:b/>
          <w:bCs/>
          <w:lang w:val="en-GB"/>
        </w:rPr>
        <w:t xml:space="preserve">These guidance notes </w:t>
      </w:r>
      <w:r w:rsidRPr="00B35D87">
        <w:rPr>
          <w:b/>
          <w:bCs/>
        </w:rPr>
        <w:t xml:space="preserve">support </w:t>
      </w:r>
      <w:r w:rsidR="00C14B61">
        <w:rPr>
          <w:b/>
          <w:bCs/>
        </w:rPr>
        <w:t>authorities</w:t>
      </w:r>
      <w:r w:rsidRPr="00B35D87">
        <w:rPr>
          <w:b/>
          <w:bCs/>
        </w:rPr>
        <w:t xml:space="preserve"> to </w:t>
      </w:r>
      <w:r w:rsidR="003A48A7">
        <w:rPr>
          <w:b/>
          <w:bCs/>
        </w:rPr>
        <w:t>fill out the</w:t>
      </w:r>
      <w:r w:rsidR="003A48A7" w:rsidRPr="00B35D87">
        <w:rPr>
          <w:b/>
          <w:bCs/>
        </w:rPr>
        <w:t xml:space="preserve"> </w:t>
      </w:r>
      <w:r w:rsidRPr="00B35D87">
        <w:rPr>
          <w:b/>
          <w:bCs/>
        </w:rPr>
        <w:t>new recruitment reporting requirements.</w:t>
      </w:r>
    </w:p>
    <w:p w14:paraId="2C078E63" w14:textId="5226E2C9" w:rsidR="00012E02" w:rsidRDefault="00E93535" w:rsidP="00C11771">
      <w:pPr>
        <w:pStyle w:val="Heading2"/>
      </w:pPr>
      <w:r>
        <w:t>Background</w:t>
      </w:r>
    </w:p>
    <w:p w14:paraId="487A3507" w14:textId="419515E6" w:rsidR="003C4CF2" w:rsidRDefault="00B978AA" w:rsidP="00B35D87">
      <w:pPr>
        <w:pStyle w:val="Estimatesheading"/>
        <w:shd w:val="clear" w:color="auto" w:fill="auto"/>
        <w:spacing w:after="120"/>
        <w:rPr>
          <w:rFonts w:ascii="Arial" w:hAnsi="Arial"/>
          <w:b w:val="0"/>
          <w:bCs/>
          <w:caps w:val="0"/>
        </w:rPr>
      </w:pPr>
      <w:r>
        <w:rPr>
          <w:rFonts w:ascii="Arial" w:hAnsi="Arial"/>
          <w:b w:val="0"/>
          <w:bCs/>
          <w:caps w:val="0"/>
        </w:rPr>
        <w:t xml:space="preserve">To ensure </w:t>
      </w:r>
      <w:r w:rsidR="003C4CF2" w:rsidRPr="00D337FB">
        <w:rPr>
          <w:rFonts w:ascii="Arial" w:hAnsi="Arial"/>
          <w:b w:val="0"/>
          <w:bCs/>
          <w:caps w:val="0"/>
        </w:rPr>
        <w:t>public</w:t>
      </w:r>
      <w:r w:rsidRPr="00D337FB">
        <w:rPr>
          <w:rFonts w:ascii="Arial" w:hAnsi="Arial"/>
          <w:b w:val="0"/>
          <w:bCs/>
          <w:caps w:val="0"/>
        </w:rPr>
        <w:t xml:space="preserve"> sector recruitment is fit for purpose in a competitive labour market, </w:t>
      </w:r>
      <w:r w:rsidR="00E93535">
        <w:rPr>
          <w:rFonts w:ascii="Arial" w:hAnsi="Arial"/>
          <w:b w:val="0"/>
          <w:bCs/>
          <w:caps w:val="0"/>
        </w:rPr>
        <w:t xml:space="preserve">a new approach to recruitment </w:t>
      </w:r>
      <w:r w:rsidR="00640C45">
        <w:rPr>
          <w:rFonts w:ascii="Arial" w:hAnsi="Arial"/>
          <w:b w:val="0"/>
          <w:bCs/>
          <w:caps w:val="0"/>
        </w:rPr>
        <w:t xml:space="preserve">is effective from </w:t>
      </w:r>
      <w:r w:rsidR="00894E22">
        <w:rPr>
          <w:rFonts w:ascii="Arial" w:hAnsi="Arial"/>
          <w:b w:val="0"/>
          <w:bCs/>
          <w:caps w:val="0"/>
        </w:rPr>
        <w:t>1</w:t>
      </w:r>
      <w:r w:rsidR="009061B2">
        <w:rPr>
          <w:rFonts w:ascii="Arial" w:hAnsi="Arial"/>
          <w:b w:val="0"/>
          <w:bCs/>
          <w:caps w:val="0"/>
        </w:rPr>
        <w:t xml:space="preserve"> July 2026</w:t>
      </w:r>
      <w:r w:rsidR="00E72829">
        <w:rPr>
          <w:rFonts w:ascii="Arial" w:hAnsi="Arial"/>
          <w:b w:val="0"/>
          <w:bCs/>
          <w:caps w:val="0"/>
        </w:rPr>
        <w:t xml:space="preserve">. </w:t>
      </w:r>
      <w:r w:rsidR="00B35D87">
        <w:rPr>
          <w:rFonts w:ascii="Arial" w:hAnsi="Arial"/>
          <w:b w:val="0"/>
          <w:bCs/>
          <w:caps w:val="0"/>
        </w:rPr>
        <w:t>This approach</w:t>
      </w:r>
      <w:r w:rsidR="003A48A7">
        <w:rPr>
          <w:rFonts w:ascii="Arial" w:hAnsi="Arial"/>
          <w:b w:val="0"/>
          <w:bCs/>
          <w:caps w:val="0"/>
        </w:rPr>
        <w:t xml:space="preserve"> </w:t>
      </w:r>
      <w:r w:rsidR="003C4CF2" w:rsidRPr="004C72B4">
        <w:rPr>
          <w:rFonts w:ascii="Arial" w:hAnsi="Arial"/>
          <w:b w:val="0"/>
          <w:bCs/>
          <w:caps w:val="0"/>
        </w:rPr>
        <w:t>streamlin</w:t>
      </w:r>
      <w:r w:rsidR="00F86473">
        <w:rPr>
          <w:rFonts w:ascii="Arial" w:hAnsi="Arial"/>
          <w:b w:val="0"/>
          <w:bCs/>
          <w:caps w:val="0"/>
        </w:rPr>
        <w:t>e</w:t>
      </w:r>
      <w:r w:rsidR="003A48A7">
        <w:rPr>
          <w:rFonts w:ascii="Arial" w:hAnsi="Arial"/>
          <w:b w:val="0"/>
          <w:bCs/>
          <w:caps w:val="0"/>
        </w:rPr>
        <w:t>s</w:t>
      </w:r>
      <w:r w:rsidR="003C4CF2" w:rsidRPr="004C72B4">
        <w:rPr>
          <w:rFonts w:ascii="Arial" w:hAnsi="Arial"/>
          <w:b w:val="0"/>
          <w:bCs/>
          <w:caps w:val="0"/>
        </w:rPr>
        <w:t xml:space="preserve"> public sector recruitment </w:t>
      </w:r>
      <w:r w:rsidR="003C4CF2">
        <w:rPr>
          <w:rFonts w:ascii="Arial" w:hAnsi="Arial"/>
          <w:b w:val="0"/>
          <w:bCs/>
          <w:caps w:val="0"/>
        </w:rPr>
        <w:t>through</w:t>
      </w:r>
      <w:r w:rsidR="003C4CF2" w:rsidRPr="004C72B4">
        <w:rPr>
          <w:rFonts w:ascii="Arial" w:hAnsi="Arial"/>
          <w:b w:val="0"/>
          <w:bCs/>
          <w:caps w:val="0"/>
        </w:rPr>
        <w:t xml:space="preserve"> </w:t>
      </w:r>
      <w:r w:rsidR="003C4CF2">
        <w:rPr>
          <w:rFonts w:ascii="Arial" w:hAnsi="Arial"/>
          <w:b w:val="0"/>
          <w:bCs/>
          <w:caps w:val="0"/>
        </w:rPr>
        <w:t>u</w:t>
      </w:r>
      <w:r w:rsidR="003C4CF2" w:rsidRPr="004C72B4">
        <w:rPr>
          <w:rFonts w:ascii="Arial" w:hAnsi="Arial"/>
          <w:b w:val="0"/>
          <w:bCs/>
          <w:caps w:val="0"/>
        </w:rPr>
        <w:t>pdated standards</w:t>
      </w:r>
      <w:r w:rsidR="006A5393">
        <w:rPr>
          <w:rFonts w:ascii="Arial" w:hAnsi="Arial"/>
          <w:b w:val="0"/>
          <w:bCs/>
          <w:caps w:val="0"/>
        </w:rPr>
        <w:t xml:space="preserve"> that</w:t>
      </w:r>
      <w:r w:rsidR="006A5393" w:rsidRPr="004C72B4">
        <w:rPr>
          <w:rFonts w:ascii="Arial" w:hAnsi="Arial"/>
          <w:b w:val="0"/>
          <w:bCs/>
          <w:caps w:val="0"/>
        </w:rPr>
        <w:t xml:space="preserve"> support </w:t>
      </w:r>
      <w:r w:rsidR="00640C45">
        <w:rPr>
          <w:rFonts w:ascii="Arial" w:hAnsi="Arial"/>
          <w:b w:val="0"/>
          <w:bCs/>
          <w:caps w:val="0"/>
        </w:rPr>
        <w:t xml:space="preserve">the </w:t>
      </w:r>
      <w:r w:rsidR="006A5393" w:rsidRPr="004C72B4">
        <w:rPr>
          <w:rFonts w:ascii="Arial" w:hAnsi="Arial"/>
          <w:b w:val="0"/>
          <w:bCs/>
          <w:caps w:val="0"/>
        </w:rPr>
        <w:t>principles of merit, equity and probity</w:t>
      </w:r>
      <w:r w:rsidR="00640C45">
        <w:rPr>
          <w:rFonts w:ascii="Arial" w:hAnsi="Arial"/>
          <w:b w:val="0"/>
          <w:bCs/>
          <w:caps w:val="0"/>
        </w:rPr>
        <w:t>;</w:t>
      </w:r>
      <w:r w:rsidR="006A5393">
        <w:rPr>
          <w:rFonts w:ascii="Arial" w:hAnsi="Arial"/>
          <w:b w:val="0"/>
          <w:bCs/>
          <w:caps w:val="0"/>
        </w:rPr>
        <w:t xml:space="preserve"> and promote stability and efficiency across the sector</w:t>
      </w:r>
      <w:r w:rsidR="00B31B60">
        <w:rPr>
          <w:rFonts w:ascii="Arial" w:hAnsi="Arial"/>
          <w:b w:val="0"/>
          <w:bCs/>
          <w:caps w:val="0"/>
        </w:rPr>
        <w:t>.</w:t>
      </w:r>
    </w:p>
    <w:p w14:paraId="3CD83063" w14:textId="4FDB2B39" w:rsidR="00EF117B" w:rsidRDefault="003E1098" w:rsidP="00B35D87">
      <w:pPr>
        <w:spacing w:after="0"/>
      </w:pPr>
      <w:r>
        <w:t xml:space="preserve">In </w:t>
      </w:r>
      <w:r w:rsidRPr="003E1098">
        <w:t xml:space="preserve">keeping with functions under section 21A of the </w:t>
      </w:r>
      <w:r w:rsidRPr="00195AA3">
        <w:rPr>
          <w:i/>
          <w:iCs/>
        </w:rPr>
        <w:t>Public Sector Management Act 1994</w:t>
      </w:r>
      <w:r w:rsidR="00381B0D">
        <w:rPr>
          <w:i/>
          <w:iCs/>
        </w:rPr>
        <w:t xml:space="preserve"> </w:t>
      </w:r>
      <w:r w:rsidR="00381B0D" w:rsidRPr="007E41D4">
        <w:t>(PSM</w:t>
      </w:r>
      <w:r w:rsidR="00846107" w:rsidRPr="007E41D4">
        <w:t xml:space="preserve"> Act</w:t>
      </w:r>
      <w:r w:rsidR="00381B0D" w:rsidRPr="007E41D4">
        <w:t>)</w:t>
      </w:r>
      <w:r w:rsidRPr="007E41D4">
        <w:t xml:space="preserve">, the Public Sector Commission issued </w:t>
      </w:r>
      <w:r w:rsidR="00640C45" w:rsidRPr="007E41D4">
        <w:t xml:space="preserve">2 </w:t>
      </w:r>
      <w:r w:rsidRPr="007E41D4">
        <w:t xml:space="preserve">new recruitment and transfer standards </w:t>
      </w:r>
      <w:r w:rsidR="00E72829" w:rsidRPr="007E41D4">
        <w:t xml:space="preserve">in the form of </w:t>
      </w:r>
      <w:r w:rsidR="002D5CF4">
        <w:t>4</w:t>
      </w:r>
      <w:r w:rsidR="00640C45" w:rsidRPr="007E41D4">
        <w:t xml:space="preserve"> </w:t>
      </w:r>
      <w:r w:rsidRPr="007E41D4">
        <w:t xml:space="preserve">new and one amended Commissioner’s Instructions related to </w:t>
      </w:r>
      <w:r w:rsidR="00E93535" w:rsidRPr="007E41D4">
        <w:t>recruitment:</w:t>
      </w:r>
    </w:p>
    <w:p w14:paraId="61A94DCF" w14:textId="12B8EF8A" w:rsidR="00640C45" w:rsidRDefault="00640C45" w:rsidP="00640C45">
      <w:pPr>
        <w:pStyle w:val="ListParagraph"/>
        <w:numPr>
          <w:ilvl w:val="0"/>
          <w:numId w:val="43"/>
        </w:numPr>
        <w:ind w:left="567" w:hanging="567"/>
      </w:pPr>
      <w:hyperlink r:id="rId11" w:history="1">
        <w:r w:rsidRPr="00E93535">
          <w:rPr>
            <w:rStyle w:val="Hyperlink"/>
            <w:color w:val="215E99" w:themeColor="text2" w:themeTint="BF"/>
          </w:rPr>
          <w:t>Commissioner’s Instruction 12: Redeployment and Redundancy</w:t>
        </w:r>
      </w:hyperlink>
      <w:r>
        <w:t xml:space="preserve"> (amended)</w:t>
      </w:r>
    </w:p>
    <w:p w14:paraId="38EDC7D6" w14:textId="2B5525B0" w:rsidR="00640C45" w:rsidRPr="00E93535" w:rsidRDefault="00640C45" w:rsidP="00640C45">
      <w:pPr>
        <w:pStyle w:val="ListParagraph"/>
        <w:numPr>
          <w:ilvl w:val="0"/>
          <w:numId w:val="43"/>
        </w:numPr>
        <w:ind w:left="567" w:hanging="567"/>
        <w:rPr>
          <w:color w:val="215E99" w:themeColor="text2" w:themeTint="BF"/>
        </w:rPr>
      </w:pPr>
      <w:hyperlink r:id="rId12">
        <w:r w:rsidRPr="00E93535">
          <w:rPr>
            <w:rStyle w:val="Hyperlink"/>
            <w:rFonts w:eastAsia="Arial"/>
            <w:color w:val="215E99" w:themeColor="text2" w:themeTint="BF"/>
          </w:rPr>
          <w:t>Commissioner’s Instruction 48: Recruitment, Selection and Appointment to Permanent Vacancies</w:t>
        </w:r>
      </w:hyperlink>
      <w:r>
        <w:t xml:space="preserve"> (new)</w:t>
      </w:r>
    </w:p>
    <w:p w14:paraId="4BA7F5B1" w14:textId="43E3ADF4" w:rsidR="00640C45" w:rsidRPr="00E93535" w:rsidRDefault="00640C45" w:rsidP="00640C45">
      <w:pPr>
        <w:pStyle w:val="ListParagraph"/>
        <w:numPr>
          <w:ilvl w:val="0"/>
          <w:numId w:val="43"/>
        </w:numPr>
        <w:ind w:left="567" w:hanging="567"/>
        <w:rPr>
          <w:color w:val="215E99" w:themeColor="text2" w:themeTint="BF"/>
        </w:rPr>
      </w:pPr>
      <w:hyperlink r:id="rId13">
        <w:r w:rsidRPr="00E93535">
          <w:rPr>
            <w:rStyle w:val="Hyperlink"/>
            <w:rFonts w:eastAsia="Arial"/>
            <w:color w:val="215E99" w:themeColor="text2" w:themeTint="BF"/>
          </w:rPr>
          <w:t>Commissioner’s Instruction 49: Recruitment, Selection and Appointment to Fixed Term Vacancies</w:t>
        </w:r>
      </w:hyperlink>
      <w:r>
        <w:t xml:space="preserve"> (new)</w:t>
      </w:r>
    </w:p>
    <w:p w14:paraId="4F9BA254" w14:textId="13FD2ACA" w:rsidR="00640C45" w:rsidRPr="002D5CF4" w:rsidRDefault="00640C45" w:rsidP="00640C45">
      <w:pPr>
        <w:pStyle w:val="ListParagraph"/>
        <w:numPr>
          <w:ilvl w:val="0"/>
          <w:numId w:val="43"/>
        </w:numPr>
        <w:ind w:left="567" w:hanging="567"/>
        <w:rPr>
          <w:color w:val="215E99" w:themeColor="text2" w:themeTint="BF"/>
        </w:rPr>
      </w:pPr>
      <w:hyperlink r:id="rId14">
        <w:r w:rsidRPr="00E93535">
          <w:rPr>
            <w:rStyle w:val="Hyperlink"/>
            <w:rFonts w:eastAsia="Arial"/>
            <w:color w:val="215E99" w:themeColor="text2" w:themeTint="BF"/>
          </w:rPr>
          <w:t>Commissioner’s Instruction 50: Backfilling Temporary Vacancies</w:t>
        </w:r>
      </w:hyperlink>
      <w:r>
        <w:t xml:space="preserve"> (new)</w:t>
      </w:r>
    </w:p>
    <w:p w14:paraId="319D4287" w14:textId="789CD27B" w:rsidR="002D5CF4" w:rsidRPr="00E93535" w:rsidRDefault="002D5CF4" w:rsidP="00640C45">
      <w:pPr>
        <w:pStyle w:val="ListParagraph"/>
        <w:numPr>
          <w:ilvl w:val="0"/>
          <w:numId w:val="43"/>
        </w:numPr>
        <w:ind w:left="567" w:hanging="567"/>
        <w:rPr>
          <w:color w:val="215E99" w:themeColor="text2" w:themeTint="BF"/>
        </w:rPr>
      </w:pPr>
      <w:hyperlink r:id="rId15" w:history="1">
        <w:r w:rsidRPr="002D5CF4">
          <w:rPr>
            <w:color w:val="215E99" w:themeColor="text2" w:themeTint="BF"/>
            <w:u w:val="single"/>
          </w:rPr>
          <w:t>Commissioner’s Instruction 51: Transfer Standard</w:t>
        </w:r>
      </w:hyperlink>
      <w:r>
        <w:rPr>
          <w:color w:val="215E99" w:themeColor="text2" w:themeTint="BF"/>
        </w:rPr>
        <w:t xml:space="preserve"> </w:t>
      </w:r>
      <w:r w:rsidRPr="002D5CF4">
        <w:t xml:space="preserve">(new) </w:t>
      </w:r>
    </w:p>
    <w:p w14:paraId="03D65B25" w14:textId="77777777" w:rsidR="006A5393" w:rsidRDefault="006A5393" w:rsidP="006A5393">
      <w:pPr>
        <w:pStyle w:val="Heading2"/>
      </w:pPr>
      <w:r w:rsidRPr="00C11771">
        <w:t>Purpose</w:t>
      </w:r>
      <w:r w:rsidRPr="001B7AC2">
        <w:t xml:space="preserve"> of this collection</w:t>
      </w:r>
    </w:p>
    <w:p w14:paraId="6E7F2575" w14:textId="0C75FFF6" w:rsidR="00E93535" w:rsidRDefault="00E93535" w:rsidP="00E51A91">
      <w:pPr>
        <w:spacing w:after="120"/>
      </w:pPr>
      <w:r w:rsidRPr="00FB1142">
        <w:t>In alignment with changes to policy and recruitment systems across the sector, the Commission is</w:t>
      </w:r>
      <w:r w:rsidRPr="008E4C6C">
        <w:t xml:space="preserve"> introducing a new set of reporting measures t</w:t>
      </w:r>
      <w:r w:rsidR="00640C45">
        <w:t>o</w:t>
      </w:r>
      <w:r w:rsidRPr="008E4C6C">
        <w:t xml:space="preserve"> assess the sector</w:t>
      </w:r>
      <w:r w:rsidR="00640C45">
        <w:t xml:space="preserve">’s </w:t>
      </w:r>
      <w:r w:rsidRPr="008E4C6C">
        <w:t xml:space="preserve">alignment with the </w:t>
      </w:r>
      <w:r w:rsidR="00640C45">
        <w:t xml:space="preserve">5 </w:t>
      </w:r>
      <w:r w:rsidRPr="008E4C6C">
        <w:t>core principles of:</w:t>
      </w:r>
    </w:p>
    <w:p w14:paraId="10C076E3" w14:textId="2AFBC556" w:rsidR="00E51A91" w:rsidRDefault="00E51A91" w:rsidP="00E51A91">
      <w:pPr>
        <w:spacing w:after="120"/>
      </w:pPr>
      <w:r w:rsidRPr="00CA63E8">
        <w:rPr>
          <w:b/>
          <w:bCs/>
        </w:rPr>
        <w:t>Merit</w:t>
      </w:r>
      <w:r w:rsidRPr="00E51A91">
        <w:t xml:space="preserve"> </w:t>
      </w:r>
      <w:r>
        <w:tab/>
      </w:r>
      <w:r>
        <w:tab/>
      </w:r>
      <w:r w:rsidRPr="007A7EBE">
        <w:t xml:space="preserve">Are our decisions based on assessing the merit of the </w:t>
      </w:r>
      <w:r>
        <w:t>applicant</w:t>
      </w:r>
      <w:r w:rsidRPr="007A7EBE">
        <w:t>?</w:t>
      </w:r>
    </w:p>
    <w:p w14:paraId="70BEC89E" w14:textId="423AC517" w:rsidR="00E51A91" w:rsidRDefault="00E51A91" w:rsidP="00E51A91">
      <w:pPr>
        <w:spacing w:after="120"/>
      </w:pPr>
      <w:r w:rsidRPr="00CA63E8">
        <w:rPr>
          <w:b/>
          <w:bCs/>
        </w:rPr>
        <w:t>Equity</w:t>
      </w:r>
      <w:r w:rsidRPr="00E51A91">
        <w:t xml:space="preserve"> </w:t>
      </w:r>
      <w:r>
        <w:tab/>
      </w:r>
      <w:r w:rsidRPr="00D06D53">
        <w:t>Are our recruitment practices fair in their context?</w:t>
      </w:r>
    </w:p>
    <w:p w14:paraId="2478B201" w14:textId="63A7CF55" w:rsidR="00E51A91" w:rsidRDefault="00E51A91" w:rsidP="00E51A91">
      <w:pPr>
        <w:spacing w:after="120"/>
      </w:pPr>
      <w:r w:rsidRPr="00CA63E8">
        <w:rPr>
          <w:b/>
          <w:bCs/>
        </w:rPr>
        <w:t>Probity</w:t>
      </w:r>
      <w:r w:rsidRPr="00E51A91">
        <w:t xml:space="preserve"> </w:t>
      </w:r>
      <w:r>
        <w:tab/>
        <w:t>Do our recruitment practices withstand scrutiny</w:t>
      </w:r>
      <w:r w:rsidRPr="007A7EBE">
        <w:t>?</w:t>
      </w:r>
    </w:p>
    <w:p w14:paraId="4FA70780" w14:textId="37C9D0C3" w:rsidR="00E51A91" w:rsidRDefault="00E51A91" w:rsidP="00E51A91">
      <w:pPr>
        <w:spacing w:after="120"/>
      </w:pPr>
      <w:r w:rsidRPr="00CA63E8">
        <w:rPr>
          <w:b/>
          <w:bCs/>
        </w:rPr>
        <w:t>Stability</w:t>
      </w:r>
      <w:r w:rsidRPr="00E51A91">
        <w:t xml:space="preserve"> </w:t>
      </w:r>
      <w:r>
        <w:tab/>
      </w:r>
      <w:r w:rsidRPr="00D06D53">
        <w:t>Are our recruitment practices ensuring stable employment outcomes?</w:t>
      </w:r>
    </w:p>
    <w:p w14:paraId="04DCA66A" w14:textId="545A9D5C" w:rsidR="00E51A91" w:rsidRDefault="00E51A91" w:rsidP="00E51A91">
      <w:pPr>
        <w:spacing w:after="120"/>
        <w:ind w:left="1440" w:hanging="1440"/>
      </w:pPr>
      <w:r w:rsidRPr="00CA63E8">
        <w:rPr>
          <w:b/>
          <w:bCs/>
        </w:rPr>
        <w:t>Efficiency</w:t>
      </w:r>
      <w:r w:rsidRPr="00E51A91">
        <w:t xml:space="preserve"> </w:t>
      </w:r>
      <w:r>
        <w:tab/>
      </w:r>
      <w:r w:rsidRPr="00D06D53">
        <w:t xml:space="preserve">Do our recruitment processes conclude within timeframes that are reasonable for the role, </w:t>
      </w:r>
      <w:r>
        <w:t>applicant</w:t>
      </w:r>
      <w:r w:rsidRPr="00D06D53">
        <w:t xml:space="preserve">s and </w:t>
      </w:r>
      <w:r>
        <w:t>authority?</w:t>
      </w:r>
    </w:p>
    <w:p w14:paraId="21CB1EFE" w14:textId="786B3912" w:rsidR="004432AF" w:rsidRPr="008E4C6C" w:rsidRDefault="00081763" w:rsidP="00B35D87">
      <w:pPr>
        <w:spacing w:after="120"/>
        <w:rPr>
          <w:lang w:val="en-GB"/>
        </w:rPr>
      </w:pPr>
      <w:r>
        <w:rPr>
          <w:lang w:val="en-GB"/>
        </w:rPr>
        <w:lastRenderedPageBreak/>
        <w:t>The i</w:t>
      </w:r>
      <w:r w:rsidR="004432AF" w:rsidRPr="008E4C6C">
        <w:rPr>
          <w:lang w:val="en-GB"/>
        </w:rPr>
        <w:t xml:space="preserve">nformation </w:t>
      </w:r>
      <w:r w:rsidR="004432AF">
        <w:rPr>
          <w:lang w:val="en-GB"/>
        </w:rPr>
        <w:t xml:space="preserve">collected </w:t>
      </w:r>
      <w:r>
        <w:rPr>
          <w:lang w:val="en-GB"/>
        </w:rPr>
        <w:t>provides</w:t>
      </w:r>
      <w:r w:rsidR="004432AF" w:rsidRPr="008E4C6C">
        <w:rPr>
          <w:lang w:val="en-GB"/>
        </w:rPr>
        <w:t xml:space="preserve"> the</w:t>
      </w:r>
      <w:r w:rsidR="00E730B3" w:rsidRPr="008E4C6C">
        <w:rPr>
          <w:lang w:val="en-GB"/>
        </w:rPr>
        <w:t xml:space="preserve"> Commission</w:t>
      </w:r>
      <w:r w:rsidR="009A522A" w:rsidRPr="008E4C6C">
        <w:rPr>
          <w:lang w:val="en-GB"/>
        </w:rPr>
        <w:t xml:space="preserve"> </w:t>
      </w:r>
      <w:r w:rsidR="004432AF" w:rsidRPr="008E4C6C">
        <w:rPr>
          <w:lang w:val="en-GB"/>
        </w:rPr>
        <w:t xml:space="preserve">with oversight of sector recruitment activities and adherence to the </w:t>
      </w:r>
      <w:r w:rsidR="0001198F">
        <w:rPr>
          <w:lang w:val="en-GB"/>
        </w:rPr>
        <w:t>C</w:t>
      </w:r>
      <w:r w:rsidR="004432AF" w:rsidRPr="008E4C6C">
        <w:rPr>
          <w:lang w:val="en-GB"/>
        </w:rPr>
        <w:t>ommissioner</w:t>
      </w:r>
      <w:r w:rsidR="0001198F">
        <w:rPr>
          <w:lang w:val="en-GB"/>
        </w:rPr>
        <w:t>’s</w:t>
      </w:r>
      <w:r w:rsidR="004432AF" w:rsidRPr="008E4C6C">
        <w:rPr>
          <w:lang w:val="en-GB"/>
        </w:rPr>
        <w:t xml:space="preserve"> </w:t>
      </w:r>
      <w:r w:rsidR="0001198F">
        <w:rPr>
          <w:lang w:val="en-GB"/>
        </w:rPr>
        <w:t>I</w:t>
      </w:r>
      <w:r w:rsidR="00B94154" w:rsidRPr="008E4C6C">
        <w:rPr>
          <w:lang w:val="en-GB"/>
        </w:rPr>
        <w:t>nstructions</w:t>
      </w:r>
      <w:r w:rsidR="00A91673">
        <w:rPr>
          <w:lang w:val="en-GB"/>
        </w:rPr>
        <w:t>,</w:t>
      </w:r>
      <w:r w:rsidR="004432AF" w:rsidRPr="008E4C6C">
        <w:rPr>
          <w:lang w:val="en-GB"/>
        </w:rPr>
        <w:t xml:space="preserve"> breach of standards and policy instruments.</w:t>
      </w:r>
    </w:p>
    <w:p w14:paraId="39D10644" w14:textId="4FEF1A87" w:rsidR="7C3683B4" w:rsidRPr="00BB4974" w:rsidRDefault="7C3683B4" w:rsidP="00297DFC">
      <w:pPr>
        <w:pStyle w:val="Heading2"/>
      </w:pPr>
      <w:r w:rsidRPr="00BB4974">
        <w:t>Time</w:t>
      </w:r>
      <w:r w:rsidR="000F5981" w:rsidRPr="00BB4974">
        <w:t>line</w:t>
      </w:r>
      <w:r w:rsidR="00A26567" w:rsidRPr="00BB4974">
        <w:t xml:space="preserve"> and reporting periods</w:t>
      </w:r>
    </w:p>
    <w:p w14:paraId="7AE91B5E" w14:textId="6C3E92E6" w:rsidR="3E3C6D0F" w:rsidRPr="00DB4CED" w:rsidRDefault="00C14B61" w:rsidP="00B35D87">
      <w:pPr>
        <w:spacing w:after="120"/>
      </w:pPr>
      <w:r>
        <w:t>Authorities</w:t>
      </w:r>
      <w:r w:rsidRPr="00DB4CED">
        <w:t xml:space="preserve"> </w:t>
      </w:r>
      <w:r w:rsidR="3E3C6D0F" w:rsidRPr="00DB4CED">
        <w:t xml:space="preserve">report to the Commission in 6 monthly reference periods. </w:t>
      </w:r>
    </w:p>
    <w:p w14:paraId="41931265" w14:textId="60B938B4" w:rsidR="3E3C6D0F" w:rsidRPr="00DB4CED" w:rsidRDefault="3E3C6D0F" w:rsidP="009D1A2F">
      <w:pPr>
        <w:spacing w:after="0"/>
      </w:pPr>
      <w:r w:rsidRPr="00DB4CED">
        <w:t xml:space="preserve">Information </w:t>
      </w:r>
      <w:r w:rsidR="00081763">
        <w:t>is</w:t>
      </w:r>
      <w:r w:rsidRPr="00DB4CED">
        <w:t xml:space="preserve"> </w:t>
      </w:r>
      <w:r w:rsidR="0028464F">
        <w:t>implemented</w:t>
      </w:r>
      <w:r w:rsidR="00577132">
        <w:t xml:space="preserve"> and collected</w:t>
      </w:r>
      <w:r w:rsidRPr="00DB4CED">
        <w:t xml:space="preserve"> i</w:t>
      </w:r>
      <w:r w:rsidR="0028464F">
        <w:t>n</w:t>
      </w:r>
      <w:r w:rsidRPr="00DB4CED">
        <w:t xml:space="preserve"> </w:t>
      </w:r>
      <w:r w:rsidR="00081763">
        <w:t>2</w:t>
      </w:r>
      <w:r w:rsidR="00081763" w:rsidRPr="00DB4CED">
        <w:t xml:space="preserve"> </w:t>
      </w:r>
      <w:r w:rsidRPr="00DB4CED">
        <w:t>tranches</w:t>
      </w:r>
      <w:r w:rsidR="00805571" w:rsidRPr="00DB4CED">
        <w:t>:</w:t>
      </w:r>
    </w:p>
    <w:p w14:paraId="3B8C6C2B" w14:textId="4356A259" w:rsidR="3E3C6D0F" w:rsidRPr="00DB4CED" w:rsidRDefault="3E3C6D0F" w:rsidP="00E51A91">
      <w:pPr>
        <w:pStyle w:val="ListParagraph"/>
        <w:numPr>
          <w:ilvl w:val="0"/>
          <w:numId w:val="7"/>
        </w:numPr>
        <w:ind w:left="284" w:hanging="284"/>
      </w:pPr>
      <w:r w:rsidRPr="00DB4CED">
        <w:t xml:space="preserve">Tranche 1 – </w:t>
      </w:r>
      <w:r w:rsidR="00223D30">
        <w:t>October</w:t>
      </w:r>
      <w:r w:rsidR="00223D30" w:rsidRPr="00DB4CED">
        <w:t xml:space="preserve"> </w:t>
      </w:r>
      <w:r w:rsidRPr="00DB4CED">
        <w:t xml:space="preserve">2026, March 2027  </w:t>
      </w:r>
    </w:p>
    <w:p w14:paraId="19E6AD14" w14:textId="3450DF68" w:rsidR="008B489B" w:rsidRPr="00081AA3" w:rsidRDefault="3E3C6D0F" w:rsidP="00E51A91">
      <w:pPr>
        <w:pStyle w:val="ListParagraph"/>
        <w:numPr>
          <w:ilvl w:val="0"/>
          <w:numId w:val="7"/>
        </w:numPr>
        <w:spacing w:after="120"/>
        <w:ind w:left="284" w:hanging="284"/>
      </w:pPr>
      <w:r w:rsidRPr="00DB4CED">
        <w:t>Tranche</w:t>
      </w:r>
      <w:r w:rsidR="00081763">
        <w:t>s</w:t>
      </w:r>
      <w:r w:rsidRPr="00DB4CED">
        <w:t xml:space="preserve"> 1 and 2 – </w:t>
      </w:r>
      <w:r w:rsidR="00223D30">
        <w:t>October</w:t>
      </w:r>
      <w:r w:rsidR="00223D30" w:rsidRPr="00DB4CED">
        <w:t xml:space="preserve"> </w:t>
      </w:r>
      <w:r w:rsidRPr="00DB4CED">
        <w:t xml:space="preserve">2027, March 2028, onwards  </w:t>
      </w:r>
    </w:p>
    <w:tbl>
      <w:tblPr>
        <w:tblStyle w:val="TableGrid"/>
        <w:tblW w:w="0" w:type="auto"/>
        <w:tblLook w:val="04A0" w:firstRow="1" w:lastRow="0" w:firstColumn="1" w:lastColumn="0" w:noHBand="0" w:noVBand="1"/>
      </w:tblPr>
      <w:tblGrid>
        <w:gridCol w:w="2122"/>
        <w:gridCol w:w="7228"/>
      </w:tblGrid>
      <w:tr w:rsidR="00793E8E" w:rsidRPr="00081763" w14:paraId="2D12D735" w14:textId="77777777" w:rsidTr="2C58DF8A">
        <w:tc>
          <w:tcPr>
            <w:tcW w:w="2122" w:type="dxa"/>
          </w:tcPr>
          <w:p w14:paraId="6CEEEA51" w14:textId="681F3369" w:rsidR="009F3912" w:rsidRPr="00B35D87" w:rsidRDefault="008B489B" w:rsidP="00E51A91">
            <w:pPr>
              <w:spacing w:before="60" w:after="60"/>
              <w:rPr>
                <w:b/>
                <w:bCs/>
              </w:rPr>
            </w:pPr>
            <w:r w:rsidRPr="00B35D87">
              <w:rPr>
                <w:b/>
                <w:bCs/>
              </w:rPr>
              <w:t>Date</w:t>
            </w:r>
          </w:p>
        </w:tc>
        <w:tc>
          <w:tcPr>
            <w:tcW w:w="7228" w:type="dxa"/>
          </w:tcPr>
          <w:p w14:paraId="24A01A04" w14:textId="7F39C485" w:rsidR="00005C96" w:rsidRPr="00B35D87" w:rsidRDefault="008B489B" w:rsidP="00E51A91">
            <w:pPr>
              <w:spacing w:before="60" w:after="60"/>
              <w:rPr>
                <w:b/>
                <w:bCs/>
              </w:rPr>
            </w:pPr>
            <w:r w:rsidRPr="00B35D87">
              <w:rPr>
                <w:b/>
                <w:bCs/>
              </w:rPr>
              <w:t>Reporting requirements</w:t>
            </w:r>
          </w:p>
        </w:tc>
      </w:tr>
      <w:tr w:rsidR="00793E8E" w:rsidRPr="00DB4CED" w14:paraId="0F7467F3" w14:textId="77777777" w:rsidTr="2C58DF8A">
        <w:tc>
          <w:tcPr>
            <w:tcW w:w="2122" w:type="dxa"/>
          </w:tcPr>
          <w:p w14:paraId="46D6D83B" w14:textId="64F9932B" w:rsidR="00005C96" w:rsidRPr="00081AA3" w:rsidRDefault="00005C96" w:rsidP="00E51A91">
            <w:pPr>
              <w:spacing w:before="60" w:after="60"/>
            </w:pPr>
            <w:r w:rsidRPr="00081AA3">
              <w:t xml:space="preserve">July 2026 </w:t>
            </w:r>
          </w:p>
        </w:tc>
        <w:tc>
          <w:tcPr>
            <w:tcW w:w="7228" w:type="dxa"/>
          </w:tcPr>
          <w:p w14:paraId="3B323051" w14:textId="3844C8E9" w:rsidR="00005C96" w:rsidRPr="004821CB" w:rsidRDefault="00C14B61" w:rsidP="00E51A91">
            <w:pPr>
              <w:pStyle w:val="ListParagraph"/>
              <w:numPr>
                <w:ilvl w:val="0"/>
                <w:numId w:val="10"/>
              </w:numPr>
              <w:spacing w:before="60" w:after="60"/>
            </w:pPr>
            <w:r w:rsidRPr="00081AA3">
              <w:t>A</w:t>
            </w:r>
            <w:r>
              <w:t>uthorities</w:t>
            </w:r>
            <w:r w:rsidRPr="00081AA3">
              <w:t xml:space="preserve"> </w:t>
            </w:r>
            <w:r w:rsidR="00EA3FBB" w:rsidRPr="00081AA3">
              <w:t xml:space="preserve">start </w:t>
            </w:r>
            <w:r w:rsidR="00005C96" w:rsidRPr="00081AA3">
              <w:t>collect</w:t>
            </w:r>
            <w:r w:rsidR="00EA3FBB" w:rsidRPr="00081AA3">
              <w:t>ing</w:t>
            </w:r>
            <w:r w:rsidR="00005C96" w:rsidRPr="00081AA3">
              <w:t xml:space="preserve"> and retain</w:t>
            </w:r>
            <w:r w:rsidR="00EA3FBB" w:rsidRPr="00081AA3">
              <w:t>ing</w:t>
            </w:r>
            <w:r w:rsidR="00005C96" w:rsidRPr="00081AA3">
              <w:t xml:space="preserve"> recruitment</w:t>
            </w:r>
            <w:r w:rsidR="00081763">
              <w:t xml:space="preserve"> </w:t>
            </w:r>
            <w:r w:rsidR="00005C96" w:rsidRPr="00081AA3">
              <w:t>related information</w:t>
            </w:r>
            <w:r w:rsidR="0077048D" w:rsidRPr="00081AA3">
              <w:t xml:space="preserve"> for </w:t>
            </w:r>
            <w:r w:rsidR="00081763">
              <w:t>t</w:t>
            </w:r>
            <w:r w:rsidR="00081763" w:rsidRPr="00081AA3">
              <w:t xml:space="preserve">ranche </w:t>
            </w:r>
            <w:r w:rsidR="0077048D" w:rsidRPr="00081AA3">
              <w:t>1.</w:t>
            </w:r>
          </w:p>
        </w:tc>
      </w:tr>
      <w:tr w:rsidR="00793E8E" w:rsidRPr="00DB4CED" w14:paraId="6DB23FAE" w14:textId="77777777" w:rsidTr="2C58DF8A">
        <w:tc>
          <w:tcPr>
            <w:tcW w:w="2122" w:type="dxa"/>
          </w:tcPr>
          <w:p w14:paraId="7FC4848E" w14:textId="20919678" w:rsidR="00005C96" w:rsidRPr="00081AA3" w:rsidRDefault="009D1A2F" w:rsidP="00E51A91">
            <w:pPr>
              <w:spacing w:before="60" w:after="60"/>
              <w:rPr>
                <w:b/>
                <w:bCs/>
              </w:rPr>
            </w:pPr>
            <w:r>
              <w:t>October</w:t>
            </w:r>
            <w:r w:rsidRPr="00081AA3">
              <w:t xml:space="preserve"> </w:t>
            </w:r>
            <w:r w:rsidR="00005C96" w:rsidRPr="00081AA3">
              <w:t>2026</w:t>
            </w:r>
          </w:p>
        </w:tc>
        <w:tc>
          <w:tcPr>
            <w:tcW w:w="7228" w:type="dxa"/>
          </w:tcPr>
          <w:p w14:paraId="49F16226" w14:textId="66365D92" w:rsidR="00664608" w:rsidRPr="004821CB" w:rsidRDefault="00C14B61" w:rsidP="00E51A91">
            <w:pPr>
              <w:pStyle w:val="ListParagraph"/>
              <w:numPr>
                <w:ilvl w:val="0"/>
                <w:numId w:val="10"/>
              </w:numPr>
              <w:spacing w:before="60" w:after="60"/>
            </w:pPr>
            <w:r w:rsidRPr="00081AA3">
              <w:t>A</w:t>
            </w:r>
            <w:r>
              <w:t>uthorities</w:t>
            </w:r>
            <w:r w:rsidR="00005C96" w:rsidRPr="00081AA3">
              <w:t xml:space="preserve"> report on </w:t>
            </w:r>
            <w:r w:rsidR="00081763">
              <w:t>t</w:t>
            </w:r>
            <w:r w:rsidR="00081763" w:rsidRPr="00081AA3">
              <w:t xml:space="preserve">ranche </w:t>
            </w:r>
            <w:r w:rsidR="00005C96" w:rsidRPr="00081AA3">
              <w:t>1 information requirements.</w:t>
            </w:r>
          </w:p>
          <w:p w14:paraId="5EA03CCD" w14:textId="4BC979C5" w:rsidR="002A64DE" w:rsidRPr="009D1A2F" w:rsidRDefault="00EE0B39" w:rsidP="00E51A91">
            <w:pPr>
              <w:pStyle w:val="ListParagraph"/>
              <w:numPr>
                <w:ilvl w:val="0"/>
                <w:numId w:val="10"/>
              </w:numPr>
              <w:spacing w:before="60" w:after="60"/>
              <w:rPr>
                <w:b/>
                <w:bCs/>
              </w:rPr>
            </w:pPr>
            <w:r w:rsidRPr="00081AA3">
              <w:t>Submission</w:t>
            </w:r>
            <w:r w:rsidR="00664608" w:rsidRPr="00081AA3">
              <w:t xml:space="preserve"> </w:t>
            </w:r>
            <w:r w:rsidR="001F4FC5">
              <w:t>covers</w:t>
            </w:r>
            <w:r w:rsidR="00664608" w:rsidRPr="00081AA3">
              <w:t xml:space="preserve"> information from 1 July to 30 September 2026.</w:t>
            </w:r>
          </w:p>
          <w:p w14:paraId="311E2D07" w14:textId="09DA1295" w:rsidR="009D1A2F" w:rsidRPr="009D1A2F" w:rsidRDefault="00C61465" w:rsidP="00E51A91">
            <w:pPr>
              <w:pStyle w:val="ListParagraph"/>
              <w:numPr>
                <w:ilvl w:val="0"/>
                <w:numId w:val="10"/>
              </w:numPr>
              <w:spacing w:before="60" w:after="60"/>
            </w:pPr>
            <w:r>
              <w:t>C</w:t>
            </w:r>
            <w:r w:rsidR="009D1A2F" w:rsidRPr="009D1A2F">
              <w:t xml:space="preserve">ollection </w:t>
            </w:r>
            <w:r>
              <w:t xml:space="preserve">is </w:t>
            </w:r>
            <w:r w:rsidR="009D1A2F" w:rsidRPr="009D1A2F">
              <w:t xml:space="preserve">open </w:t>
            </w:r>
            <w:r>
              <w:t xml:space="preserve">from </w:t>
            </w:r>
            <w:r w:rsidR="009D1A2F" w:rsidRPr="009D1A2F">
              <w:t>6 to 15 October 2026</w:t>
            </w:r>
          </w:p>
        </w:tc>
      </w:tr>
      <w:tr w:rsidR="00793E8E" w:rsidRPr="00DB4CED" w14:paraId="1545CA2D" w14:textId="77777777" w:rsidTr="2C58DF8A">
        <w:tc>
          <w:tcPr>
            <w:tcW w:w="2122" w:type="dxa"/>
          </w:tcPr>
          <w:p w14:paraId="173180F5" w14:textId="244D1653" w:rsidR="002A01CD" w:rsidRPr="00081AA3" w:rsidRDefault="00664608" w:rsidP="00E51A91">
            <w:pPr>
              <w:spacing w:before="60" w:after="60"/>
            </w:pPr>
            <w:r w:rsidRPr="00081AA3">
              <w:t>March 2027</w:t>
            </w:r>
          </w:p>
        </w:tc>
        <w:tc>
          <w:tcPr>
            <w:tcW w:w="7228" w:type="dxa"/>
          </w:tcPr>
          <w:p w14:paraId="3295A74E" w14:textId="4D17DFE5" w:rsidR="00D40C9A" w:rsidRPr="004821CB" w:rsidRDefault="00C14B61" w:rsidP="00E51A91">
            <w:pPr>
              <w:pStyle w:val="ListParagraph"/>
              <w:numPr>
                <w:ilvl w:val="0"/>
                <w:numId w:val="10"/>
              </w:numPr>
              <w:spacing w:before="60" w:after="60"/>
            </w:pPr>
            <w:r w:rsidRPr="00081AA3">
              <w:t>A</w:t>
            </w:r>
            <w:r>
              <w:t>uthorities</w:t>
            </w:r>
            <w:r w:rsidRPr="00081AA3" w:rsidDel="00C14B61">
              <w:t xml:space="preserve"> </w:t>
            </w:r>
            <w:r w:rsidR="00D40C9A" w:rsidRPr="00081AA3">
              <w:t xml:space="preserve">report on </w:t>
            </w:r>
            <w:r w:rsidR="00C61465">
              <w:t>t</w:t>
            </w:r>
            <w:r w:rsidR="00C61465" w:rsidRPr="00081AA3">
              <w:t xml:space="preserve">ranche </w:t>
            </w:r>
            <w:r w:rsidR="00D40C9A" w:rsidRPr="00081AA3">
              <w:t xml:space="preserve">1 information requirements included in the March 2027 annual collection.  </w:t>
            </w:r>
          </w:p>
          <w:p w14:paraId="612CF87D" w14:textId="71874C4B" w:rsidR="002A64DE" w:rsidRPr="004821CB" w:rsidRDefault="00D40C9A" w:rsidP="00E51A91">
            <w:pPr>
              <w:pStyle w:val="ListParagraph"/>
              <w:numPr>
                <w:ilvl w:val="0"/>
                <w:numId w:val="10"/>
              </w:numPr>
              <w:spacing w:before="60" w:after="60"/>
            </w:pPr>
            <w:r w:rsidRPr="00081AA3">
              <w:t xml:space="preserve">Submission </w:t>
            </w:r>
            <w:r w:rsidR="001F4FC5">
              <w:t>covers</w:t>
            </w:r>
            <w:r w:rsidRPr="00081AA3">
              <w:t xml:space="preserve"> information from 1 October 2026 to 31 March 2027. </w:t>
            </w:r>
          </w:p>
        </w:tc>
      </w:tr>
      <w:tr w:rsidR="00793E8E" w:rsidRPr="00DB4CED" w14:paraId="77BB22FB" w14:textId="77777777" w:rsidTr="2C58DF8A">
        <w:tc>
          <w:tcPr>
            <w:tcW w:w="2122" w:type="dxa"/>
          </w:tcPr>
          <w:p w14:paraId="22EF0AEB" w14:textId="390FD165" w:rsidR="00EA3FBB" w:rsidRPr="00081AA3" w:rsidRDefault="00EA3FBB" w:rsidP="00E51A91">
            <w:pPr>
              <w:spacing w:before="60" w:after="60"/>
            </w:pPr>
            <w:r w:rsidRPr="00081AA3">
              <w:t>July 2027</w:t>
            </w:r>
          </w:p>
        </w:tc>
        <w:tc>
          <w:tcPr>
            <w:tcW w:w="7228" w:type="dxa"/>
          </w:tcPr>
          <w:p w14:paraId="478295D7" w14:textId="1ACD84F8" w:rsidR="00EA3FBB" w:rsidRPr="004821CB" w:rsidRDefault="00C14B61" w:rsidP="00E51A91">
            <w:pPr>
              <w:pStyle w:val="ListParagraph"/>
              <w:numPr>
                <w:ilvl w:val="0"/>
                <w:numId w:val="10"/>
              </w:numPr>
              <w:spacing w:before="60" w:after="60"/>
            </w:pPr>
            <w:r w:rsidRPr="00081AA3">
              <w:t>A</w:t>
            </w:r>
            <w:r>
              <w:t>uthorities</w:t>
            </w:r>
            <w:r w:rsidR="00EA3FBB" w:rsidRPr="00081AA3">
              <w:t xml:space="preserve"> start collecting and retaining recruitment</w:t>
            </w:r>
            <w:r w:rsidR="00C61465">
              <w:t xml:space="preserve"> </w:t>
            </w:r>
            <w:r w:rsidR="00EA3FBB" w:rsidRPr="00081AA3">
              <w:t xml:space="preserve">related information for </w:t>
            </w:r>
            <w:r w:rsidR="00C61465">
              <w:t>t</w:t>
            </w:r>
            <w:r w:rsidR="00C61465" w:rsidRPr="00081AA3">
              <w:t xml:space="preserve">ranche </w:t>
            </w:r>
            <w:r w:rsidR="00EA3FBB" w:rsidRPr="00081AA3">
              <w:t>2.</w:t>
            </w:r>
          </w:p>
        </w:tc>
      </w:tr>
      <w:tr w:rsidR="00793E8E" w:rsidRPr="00DB4CED" w14:paraId="65C93B37" w14:textId="77777777" w:rsidTr="2C58DF8A">
        <w:tc>
          <w:tcPr>
            <w:tcW w:w="2122" w:type="dxa"/>
          </w:tcPr>
          <w:p w14:paraId="74B48C1D" w14:textId="0C464FD7" w:rsidR="002A01CD" w:rsidRPr="00081AA3" w:rsidRDefault="009D1A2F" w:rsidP="00E51A91">
            <w:pPr>
              <w:spacing w:before="60" w:after="60"/>
            </w:pPr>
            <w:r>
              <w:t>October</w:t>
            </w:r>
            <w:r w:rsidRPr="00081AA3">
              <w:t xml:space="preserve"> </w:t>
            </w:r>
            <w:r w:rsidR="00664608" w:rsidRPr="00081AA3">
              <w:t>2027</w:t>
            </w:r>
          </w:p>
        </w:tc>
        <w:tc>
          <w:tcPr>
            <w:tcW w:w="7228" w:type="dxa"/>
          </w:tcPr>
          <w:p w14:paraId="32121404" w14:textId="1D48C0B2" w:rsidR="007F2B5C" w:rsidRPr="004821CB" w:rsidRDefault="00C14B61" w:rsidP="00E51A91">
            <w:pPr>
              <w:pStyle w:val="ListParagraph"/>
              <w:numPr>
                <w:ilvl w:val="0"/>
                <w:numId w:val="10"/>
              </w:numPr>
              <w:spacing w:before="60" w:after="60"/>
            </w:pPr>
            <w:r w:rsidRPr="00081AA3">
              <w:t>A</w:t>
            </w:r>
            <w:r>
              <w:t>uthorities</w:t>
            </w:r>
            <w:r w:rsidRPr="00081AA3" w:rsidDel="00C14B61">
              <w:t xml:space="preserve"> </w:t>
            </w:r>
            <w:r w:rsidR="005E368A" w:rsidRPr="00081AA3">
              <w:t>report on all information requirements (</w:t>
            </w:r>
            <w:r w:rsidR="00C61465">
              <w:t>t</w:t>
            </w:r>
            <w:r w:rsidR="00C61465" w:rsidRPr="00081AA3">
              <w:t>ranche</w:t>
            </w:r>
            <w:r w:rsidR="00C61465">
              <w:t>s</w:t>
            </w:r>
            <w:r w:rsidR="00C61465" w:rsidRPr="00081AA3">
              <w:t xml:space="preserve"> </w:t>
            </w:r>
            <w:r w:rsidR="005E368A" w:rsidRPr="00081AA3">
              <w:t>1 and 2).</w:t>
            </w:r>
          </w:p>
          <w:p w14:paraId="4D703C61" w14:textId="42C34106" w:rsidR="002A64DE" w:rsidRPr="004821CB" w:rsidRDefault="005E1449" w:rsidP="00E51A91">
            <w:pPr>
              <w:pStyle w:val="ListParagraph"/>
              <w:numPr>
                <w:ilvl w:val="0"/>
                <w:numId w:val="10"/>
              </w:numPr>
              <w:spacing w:before="60" w:after="60"/>
            </w:pPr>
            <w:r w:rsidRPr="00081AA3">
              <w:t xml:space="preserve">Submission </w:t>
            </w:r>
            <w:r w:rsidR="001F4FC5">
              <w:t>covers</w:t>
            </w:r>
            <w:r w:rsidRPr="00081AA3">
              <w:t xml:space="preserve"> information from </w:t>
            </w:r>
            <w:r w:rsidR="00DC2CF0" w:rsidRPr="00081AA3">
              <w:t xml:space="preserve">1 </w:t>
            </w:r>
            <w:r w:rsidR="00E5494F" w:rsidRPr="00081AA3">
              <w:t>April</w:t>
            </w:r>
            <w:r w:rsidR="00DC2CF0" w:rsidRPr="00081AA3">
              <w:t xml:space="preserve"> to 30 September 2027 f</w:t>
            </w:r>
            <w:r w:rsidR="00E5494F" w:rsidRPr="00081AA3">
              <w:t xml:space="preserve">or </w:t>
            </w:r>
            <w:r w:rsidR="00C61465">
              <w:t>t</w:t>
            </w:r>
            <w:r w:rsidR="00C61465" w:rsidRPr="00081AA3">
              <w:t xml:space="preserve">ranche </w:t>
            </w:r>
            <w:r w:rsidR="00E5494F" w:rsidRPr="00081AA3">
              <w:t xml:space="preserve">1 and from </w:t>
            </w:r>
            <w:r w:rsidR="00627339" w:rsidRPr="00081AA3">
              <w:t xml:space="preserve">1 July to 30 September </w:t>
            </w:r>
            <w:r w:rsidR="003A367C" w:rsidRPr="00081AA3">
              <w:t xml:space="preserve">2027 </w:t>
            </w:r>
            <w:r w:rsidR="00627339" w:rsidRPr="00081AA3">
              <w:t>for</w:t>
            </w:r>
            <w:r w:rsidR="003A367C" w:rsidRPr="00081AA3">
              <w:t xml:space="preserve"> </w:t>
            </w:r>
            <w:r w:rsidR="00C61465">
              <w:t>t</w:t>
            </w:r>
            <w:r w:rsidR="00C61465" w:rsidRPr="00081AA3">
              <w:t xml:space="preserve">ranche </w:t>
            </w:r>
            <w:r w:rsidR="003A367C" w:rsidRPr="00081AA3">
              <w:t>2.</w:t>
            </w:r>
          </w:p>
        </w:tc>
      </w:tr>
      <w:tr w:rsidR="00793E8E" w:rsidRPr="00DB4CED" w14:paraId="53A987EA" w14:textId="77777777" w:rsidTr="2C58DF8A">
        <w:tc>
          <w:tcPr>
            <w:tcW w:w="2122" w:type="dxa"/>
          </w:tcPr>
          <w:p w14:paraId="73F18EFC" w14:textId="0FD05913" w:rsidR="002A01CD" w:rsidRPr="00081AA3" w:rsidRDefault="00594E14" w:rsidP="00E51A91">
            <w:pPr>
              <w:spacing w:before="60" w:after="60"/>
            </w:pPr>
            <w:r w:rsidRPr="00081AA3">
              <w:t>March 2028</w:t>
            </w:r>
          </w:p>
        </w:tc>
        <w:tc>
          <w:tcPr>
            <w:tcW w:w="7228" w:type="dxa"/>
          </w:tcPr>
          <w:p w14:paraId="0FA4227F" w14:textId="2EB97FF2" w:rsidR="00594E14" w:rsidRPr="004821CB" w:rsidRDefault="00594E14" w:rsidP="00E51A91">
            <w:pPr>
              <w:pStyle w:val="ListParagraph"/>
              <w:numPr>
                <w:ilvl w:val="0"/>
                <w:numId w:val="10"/>
              </w:numPr>
              <w:spacing w:before="60" w:after="60"/>
            </w:pPr>
            <w:r w:rsidRPr="00081AA3">
              <w:t>A</w:t>
            </w:r>
            <w:r w:rsidR="000D483B">
              <w:t>uthorities</w:t>
            </w:r>
            <w:r w:rsidRPr="00081AA3">
              <w:t xml:space="preserve"> report on all information requirements (</w:t>
            </w:r>
            <w:r w:rsidR="00C61465">
              <w:t>t</w:t>
            </w:r>
            <w:r w:rsidR="00C61465" w:rsidRPr="00081AA3">
              <w:t>ranche</w:t>
            </w:r>
            <w:r w:rsidR="00C61465">
              <w:t>s</w:t>
            </w:r>
            <w:r w:rsidR="00C61465" w:rsidRPr="00081AA3">
              <w:t xml:space="preserve"> </w:t>
            </w:r>
            <w:r w:rsidRPr="00081AA3">
              <w:t xml:space="preserve">1 and 2) in </w:t>
            </w:r>
            <w:r w:rsidR="008E06CE" w:rsidRPr="00081AA3">
              <w:t xml:space="preserve">the March 2028 </w:t>
            </w:r>
            <w:r w:rsidRPr="00081AA3">
              <w:t xml:space="preserve">annual collection. </w:t>
            </w:r>
          </w:p>
          <w:p w14:paraId="6E238C81" w14:textId="7D418CB2" w:rsidR="00253785" w:rsidRPr="004821CB" w:rsidRDefault="00253785" w:rsidP="00E51A91">
            <w:pPr>
              <w:pStyle w:val="ListParagraph"/>
              <w:numPr>
                <w:ilvl w:val="0"/>
                <w:numId w:val="10"/>
              </w:numPr>
              <w:spacing w:before="60" w:after="60"/>
            </w:pPr>
            <w:r w:rsidRPr="00081AA3">
              <w:t xml:space="preserve">Submission </w:t>
            </w:r>
            <w:r w:rsidR="001F4FC5">
              <w:t>covers</w:t>
            </w:r>
            <w:r w:rsidRPr="00081AA3">
              <w:t xml:space="preserve"> information from 1 October 2027 to 31 March 2028 for </w:t>
            </w:r>
            <w:r w:rsidR="00C61465">
              <w:t xml:space="preserve">tranches </w:t>
            </w:r>
            <w:r w:rsidR="00BD57AD">
              <w:t>1 and 2.</w:t>
            </w:r>
          </w:p>
          <w:p w14:paraId="150749DE" w14:textId="42AE4321" w:rsidR="002A64DE" w:rsidRPr="004821CB" w:rsidRDefault="00594E14" w:rsidP="00E51A91">
            <w:pPr>
              <w:pStyle w:val="ListParagraph"/>
              <w:numPr>
                <w:ilvl w:val="0"/>
                <w:numId w:val="10"/>
              </w:numPr>
              <w:spacing w:before="60" w:after="60"/>
            </w:pPr>
            <w:r w:rsidRPr="00081AA3">
              <w:t xml:space="preserve">Reporting </w:t>
            </w:r>
            <w:r w:rsidR="00D15A24" w:rsidRPr="00081AA3">
              <w:t>continues every March and September.</w:t>
            </w:r>
          </w:p>
        </w:tc>
      </w:tr>
    </w:tbl>
    <w:p w14:paraId="2B635F41" w14:textId="77777777" w:rsidR="00E51A91" w:rsidRDefault="00E51A91" w:rsidP="00297DFC">
      <w:pPr>
        <w:pStyle w:val="Heading2"/>
      </w:pPr>
    </w:p>
    <w:p w14:paraId="1BEB658E" w14:textId="77777777" w:rsidR="00E51A91" w:rsidRDefault="00E51A91">
      <w:pPr>
        <w:rPr>
          <w:rFonts w:ascii="Century Gothic" w:eastAsiaTheme="majorEastAsia" w:hAnsi="Century Gothic" w:cstheme="majorBidi"/>
          <w:sz w:val="32"/>
          <w:szCs w:val="32"/>
        </w:rPr>
      </w:pPr>
      <w:r>
        <w:br w:type="page"/>
      </w:r>
    </w:p>
    <w:p w14:paraId="793DB292" w14:textId="1E4A1A9B" w:rsidR="0F5CD468" w:rsidRPr="00BB4974" w:rsidRDefault="0F5CD468" w:rsidP="00297DFC">
      <w:pPr>
        <w:pStyle w:val="Heading2"/>
      </w:pPr>
      <w:r w:rsidRPr="00BB4974">
        <w:lastRenderedPageBreak/>
        <w:t>Who and what is being captured in the collection</w:t>
      </w:r>
    </w:p>
    <w:p w14:paraId="2B7A26C5" w14:textId="4B300892" w:rsidR="009A160C" w:rsidRDefault="006E39C0" w:rsidP="00B35D87">
      <w:pPr>
        <w:spacing w:after="0"/>
      </w:pPr>
      <w:r w:rsidRPr="00DB4CED">
        <w:t>Mandated recruitment reporting and any supporting collection appl</w:t>
      </w:r>
      <w:r w:rsidR="00935548">
        <w:t xml:space="preserve">y </w:t>
      </w:r>
      <w:r w:rsidRPr="00DB4CED">
        <w:t xml:space="preserve">to recruitment related </w:t>
      </w:r>
      <w:r w:rsidR="008755C8" w:rsidRPr="00DB4CED">
        <w:t>activities</w:t>
      </w:r>
      <w:r w:rsidRPr="00DB4CED">
        <w:t xml:space="preserve"> undertaken by </w:t>
      </w:r>
      <w:r w:rsidR="00C14B61">
        <w:t xml:space="preserve">authorities </w:t>
      </w:r>
      <w:r w:rsidRPr="00DB4CED">
        <w:t xml:space="preserve">as defined by the </w:t>
      </w:r>
      <w:r w:rsidR="002145CF" w:rsidRPr="00E35CB7">
        <w:t>PSM</w:t>
      </w:r>
      <w:r w:rsidRPr="00E35CB7">
        <w:t xml:space="preserve"> Act</w:t>
      </w:r>
      <w:r w:rsidR="009A160C">
        <w:t>:</w:t>
      </w:r>
    </w:p>
    <w:p w14:paraId="71EC176C" w14:textId="162BA177" w:rsidR="009A160C" w:rsidRPr="00C14B61" w:rsidRDefault="00E51A91" w:rsidP="00B35D87">
      <w:pPr>
        <w:pStyle w:val="ListParagraph"/>
        <w:numPr>
          <w:ilvl w:val="0"/>
          <w:numId w:val="45"/>
        </w:numPr>
        <w:ind w:left="426" w:hanging="426"/>
      </w:pPr>
      <w:r>
        <w:t>D</w:t>
      </w:r>
      <w:r w:rsidR="00C61465" w:rsidRPr="00C14B61">
        <w:t xml:space="preserve">epartments </w:t>
      </w:r>
      <w:r w:rsidR="006E39C0" w:rsidRPr="00C14B61">
        <w:t>(Section 35)</w:t>
      </w:r>
    </w:p>
    <w:p w14:paraId="1E1FD505" w14:textId="11A4FC54" w:rsidR="009A160C" w:rsidRPr="00C14B61" w:rsidRDefault="006E39C0" w:rsidP="00B35D87">
      <w:pPr>
        <w:pStyle w:val="ListParagraph"/>
        <w:numPr>
          <w:ilvl w:val="0"/>
          <w:numId w:val="45"/>
        </w:numPr>
        <w:ind w:left="426" w:hanging="426"/>
      </w:pPr>
      <w:r w:rsidRPr="00C14B61">
        <w:t xml:space="preserve">Schedule 2 (SES </w:t>
      </w:r>
      <w:r w:rsidR="00C61465" w:rsidRPr="00C14B61">
        <w:t>organisations</w:t>
      </w:r>
      <w:r w:rsidRPr="00C14B61">
        <w:t>)</w:t>
      </w:r>
    </w:p>
    <w:p w14:paraId="604E4273" w14:textId="22DE14EB" w:rsidR="009A160C" w:rsidRPr="00C14B61" w:rsidRDefault="00E51A91" w:rsidP="00B35D87">
      <w:pPr>
        <w:pStyle w:val="ListParagraph"/>
        <w:numPr>
          <w:ilvl w:val="0"/>
          <w:numId w:val="45"/>
        </w:numPr>
        <w:spacing w:after="120"/>
        <w:ind w:left="426" w:hanging="426"/>
      </w:pPr>
      <w:r>
        <w:t>N</w:t>
      </w:r>
      <w:r w:rsidR="00C61465" w:rsidRPr="00C14B61">
        <w:t>on</w:t>
      </w:r>
      <w:r w:rsidR="006E39C0" w:rsidRPr="00C14B61">
        <w:t xml:space="preserve">-SES </w:t>
      </w:r>
      <w:r w:rsidR="00C61465" w:rsidRPr="00C14B61">
        <w:t>organisations</w:t>
      </w:r>
    </w:p>
    <w:p w14:paraId="6417B9B0" w14:textId="04C27D77" w:rsidR="000A5275" w:rsidRPr="00DB4CED" w:rsidRDefault="006E39C0" w:rsidP="00B35D87">
      <w:pPr>
        <w:spacing w:after="120"/>
      </w:pPr>
      <w:r w:rsidRPr="00A8698B">
        <w:t xml:space="preserve">Schedule 1 entities as defined in </w:t>
      </w:r>
      <w:r w:rsidR="002145CF" w:rsidRPr="00A8698B">
        <w:t>the PSM Act</w:t>
      </w:r>
      <w:r w:rsidRPr="00A8698B">
        <w:t xml:space="preserve"> are exempt from providing recruitment reporting information to the Commission.</w:t>
      </w:r>
    </w:p>
    <w:p w14:paraId="720BE65A" w14:textId="28A33BFD" w:rsidR="002D3F1F" w:rsidRPr="00BB4974" w:rsidRDefault="7C3683B4" w:rsidP="00297DFC">
      <w:pPr>
        <w:pStyle w:val="Heading2"/>
      </w:pPr>
      <w:r w:rsidRPr="00BB4974">
        <w:t>Authorisation</w:t>
      </w:r>
    </w:p>
    <w:p w14:paraId="714A6770" w14:textId="141751CE" w:rsidR="00881251" w:rsidRPr="00DB4CED" w:rsidRDefault="0056500D" w:rsidP="00926B73">
      <w:pPr>
        <w:spacing w:after="120"/>
      </w:pPr>
      <w:r w:rsidRPr="00DB4CED">
        <w:t xml:space="preserve">The online submission is made with the approval of the head of </w:t>
      </w:r>
      <w:r w:rsidR="00926B73">
        <w:t xml:space="preserve">your </w:t>
      </w:r>
      <w:r w:rsidR="00C14B61">
        <w:t>authority.</w:t>
      </w:r>
    </w:p>
    <w:p w14:paraId="1B1C9782" w14:textId="6D6672A3" w:rsidR="00553C94" w:rsidRPr="00BB4974" w:rsidRDefault="7C3683B4" w:rsidP="00297DFC">
      <w:pPr>
        <w:pStyle w:val="Heading2"/>
      </w:pPr>
      <w:r w:rsidRPr="00BB4974">
        <w:t>Data storage and management</w:t>
      </w:r>
    </w:p>
    <w:p w14:paraId="54222CBC" w14:textId="10D47008" w:rsidR="00E72829" w:rsidRDefault="00EA5C83" w:rsidP="00B35D87">
      <w:pPr>
        <w:spacing w:after="120"/>
      </w:pPr>
      <w:r w:rsidRPr="00DB4CED">
        <w:t xml:space="preserve">Data storage through the online collection tool is compliant with the information security requirements AS ISO/IEC 27001:2022 – Information technology – Security techniques – Information security management systems – Requirements. </w:t>
      </w:r>
    </w:p>
    <w:p w14:paraId="7AF9CEA3" w14:textId="44040358" w:rsidR="00EA5C83" w:rsidRPr="00DB4CED" w:rsidRDefault="00EA5C83" w:rsidP="00B35D87">
      <w:pPr>
        <w:spacing w:after="120"/>
      </w:pPr>
      <w:r w:rsidRPr="00DB4CED">
        <w:t xml:space="preserve">Access to the system is managed by the Data Analytics and Technology </w:t>
      </w:r>
      <w:r w:rsidR="00C61465">
        <w:t>D</w:t>
      </w:r>
      <w:r w:rsidRPr="00DB4CED">
        <w:t>ivision at the Commission and roles are managed to ensure controlled access to data.</w:t>
      </w:r>
      <w:r w:rsidR="007C2284">
        <w:t xml:space="preserve"> The data is stored in Australia.</w:t>
      </w:r>
    </w:p>
    <w:p w14:paraId="36A9176A" w14:textId="62F4FDEA" w:rsidR="7C3683B4" w:rsidRPr="00553C94" w:rsidRDefault="7C3683B4" w:rsidP="00DE3C49">
      <w:pPr>
        <w:pStyle w:val="Heading2"/>
      </w:pPr>
      <w:r w:rsidRPr="00553C94">
        <w:t>Using and sharing collected data</w:t>
      </w:r>
    </w:p>
    <w:p w14:paraId="0B27DA7D" w14:textId="63969626" w:rsidR="00693E7B" w:rsidRPr="00DB4CED" w:rsidRDefault="00693E7B" w:rsidP="003A48A7">
      <w:pPr>
        <w:spacing w:after="120"/>
      </w:pPr>
      <w:r w:rsidRPr="00DB4CED">
        <w:t>The information report</w:t>
      </w:r>
      <w:r w:rsidR="00C61465">
        <w:t xml:space="preserve">ed </w:t>
      </w:r>
      <w:r w:rsidRPr="00DB4CED">
        <w:t>as part of this collection</w:t>
      </w:r>
      <w:r w:rsidR="00C61465">
        <w:t xml:space="preserve"> </w:t>
      </w:r>
      <w:r w:rsidRPr="00DB4CED">
        <w:t>is provided to the Commission on the understanding tha</w:t>
      </w:r>
      <w:r w:rsidR="00C61465">
        <w:t xml:space="preserve">t it </w:t>
      </w:r>
      <w:r w:rsidRPr="00DB4CED">
        <w:t xml:space="preserve">may be shared solely for the purpose of </w:t>
      </w:r>
      <w:r w:rsidR="006F25D8">
        <w:t xml:space="preserve">reporting </w:t>
      </w:r>
      <w:r w:rsidR="00972982">
        <w:t xml:space="preserve">recruitment </w:t>
      </w:r>
      <w:r w:rsidR="009F02C5">
        <w:t>activity</w:t>
      </w:r>
      <w:r w:rsidR="00972982">
        <w:t xml:space="preserve"> </w:t>
      </w:r>
      <w:r w:rsidR="006F25D8">
        <w:t>and outcomes</w:t>
      </w:r>
      <w:r w:rsidR="00FA2289">
        <w:t xml:space="preserve"> </w:t>
      </w:r>
      <w:r w:rsidR="00C61465">
        <w:t xml:space="preserve">in </w:t>
      </w:r>
      <w:r w:rsidR="00FA2289">
        <w:t xml:space="preserve">the WA </w:t>
      </w:r>
      <w:r w:rsidR="00C61465">
        <w:t>public sector</w:t>
      </w:r>
      <w:r w:rsidR="00FA2289">
        <w:t>.</w:t>
      </w:r>
    </w:p>
    <w:p w14:paraId="05B41B2E" w14:textId="14D2B132" w:rsidR="0073011C" w:rsidRPr="00DB4CED" w:rsidRDefault="00E72829" w:rsidP="003A48A7">
      <w:pPr>
        <w:spacing w:after="120"/>
      </w:pPr>
      <w:r>
        <w:t>The data</w:t>
      </w:r>
      <w:r w:rsidRPr="00DB4CED">
        <w:t xml:space="preserve"> </w:t>
      </w:r>
      <w:r w:rsidR="0073011C" w:rsidRPr="00DB4CED">
        <w:t xml:space="preserve">provides </w:t>
      </w:r>
      <w:r w:rsidR="006F690C" w:rsidRPr="00DB4CED">
        <w:t xml:space="preserve">the Commission with information about </w:t>
      </w:r>
      <w:r w:rsidR="002822AC">
        <w:t xml:space="preserve">adherence to </w:t>
      </w:r>
      <w:r w:rsidR="006E6183">
        <w:t>public sector recruitment standards</w:t>
      </w:r>
      <w:r w:rsidR="005A1E54">
        <w:t>.</w:t>
      </w:r>
      <w:r w:rsidR="005605B3">
        <w:t xml:space="preserve"> </w:t>
      </w:r>
    </w:p>
    <w:p w14:paraId="5AE099BD" w14:textId="35DB5787" w:rsidR="007624E9" w:rsidRPr="007624E9" w:rsidRDefault="007624E9" w:rsidP="003A48A7">
      <w:pPr>
        <w:spacing w:after="120"/>
      </w:pPr>
      <w:r w:rsidRPr="007624E9">
        <w:t>The data and information provide</w:t>
      </w:r>
      <w:r w:rsidR="00C61465">
        <w:t>d</w:t>
      </w:r>
      <w:r w:rsidR="008D439D" w:rsidRPr="00DB4CED">
        <w:t xml:space="preserve"> </w:t>
      </w:r>
      <w:r w:rsidR="005851FF">
        <w:t>may</w:t>
      </w:r>
      <w:r w:rsidR="008D439D" w:rsidRPr="00DB4CED">
        <w:t xml:space="preserve"> be </w:t>
      </w:r>
      <w:r w:rsidRPr="007624E9">
        <w:t xml:space="preserve">published by </w:t>
      </w:r>
      <w:r w:rsidR="00C61465" w:rsidRPr="007624E9">
        <w:t>the</w:t>
      </w:r>
      <w:r w:rsidR="00C61465">
        <w:t xml:space="preserve"> </w:t>
      </w:r>
      <w:r w:rsidRPr="007624E9">
        <w:t xml:space="preserve">Commission as part of </w:t>
      </w:r>
      <w:r w:rsidRPr="00DB4CED">
        <w:t>the</w:t>
      </w:r>
      <w:r w:rsidRPr="007624E9">
        <w:t xml:space="preserve"> annual State of the </w:t>
      </w:r>
      <w:r w:rsidR="00C61465" w:rsidRPr="007624E9">
        <w:t>WA</w:t>
      </w:r>
      <w:r w:rsidR="00C61465">
        <w:t xml:space="preserve"> </w:t>
      </w:r>
      <w:r w:rsidRPr="007624E9">
        <w:t xml:space="preserve">Government </w:t>
      </w:r>
      <w:r w:rsidR="00C61465" w:rsidRPr="007624E9">
        <w:t>Sector</w:t>
      </w:r>
      <w:r w:rsidR="00C61465">
        <w:t xml:space="preserve"> </w:t>
      </w:r>
      <w:r w:rsidR="00C61465" w:rsidRPr="007624E9">
        <w:t>Workforce</w:t>
      </w:r>
      <w:r w:rsidR="00C61465">
        <w:t xml:space="preserve"> </w:t>
      </w:r>
      <w:r w:rsidRPr="007624E9">
        <w:t>report. </w:t>
      </w:r>
    </w:p>
    <w:p w14:paraId="7576C70A" w14:textId="7A72A84C" w:rsidR="007624E9" w:rsidRPr="007624E9" w:rsidRDefault="007624E9" w:rsidP="003A48A7">
      <w:pPr>
        <w:spacing w:after="120"/>
      </w:pPr>
      <w:r w:rsidRPr="007624E9">
        <w:t xml:space="preserve">In addition </w:t>
      </w:r>
      <w:r w:rsidR="00C61465" w:rsidRPr="007624E9">
        <w:t>to</w:t>
      </w:r>
      <w:r w:rsidR="00C61465">
        <w:t xml:space="preserve"> </w:t>
      </w:r>
      <w:r w:rsidRPr="007624E9">
        <w:t>annual reporting, data may also be used in responses to</w:t>
      </w:r>
      <w:r w:rsidR="004134B9" w:rsidRPr="00DB4CED">
        <w:t xml:space="preserve"> </w:t>
      </w:r>
      <w:r w:rsidR="00C61465" w:rsidRPr="007624E9">
        <w:t>Parliamentary</w:t>
      </w:r>
      <w:r w:rsidR="00C61465">
        <w:t xml:space="preserve"> </w:t>
      </w:r>
      <w:r w:rsidR="00C61465" w:rsidRPr="007624E9">
        <w:t>and</w:t>
      </w:r>
      <w:r w:rsidR="00C61465">
        <w:t xml:space="preserve"> </w:t>
      </w:r>
      <w:r w:rsidRPr="007624E9">
        <w:t xml:space="preserve">other matters relevant to </w:t>
      </w:r>
      <w:r w:rsidR="00C61465" w:rsidRPr="007624E9">
        <w:t>the</w:t>
      </w:r>
      <w:r w:rsidR="00C61465">
        <w:t xml:space="preserve"> </w:t>
      </w:r>
      <w:r w:rsidRPr="007624E9">
        <w:t xml:space="preserve">functions of </w:t>
      </w:r>
      <w:r w:rsidR="004134B9" w:rsidRPr="00DB4CED">
        <w:t>the</w:t>
      </w:r>
      <w:r w:rsidRPr="007624E9">
        <w:t> Commission. </w:t>
      </w:r>
    </w:p>
    <w:p w14:paraId="68BED399" w14:textId="56729457" w:rsidR="007624E9" w:rsidRPr="007624E9" w:rsidRDefault="007624E9" w:rsidP="00B35D87">
      <w:pPr>
        <w:spacing w:after="120"/>
      </w:pPr>
      <w:r w:rsidRPr="007624E9">
        <w:t xml:space="preserve">From time to time there </w:t>
      </w:r>
      <w:r w:rsidR="008D439D" w:rsidRPr="00DB4CED">
        <w:t>may be</w:t>
      </w:r>
      <w:r w:rsidRPr="007624E9">
        <w:t xml:space="preserve"> requests for information relating to data in this collection. The Commission considers these requests on an individual basis. Any personal data shared on this basis is de-</w:t>
      </w:r>
      <w:r w:rsidR="00C61465" w:rsidRPr="007624E9">
        <w:t>identified</w:t>
      </w:r>
      <w:r w:rsidR="00C61465">
        <w:t xml:space="preserve"> </w:t>
      </w:r>
      <w:r w:rsidRPr="007624E9">
        <w:t>for public use.</w:t>
      </w:r>
    </w:p>
    <w:p w14:paraId="5F2C36AF" w14:textId="37C6EAE4" w:rsidR="7C3683B4" w:rsidRPr="00BC1DC1" w:rsidRDefault="7C3683B4" w:rsidP="00297DFC">
      <w:pPr>
        <w:pStyle w:val="Heading2"/>
      </w:pPr>
      <w:r w:rsidRPr="00BC1DC1">
        <w:lastRenderedPageBreak/>
        <w:t>Guidance notes</w:t>
      </w:r>
    </w:p>
    <w:p w14:paraId="72936108" w14:textId="6119F6F1" w:rsidR="00516BC0" w:rsidRPr="00DB4CED" w:rsidRDefault="00516BC0" w:rsidP="00B35D87">
      <w:pPr>
        <w:spacing w:after="120"/>
      </w:pPr>
      <w:r w:rsidRPr="00516BC0">
        <w:t>This document</w:t>
      </w:r>
      <w:r w:rsidR="00C61465">
        <w:t xml:space="preserve"> </w:t>
      </w:r>
      <w:r w:rsidRPr="00516BC0">
        <w:t>contains</w:t>
      </w:r>
      <w:r w:rsidR="00C61465">
        <w:t xml:space="preserve"> </w:t>
      </w:r>
      <w:r w:rsidRPr="00516BC0">
        <w:t>all the questions and answer options for the</w:t>
      </w:r>
      <w:r w:rsidR="00C61465">
        <w:t xml:space="preserve"> </w:t>
      </w:r>
      <w:r w:rsidR="00C14B61">
        <w:t>October</w:t>
      </w:r>
      <w:r w:rsidR="00C14B61" w:rsidRPr="00DB4CED">
        <w:t xml:space="preserve"> </w:t>
      </w:r>
      <w:r w:rsidRPr="00DB4CED">
        <w:t>2026</w:t>
      </w:r>
      <w:r w:rsidRPr="00516BC0">
        <w:t xml:space="preserve"> collection. </w:t>
      </w:r>
    </w:p>
    <w:p w14:paraId="5ED94AE1" w14:textId="1DDF60F6" w:rsidR="00516BC0" w:rsidRPr="00516BC0" w:rsidRDefault="00516BC0" w:rsidP="00B35D87">
      <w:pPr>
        <w:spacing w:after="120"/>
      </w:pPr>
      <w:r w:rsidRPr="00516BC0">
        <w:t xml:space="preserve">Guidance </w:t>
      </w:r>
      <w:r w:rsidR="00C61465" w:rsidRPr="00516BC0">
        <w:t>notes</w:t>
      </w:r>
      <w:r w:rsidR="00C61465">
        <w:t xml:space="preserve"> </w:t>
      </w:r>
      <w:r w:rsidRPr="00516BC0">
        <w:t xml:space="preserve">are provided below the question where </w:t>
      </w:r>
      <w:r w:rsidR="00C61465" w:rsidRPr="00516BC0">
        <w:t>needed</w:t>
      </w:r>
      <w:r w:rsidR="00C61465">
        <w:t xml:space="preserve"> </w:t>
      </w:r>
      <w:r w:rsidRPr="00516BC0">
        <w:t xml:space="preserve">to help </w:t>
      </w:r>
      <w:r w:rsidR="00C14B61">
        <w:t>authorities</w:t>
      </w:r>
      <w:r w:rsidR="00C14B61" w:rsidRPr="00516BC0">
        <w:t xml:space="preserve"> prepare</w:t>
      </w:r>
      <w:r w:rsidRPr="00516BC0">
        <w:t xml:space="preserve"> its response.</w:t>
      </w:r>
      <w:r w:rsidR="00C61465">
        <w:t xml:space="preserve"> The</w:t>
      </w:r>
      <w:r w:rsidR="00935548">
        <w:t xml:space="preserve"> notes</w:t>
      </w:r>
      <w:r w:rsidR="00C61465">
        <w:t xml:space="preserve"> also help with </w:t>
      </w:r>
      <w:r w:rsidRPr="00516BC0">
        <w:t>gather</w:t>
      </w:r>
      <w:r w:rsidR="00C61465">
        <w:t>ing</w:t>
      </w:r>
      <w:r w:rsidRPr="00516BC0">
        <w:t xml:space="preserve"> the required information and approvals ahead of completing </w:t>
      </w:r>
      <w:r w:rsidR="00C61465">
        <w:t>the</w:t>
      </w:r>
      <w:r w:rsidR="00C61465" w:rsidRPr="00516BC0">
        <w:t xml:space="preserve"> </w:t>
      </w:r>
      <w:r w:rsidRPr="00516BC0">
        <w:t>submission online.  </w:t>
      </w:r>
    </w:p>
    <w:p w14:paraId="6406CEAE" w14:textId="1FD262D4" w:rsidR="00FB34F1" w:rsidRPr="006842C4" w:rsidRDefault="00516BC0" w:rsidP="00B35D87">
      <w:pPr>
        <w:spacing w:after="120"/>
      </w:pPr>
      <w:r w:rsidRPr="00516BC0">
        <w:t xml:space="preserve">Guidance notes </w:t>
      </w:r>
      <w:r w:rsidR="00C61465">
        <w:t>are being</w:t>
      </w:r>
      <w:r w:rsidR="00903A81" w:rsidRPr="00DB4CED">
        <w:t xml:space="preserve"> provided for the March 2027 </w:t>
      </w:r>
      <w:r w:rsidR="00305EF5" w:rsidRPr="00DB4CED">
        <w:t>submission</w:t>
      </w:r>
      <w:r w:rsidR="00903A81" w:rsidRPr="00DB4CED">
        <w:t xml:space="preserve"> in the 2027 Annual Collection guidance notes.</w:t>
      </w:r>
    </w:p>
    <w:p w14:paraId="68C9B496" w14:textId="64D6587C" w:rsidR="7C3683B4" w:rsidRPr="00BC1DC1" w:rsidRDefault="7C3683B4" w:rsidP="00297DFC">
      <w:pPr>
        <w:pStyle w:val="Heading2"/>
      </w:pPr>
      <w:r w:rsidRPr="00BC1DC1">
        <w:t>Reporting tool</w:t>
      </w:r>
    </w:p>
    <w:p w14:paraId="0CCA0C1D" w14:textId="52558773" w:rsidR="00A97427" w:rsidRPr="00A97427" w:rsidRDefault="00C61465" w:rsidP="003A48A7">
      <w:pPr>
        <w:spacing w:after="120"/>
      </w:pPr>
      <w:r>
        <w:t>The</w:t>
      </w:r>
      <w:r w:rsidRPr="00A97427">
        <w:t xml:space="preserve"> </w:t>
      </w:r>
      <w:r w:rsidR="00A97427" w:rsidRPr="00A97427">
        <w:t>submission must be made online.  </w:t>
      </w:r>
    </w:p>
    <w:p w14:paraId="3E3F743A" w14:textId="35EE34CF" w:rsidR="00A97427" w:rsidRPr="00A97427" w:rsidRDefault="00A97427" w:rsidP="003A48A7">
      <w:pPr>
        <w:spacing w:after="120"/>
      </w:pPr>
      <w:r w:rsidRPr="00A97427">
        <w:t xml:space="preserve">When the collection is opened, </w:t>
      </w:r>
      <w:r w:rsidR="00C14B61">
        <w:t>the authority</w:t>
      </w:r>
      <w:r w:rsidR="00926B73" w:rsidRPr="00A97427">
        <w:t xml:space="preserve"> </w:t>
      </w:r>
      <w:r w:rsidR="00862492" w:rsidRPr="00A97427">
        <w:t>receives</w:t>
      </w:r>
      <w:r w:rsidR="00862492">
        <w:t xml:space="preserve"> </w:t>
      </w:r>
      <w:r w:rsidRPr="00A97427">
        <w:t xml:space="preserve">a link to complete the annual collection online. This link is unique to </w:t>
      </w:r>
      <w:r w:rsidR="003A48A7">
        <w:t xml:space="preserve">your </w:t>
      </w:r>
      <w:r w:rsidR="00C14B61">
        <w:t>authority</w:t>
      </w:r>
      <w:r w:rsidR="003A48A7">
        <w:t xml:space="preserve"> </w:t>
      </w:r>
      <w:r w:rsidR="00C14B61">
        <w:t xml:space="preserve">and </w:t>
      </w:r>
      <w:r w:rsidR="003A48A7">
        <w:t xml:space="preserve">should not be shared with </w:t>
      </w:r>
      <w:r w:rsidR="00C14B61">
        <w:t xml:space="preserve">others. </w:t>
      </w:r>
    </w:p>
    <w:p w14:paraId="235A97AF" w14:textId="7664E749" w:rsidR="00A97427" w:rsidRPr="00A97427" w:rsidRDefault="00A97427" w:rsidP="003A48A7">
      <w:pPr>
        <w:spacing w:after="120"/>
      </w:pPr>
      <w:r w:rsidRPr="00A97427">
        <w:t xml:space="preserve">The link may be shared in your authority, recognising that different users may need to complete and review responses before submission. While users may collaborate to complete your submission, it is recommended that only one user </w:t>
      </w:r>
      <w:r w:rsidR="00935548" w:rsidRPr="00A97427">
        <w:t>accesses</w:t>
      </w:r>
      <w:r w:rsidR="00935548">
        <w:t xml:space="preserve"> </w:t>
      </w:r>
      <w:r w:rsidRPr="00A97427">
        <w:t xml:space="preserve">the tool at any </w:t>
      </w:r>
      <w:r w:rsidR="00935548" w:rsidRPr="00A97427">
        <w:t>one</w:t>
      </w:r>
      <w:r w:rsidR="00935548">
        <w:t xml:space="preserve"> </w:t>
      </w:r>
      <w:r w:rsidRPr="00A97427">
        <w:t>time to ensure responses are saved correctly.</w:t>
      </w:r>
    </w:p>
    <w:p w14:paraId="5C860831" w14:textId="1862E994" w:rsidR="00BB4974" w:rsidRPr="00A97427" w:rsidRDefault="00A97427" w:rsidP="003A48A7">
      <w:pPr>
        <w:spacing w:after="120"/>
      </w:pPr>
      <w:r w:rsidRPr="00A97427">
        <w:t xml:space="preserve">Your submission may be completed in multiple sittings. Responses are automatically saved when you click </w:t>
      </w:r>
      <w:r w:rsidR="00935548" w:rsidRPr="00A97427">
        <w:t>the</w:t>
      </w:r>
      <w:r w:rsidR="00935548">
        <w:t xml:space="preserve"> </w:t>
      </w:r>
      <w:r w:rsidR="00935548" w:rsidRPr="00A97427">
        <w:rPr>
          <w:b/>
          <w:bCs/>
        </w:rPr>
        <w:t>Next</w:t>
      </w:r>
      <w:r w:rsidR="00935548">
        <w:t xml:space="preserve"> </w:t>
      </w:r>
      <w:r w:rsidR="00935548" w:rsidRPr="00A97427">
        <w:t>or</w:t>
      </w:r>
      <w:r w:rsidR="00935548">
        <w:t xml:space="preserve"> </w:t>
      </w:r>
      <w:r w:rsidR="00935548" w:rsidRPr="00A97427">
        <w:rPr>
          <w:b/>
          <w:bCs/>
        </w:rPr>
        <w:t>Previous</w:t>
      </w:r>
      <w:r w:rsidR="00935548">
        <w:t xml:space="preserve"> </w:t>
      </w:r>
      <w:r w:rsidRPr="00A97427">
        <w:t xml:space="preserve">button at the bottom of each page. If you </w:t>
      </w:r>
      <w:r w:rsidR="00935548" w:rsidRPr="00A97427">
        <w:t>cannot</w:t>
      </w:r>
      <w:r w:rsidR="00935548">
        <w:t xml:space="preserve"> </w:t>
      </w:r>
      <w:r w:rsidRPr="00A97427">
        <w:t>locate</w:t>
      </w:r>
      <w:r w:rsidR="00935548">
        <w:t xml:space="preserve"> </w:t>
      </w:r>
      <w:r w:rsidRPr="00A97427">
        <w:t>the</w:t>
      </w:r>
      <w:r w:rsidR="00935548">
        <w:t xml:space="preserve"> </w:t>
      </w:r>
      <w:r w:rsidRPr="00A97427">
        <w:t>Next</w:t>
      </w:r>
      <w:r w:rsidR="00935548">
        <w:t xml:space="preserve"> </w:t>
      </w:r>
      <w:r w:rsidRPr="00A97427">
        <w:t>button on any page, scroll down until</w:t>
      </w:r>
      <w:r w:rsidR="00935548">
        <w:t xml:space="preserve"> </w:t>
      </w:r>
      <w:r w:rsidRPr="00A97427">
        <w:t>it is visible. </w:t>
      </w:r>
    </w:p>
    <w:p w14:paraId="62F53D55" w14:textId="667C72AF" w:rsidR="7C3683B4" w:rsidRPr="003A13E5" w:rsidRDefault="7C3683B4" w:rsidP="00BF08BC">
      <w:pPr>
        <w:pStyle w:val="Heading2"/>
      </w:pPr>
      <w:r w:rsidRPr="003A13E5">
        <w:t>Navigating the online reporting tool</w:t>
      </w:r>
    </w:p>
    <w:p w14:paraId="3D9EE090" w14:textId="0F3EFA3D" w:rsidR="009E7A26" w:rsidRPr="009E7A26" w:rsidRDefault="009E7A26" w:rsidP="007C7FDA">
      <w:pPr>
        <w:spacing w:after="120"/>
      </w:pPr>
      <w:r w:rsidRPr="009E7A26">
        <w:t>A</w:t>
      </w:r>
      <w:r w:rsidR="00935548">
        <w:t xml:space="preserve"> </w:t>
      </w:r>
      <w:r w:rsidRPr="009E7A26">
        <w:t>table of contents panel on the lefthand side of the screen can be expanded or minimised by selecting the</w:t>
      </w:r>
      <w:r w:rsidR="00935548">
        <w:t xml:space="preserve"> </w:t>
      </w:r>
      <w:r w:rsidRPr="009E7A26">
        <w:t>3</w:t>
      </w:r>
      <w:r w:rsidR="00935548">
        <w:t xml:space="preserve"> </w:t>
      </w:r>
      <w:r w:rsidRPr="009E7A26">
        <w:t>bars icon. </w:t>
      </w:r>
      <w:r w:rsidRPr="009E7A26">
        <w:rPr>
          <w:noProof/>
        </w:rPr>
        <w:drawing>
          <wp:anchor distT="0" distB="0" distL="114300" distR="114300" simplePos="0" relativeHeight="251658240" behindDoc="1" locked="0" layoutInCell="1" allowOverlap="1" wp14:anchorId="7AB324E8" wp14:editId="737017DD">
            <wp:simplePos x="0" y="0"/>
            <wp:positionH relativeFrom="column">
              <wp:posOffset>1729105</wp:posOffset>
            </wp:positionH>
            <wp:positionV relativeFrom="paragraph">
              <wp:posOffset>201295</wp:posOffset>
            </wp:positionV>
            <wp:extent cx="247650" cy="228600"/>
            <wp:effectExtent l="0" t="0" r="0" b="0"/>
            <wp:wrapNone/>
            <wp:docPr id="204930067" name="Picture 2" descr="A purple and white striped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urple and white striped symbol&#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A26">
        <w:t> </w:t>
      </w:r>
    </w:p>
    <w:p w14:paraId="1319C4B7" w14:textId="20C336FD" w:rsidR="009E7A26" w:rsidRPr="009E7A26" w:rsidRDefault="004F00BF" w:rsidP="007C7FDA">
      <w:pPr>
        <w:spacing w:after="120"/>
      </w:pPr>
      <w:r w:rsidRPr="004F00BF">
        <w:t>Depending on your responses, you may</w:t>
      </w:r>
      <w:r w:rsidR="00935548">
        <w:t xml:space="preserve"> </w:t>
      </w:r>
      <w:r w:rsidRPr="004F00BF">
        <w:t>skip</w:t>
      </w:r>
      <w:r w:rsidR="00935548">
        <w:t xml:space="preserve"> </w:t>
      </w:r>
      <w:r w:rsidRPr="004F00BF">
        <w:t xml:space="preserve">some questions or be asked to complete additional information. </w:t>
      </w:r>
    </w:p>
    <w:p w14:paraId="5E9C5022" w14:textId="77777777" w:rsidR="009E7A26" w:rsidRPr="009E7A26" w:rsidRDefault="009E7A26" w:rsidP="007C7FDA">
      <w:pPr>
        <w:spacing w:after="120"/>
      </w:pPr>
      <w:r w:rsidRPr="009E7A26">
        <w:t>As you complete each section a tick appears. You can navigate back to previously answered questions at any time using the table of contents. </w:t>
      </w:r>
    </w:p>
    <w:p w14:paraId="2DBB1646" w14:textId="51AA55BF" w:rsidR="009E7A26" w:rsidRPr="009E7A26" w:rsidRDefault="00935548" w:rsidP="007C7FDA">
      <w:pPr>
        <w:spacing w:after="120"/>
      </w:pPr>
      <w:r>
        <w:t>T</w:t>
      </w:r>
      <w:r w:rsidR="009E7A26" w:rsidRPr="009E7A26">
        <w:t xml:space="preserve">ake care to </w:t>
      </w:r>
      <w:r w:rsidRPr="009E7A26">
        <w:t>provide</w:t>
      </w:r>
      <w:r>
        <w:t xml:space="preserve"> </w:t>
      </w:r>
      <w:r w:rsidR="009E7A26" w:rsidRPr="009E7A26">
        <w:t>accurate</w:t>
      </w:r>
      <w:r>
        <w:t xml:space="preserve"> </w:t>
      </w:r>
      <w:r w:rsidR="009E7A26" w:rsidRPr="009E7A26">
        <w:t>information and ensure all reporting requirements are met. </w:t>
      </w:r>
    </w:p>
    <w:p w14:paraId="5ADA48B6" w14:textId="6ACE1DEC" w:rsidR="00BB4974" w:rsidRPr="00993F93" w:rsidRDefault="009E7A26" w:rsidP="007C7FDA">
      <w:pPr>
        <w:spacing w:after="120"/>
      </w:pPr>
      <w:r w:rsidRPr="009E7A26">
        <w:t>All sections of the collection must have a tick before you</w:t>
      </w:r>
      <w:r w:rsidR="00935548">
        <w:t xml:space="preserve"> </w:t>
      </w:r>
      <w:r w:rsidRPr="009E7A26">
        <w:t>submit</w:t>
      </w:r>
      <w:r w:rsidR="00935548">
        <w:t xml:space="preserve"> </w:t>
      </w:r>
      <w:r w:rsidRPr="009E7A26">
        <w:t>the survey.  </w:t>
      </w:r>
    </w:p>
    <w:p w14:paraId="0BDB036F" w14:textId="191F24FA" w:rsidR="7C3683B4" w:rsidRPr="00BB4974" w:rsidRDefault="7C3683B4" w:rsidP="00297DFC">
      <w:pPr>
        <w:pStyle w:val="Heading2"/>
      </w:pPr>
      <w:r w:rsidRPr="00BB4974">
        <w:t>Contact</w:t>
      </w:r>
    </w:p>
    <w:p w14:paraId="4A3201E1" w14:textId="594F9E5E" w:rsidR="00085ED5" w:rsidRPr="00BF5D6B" w:rsidRDefault="00BF5D6B" w:rsidP="00FB1142">
      <w:r w:rsidRPr="00BF5D6B">
        <w:t>If you have any</w:t>
      </w:r>
      <w:r w:rsidR="00935548">
        <w:t xml:space="preserve"> </w:t>
      </w:r>
      <w:r w:rsidRPr="00BF5D6B">
        <w:t>questions</w:t>
      </w:r>
      <w:r w:rsidR="00935548">
        <w:t xml:space="preserve"> </w:t>
      </w:r>
      <w:r w:rsidRPr="00BF5D6B">
        <w:t>or experience technical</w:t>
      </w:r>
      <w:r w:rsidR="00935548">
        <w:t xml:space="preserve"> </w:t>
      </w:r>
      <w:r w:rsidRPr="00BF5D6B">
        <w:t>issues</w:t>
      </w:r>
      <w:r w:rsidR="00935548">
        <w:t xml:space="preserve">, </w:t>
      </w:r>
      <w:r w:rsidRPr="00BF5D6B">
        <w:t>email</w:t>
      </w:r>
      <w:r w:rsidR="00935548">
        <w:t xml:space="preserve"> </w:t>
      </w:r>
      <w:hyperlink r:id="rId17" w:tgtFrame="_blank" w:history="1">
        <w:r w:rsidRPr="00BF5D6B">
          <w:rPr>
            <w:rStyle w:val="Hyperlink"/>
            <w:rFonts w:asciiTheme="minorBidi" w:hAnsiTheme="minorBidi"/>
          </w:rPr>
          <w:t>collections@psc.wa.gov.au</w:t>
        </w:r>
      </w:hyperlink>
      <w:r w:rsidR="00935548">
        <w:t>.</w:t>
      </w:r>
    </w:p>
    <w:p w14:paraId="30F97EDA" w14:textId="08E7A79E" w:rsidR="269DED0F" w:rsidRDefault="269DED0F" w:rsidP="00FB1142">
      <w:r>
        <w:br w:type="page"/>
      </w:r>
    </w:p>
    <w:p w14:paraId="22010B9A" w14:textId="0D7E051E" w:rsidR="00AC0D3F" w:rsidRPr="00B178A6" w:rsidRDefault="64FF826E" w:rsidP="00297DFC">
      <w:pPr>
        <w:pStyle w:val="Heading2"/>
      </w:pPr>
      <w:r w:rsidRPr="008023D8">
        <w:lastRenderedPageBreak/>
        <w:t>Definitions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5"/>
      </w:tblGrid>
      <w:tr w:rsidR="00E51A91" w:rsidRPr="004D5D2C" w14:paraId="6DBDDDBB" w14:textId="77777777" w:rsidTr="00AC0D3F">
        <w:tc>
          <w:tcPr>
            <w:tcW w:w="2405" w:type="dxa"/>
          </w:tcPr>
          <w:p w14:paraId="228E39B0" w14:textId="0B5CF090" w:rsidR="00E51A91" w:rsidRPr="007C7FDA" w:rsidRDefault="00E51A91" w:rsidP="007C7FDA">
            <w:pPr>
              <w:spacing w:before="60" w:after="60"/>
              <w:rPr>
                <w:b/>
                <w:bCs/>
              </w:rPr>
            </w:pPr>
            <w:r w:rsidRPr="007C7FDA">
              <w:rPr>
                <w:b/>
                <w:bCs/>
              </w:rPr>
              <w:t>Term</w:t>
            </w:r>
          </w:p>
        </w:tc>
        <w:tc>
          <w:tcPr>
            <w:tcW w:w="6945" w:type="dxa"/>
          </w:tcPr>
          <w:p w14:paraId="4547C784" w14:textId="031F9D02" w:rsidR="00E51A91" w:rsidRPr="007C7FDA" w:rsidRDefault="00E51A91" w:rsidP="007C7FDA">
            <w:pPr>
              <w:spacing w:before="60" w:after="60"/>
              <w:rPr>
                <w:b/>
                <w:bCs/>
              </w:rPr>
            </w:pPr>
            <w:r w:rsidRPr="007C7FDA">
              <w:rPr>
                <w:b/>
                <w:bCs/>
              </w:rPr>
              <w:t>Definition</w:t>
            </w:r>
          </w:p>
        </w:tc>
      </w:tr>
      <w:tr w:rsidR="00793E8E" w14:paraId="7C5BFDED" w14:textId="77777777" w:rsidTr="00AC0D3F">
        <w:tc>
          <w:tcPr>
            <w:tcW w:w="2405" w:type="dxa"/>
          </w:tcPr>
          <w:p w14:paraId="1CE14657" w14:textId="4609ADC6" w:rsidR="00EA1996" w:rsidRPr="00016242" w:rsidRDefault="00EA1996" w:rsidP="007C7FDA">
            <w:pPr>
              <w:spacing w:before="60" w:after="60"/>
            </w:pPr>
            <w:r w:rsidRPr="00016242">
              <w:t>Acting</w:t>
            </w:r>
          </w:p>
        </w:tc>
        <w:tc>
          <w:tcPr>
            <w:tcW w:w="6945" w:type="dxa"/>
          </w:tcPr>
          <w:p w14:paraId="095426AA" w14:textId="182613B6" w:rsidR="00EA1996" w:rsidRPr="009D1A78" w:rsidRDefault="00EA1996" w:rsidP="007C7FDA">
            <w:pPr>
              <w:spacing w:before="60" w:after="60"/>
            </w:pPr>
            <w:r w:rsidRPr="009D1A78">
              <w:t xml:space="preserve">Direction or agreement with an employee to temporarily </w:t>
            </w:r>
            <w:r w:rsidRPr="00C14B61">
              <w:t>perform the functions and duties of another office, post or position which is vacant, whether temporarily or permanently, and which does not alter the employee's underlying employment status.</w:t>
            </w:r>
          </w:p>
        </w:tc>
      </w:tr>
      <w:tr w:rsidR="00793E8E" w14:paraId="0072C4C0" w14:textId="77777777" w:rsidTr="00AC0D3F">
        <w:tc>
          <w:tcPr>
            <w:tcW w:w="2405" w:type="dxa"/>
          </w:tcPr>
          <w:p w14:paraId="2B287C53" w14:textId="09B88218" w:rsidR="00AC0D3F" w:rsidRPr="00016242" w:rsidRDefault="00AC0D3F" w:rsidP="007C7FDA">
            <w:pPr>
              <w:spacing w:before="60" w:after="60"/>
            </w:pPr>
            <w:r w:rsidRPr="00016242">
              <w:t>Advertising</w:t>
            </w:r>
          </w:p>
        </w:tc>
        <w:tc>
          <w:tcPr>
            <w:tcW w:w="6945" w:type="dxa"/>
          </w:tcPr>
          <w:p w14:paraId="7BBC4367" w14:textId="1B084884" w:rsidR="00AC0D3F" w:rsidRPr="009D1A78" w:rsidRDefault="00075FD7" w:rsidP="007C7FDA">
            <w:pPr>
              <w:spacing w:before="60" w:after="60"/>
            </w:pPr>
            <w:r w:rsidRPr="009D1A78">
              <w:t>Invitation included in a public sector notice for people to apply for a vacancy</w:t>
            </w:r>
            <w:r w:rsidR="00884B75" w:rsidRPr="009D1A78">
              <w:t>.</w:t>
            </w:r>
          </w:p>
        </w:tc>
      </w:tr>
      <w:tr w:rsidR="00093AFB" w14:paraId="0695415A" w14:textId="77777777" w:rsidTr="00AC0D3F">
        <w:tc>
          <w:tcPr>
            <w:tcW w:w="2405" w:type="dxa"/>
          </w:tcPr>
          <w:p w14:paraId="4E13414A" w14:textId="5AB18316" w:rsidR="00093AFB" w:rsidRPr="00016242" w:rsidRDefault="00093AFB" w:rsidP="007C7FDA">
            <w:pPr>
              <w:spacing w:before="60" w:after="60"/>
            </w:pPr>
            <w:r>
              <w:t>Appointment</w:t>
            </w:r>
          </w:p>
        </w:tc>
        <w:tc>
          <w:tcPr>
            <w:tcW w:w="6945" w:type="dxa"/>
          </w:tcPr>
          <w:p w14:paraId="53BCA1BA" w14:textId="1E87BED8" w:rsidR="00093AFB" w:rsidRPr="009D1A78" w:rsidRDefault="00732F95" w:rsidP="007C7FDA">
            <w:pPr>
              <w:spacing w:before="60" w:after="60"/>
            </w:pPr>
            <w:r w:rsidRPr="00732F95">
              <w:t>Act of assigning a suitable applicant to a vacancy.</w:t>
            </w:r>
          </w:p>
        </w:tc>
      </w:tr>
      <w:tr w:rsidR="00793E8E" w14:paraId="19EDD40D" w14:textId="77777777" w:rsidTr="00AC0D3F">
        <w:tc>
          <w:tcPr>
            <w:tcW w:w="2405" w:type="dxa"/>
          </w:tcPr>
          <w:p w14:paraId="4DF2B6D1" w14:textId="1E522212" w:rsidR="00AC0D3F" w:rsidRPr="00016242" w:rsidRDefault="00AC0D3F" w:rsidP="007C7FDA">
            <w:pPr>
              <w:spacing w:before="60" w:after="60"/>
            </w:pPr>
            <w:r w:rsidRPr="00016242">
              <w:t>Applicant</w:t>
            </w:r>
          </w:p>
        </w:tc>
        <w:tc>
          <w:tcPr>
            <w:tcW w:w="6945" w:type="dxa"/>
          </w:tcPr>
          <w:p w14:paraId="36BD5EE2" w14:textId="4DFA0FDB" w:rsidR="00AC0D3F" w:rsidRPr="009D1A78" w:rsidRDefault="0063405F" w:rsidP="007C7FDA">
            <w:pPr>
              <w:spacing w:before="60" w:after="60"/>
            </w:pPr>
            <w:r w:rsidRPr="009D1A78">
              <w:t xml:space="preserve">Person being considered to fill a vacancy. </w:t>
            </w:r>
          </w:p>
        </w:tc>
      </w:tr>
      <w:tr w:rsidR="00793E8E" w14:paraId="63836ABE" w14:textId="77777777" w:rsidTr="00AC0D3F">
        <w:tc>
          <w:tcPr>
            <w:tcW w:w="2405" w:type="dxa"/>
          </w:tcPr>
          <w:p w14:paraId="53ECC94B" w14:textId="4D2E5249" w:rsidR="00AC0D3F" w:rsidRPr="00016242" w:rsidRDefault="00AC0D3F" w:rsidP="007C7FDA">
            <w:pPr>
              <w:spacing w:before="60" w:after="60"/>
            </w:pPr>
            <w:r w:rsidRPr="00016242">
              <w:t>Applicant initiated approach</w:t>
            </w:r>
          </w:p>
        </w:tc>
        <w:tc>
          <w:tcPr>
            <w:tcW w:w="6945" w:type="dxa"/>
          </w:tcPr>
          <w:p w14:paraId="33807E8B" w14:textId="60B06922" w:rsidR="00AC0D3F" w:rsidRPr="009D1A78" w:rsidRDefault="0063405F" w:rsidP="007C7FDA">
            <w:pPr>
              <w:spacing w:before="60" w:after="60"/>
            </w:pPr>
            <w:r w:rsidRPr="009D1A78">
              <w:t>Approach to a public sector body from a person seeking employment opportunities.</w:t>
            </w:r>
          </w:p>
        </w:tc>
      </w:tr>
      <w:tr w:rsidR="004834F7" w14:paraId="1FB3B93E" w14:textId="77777777" w:rsidTr="00AC0D3F">
        <w:tc>
          <w:tcPr>
            <w:tcW w:w="2405" w:type="dxa"/>
          </w:tcPr>
          <w:p w14:paraId="440C393A" w14:textId="5F28D6CC" w:rsidR="004834F7" w:rsidRPr="00016242" w:rsidRDefault="004834F7" w:rsidP="007C7FDA">
            <w:pPr>
              <w:spacing w:before="60" w:after="60"/>
            </w:pPr>
            <w:r>
              <w:t>Backfill</w:t>
            </w:r>
          </w:p>
        </w:tc>
        <w:tc>
          <w:tcPr>
            <w:tcW w:w="6945" w:type="dxa"/>
          </w:tcPr>
          <w:p w14:paraId="23FC436F" w14:textId="6FC0D588" w:rsidR="004834F7" w:rsidRPr="009D1A78" w:rsidRDefault="00ED2EAF" w:rsidP="007C7FDA">
            <w:pPr>
              <w:spacing w:before="60" w:after="60"/>
            </w:pPr>
            <w:r>
              <w:t>Filling for a fixed period a position that has a current occupant who is temporarily absent, on leave or assigned elsewhere.</w:t>
            </w:r>
          </w:p>
        </w:tc>
      </w:tr>
      <w:tr w:rsidR="00793E8E" w14:paraId="37C933AE" w14:textId="77777777" w:rsidTr="00AC0D3F">
        <w:tc>
          <w:tcPr>
            <w:tcW w:w="2405" w:type="dxa"/>
          </w:tcPr>
          <w:p w14:paraId="43A2E978" w14:textId="20C361F2" w:rsidR="00AC0D3F" w:rsidRPr="00016242" w:rsidRDefault="00AC0D3F" w:rsidP="007C7FDA">
            <w:pPr>
              <w:spacing w:before="60" w:after="60"/>
            </w:pPr>
            <w:r w:rsidRPr="00016242">
              <w:t>Fixed term</w:t>
            </w:r>
          </w:p>
        </w:tc>
        <w:tc>
          <w:tcPr>
            <w:tcW w:w="6945" w:type="dxa"/>
          </w:tcPr>
          <w:p w14:paraId="3F5B9753" w14:textId="46FAAB66" w:rsidR="003F70C4" w:rsidRPr="009D1A78" w:rsidRDefault="0063405F" w:rsidP="007C7FDA">
            <w:pPr>
              <w:spacing w:before="60" w:after="60"/>
            </w:pPr>
            <w:r w:rsidRPr="009D1A78">
              <w:t>Appointment for a specific term up to 5 years</w:t>
            </w:r>
            <w:r w:rsidR="003F70C4" w:rsidRPr="009D1A78">
              <w:t>.</w:t>
            </w:r>
          </w:p>
        </w:tc>
      </w:tr>
      <w:tr w:rsidR="002B031B" w14:paraId="164BB4E0" w14:textId="77777777" w:rsidTr="00AC0D3F">
        <w:tc>
          <w:tcPr>
            <w:tcW w:w="2405" w:type="dxa"/>
          </w:tcPr>
          <w:p w14:paraId="02887390" w14:textId="47C3BDC7" w:rsidR="002B031B" w:rsidRPr="00016242" w:rsidRDefault="002B031B" w:rsidP="007C7FDA">
            <w:pPr>
              <w:spacing w:before="60" w:after="60"/>
            </w:pPr>
            <w:r>
              <w:t xml:space="preserve">Fixed term </w:t>
            </w:r>
            <w:r w:rsidR="00B747EF">
              <w:t>vacancy</w:t>
            </w:r>
          </w:p>
        </w:tc>
        <w:tc>
          <w:tcPr>
            <w:tcW w:w="6945" w:type="dxa"/>
          </w:tcPr>
          <w:p w14:paraId="47C61CCD" w14:textId="50CB2124" w:rsidR="002B031B" w:rsidRPr="009D1A78" w:rsidRDefault="00B747EF" w:rsidP="007C7FDA">
            <w:pPr>
              <w:spacing w:before="60" w:after="60"/>
            </w:pPr>
            <w:r>
              <w:t>Vacancy that is for a finite period and does not have a substantive occupant.</w:t>
            </w:r>
          </w:p>
        </w:tc>
      </w:tr>
      <w:tr w:rsidR="00793E8E" w14:paraId="7DC8CC4D" w14:textId="77777777" w:rsidTr="00AC0D3F">
        <w:tc>
          <w:tcPr>
            <w:tcW w:w="2405" w:type="dxa"/>
          </w:tcPr>
          <w:p w14:paraId="3CD05C99" w14:textId="5B8A185F" w:rsidR="00AC0D3F" w:rsidRPr="00016242" w:rsidRDefault="00AC0D3F" w:rsidP="007C7FDA">
            <w:pPr>
              <w:spacing w:before="60" w:after="60"/>
            </w:pPr>
            <w:r w:rsidRPr="00016242">
              <w:t>Limited search</w:t>
            </w:r>
          </w:p>
        </w:tc>
        <w:tc>
          <w:tcPr>
            <w:tcW w:w="6945" w:type="dxa"/>
          </w:tcPr>
          <w:p w14:paraId="16A3EB8A" w14:textId="77777777" w:rsidR="00AC37C6" w:rsidRDefault="00000723" w:rsidP="007C7FDA">
            <w:pPr>
              <w:spacing w:before="60" w:after="60"/>
            </w:pPr>
            <w:r w:rsidRPr="009D1A78">
              <w:t>Recruitment directed towards identifying applicants and involves one or more of the following methods:</w:t>
            </w:r>
          </w:p>
          <w:p w14:paraId="79D0A709" w14:textId="194BAE0E" w:rsidR="00AC37C6" w:rsidRDefault="00935548" w:rsidP="007C7FDA">
            <w:pPr>
              <w:pStyle w:val="ListParagraph"/>
              <w:numPr>
                <w:ilvl w:val="0"/>
                <w:numId w:val="44"/>
              </w:numPr>
              <w:spacing w:before="60" w:after="60"/>
              <w:ind w:left="457" w:hanging="425"/>
            </w:pPr>
            <w:hyperlink r:id="rId18" w:history="1">
              <w:r>
                <w:rPr>
                  <w:rStyle w:val="Hyperlink"/>
                </w:rPr>
                <w:t>A</w:t>
              </w:r>
              <w:r w:rsidR="00B765D4" w:rsidRPr="00C344F2">
                <w:rPr>
                  <w:rStyle w:val="Hyperlink"/>
                </w:rPr>
                <w:t>pplicant</w:t>
              </w:r>
              <w:r>
                <w:rPr>
                  <w:rStyle w:val="Hyperlink"/>
                </w:rPr>
                <w:t xml:space="preserve"> </w:t>
              </w:r>
              <w:r w:rsidR="00B765D4" w:rsidRPr="00C344F2">
                <w:rPr>
                  <w:rStyle w:val="Hyperlink"/>
                </w:rPr>
                <w:t>initiated</w:t>
              </w:r>
              <w:r w:rsidR="00000723" w:rsidRPr="00C344F2">
                <w:rPr>
                  <w:rStyle w:val="Hyperlink"/>
                </w:rPr>
                <w:t xml:space="preserve"> approach</w:t>
              </w:r>
            </w:hyperlink>
          </w:p>
          <w:p w14:paraId="47D12694" w14:textId="07611CCA" w:rsidR="00AC37C6" w:rsidRDefault="00935548" w:rsidP="007C7FDA">
            <w:pPr>
              <w:pStyle w:val="ListParagraph"/>
              <w:numPr>
                <w:ilvl w:val="0"/>
                <w:numId w:val="44"/>
              </w:numPr>
              <w:spacing w:before="60" w:after="60"/>
              <w:ind w:left="457" w:hanging="425"/>
            </w:pPr>
            <w:hyperlink r:id="rId19" w:history="1">
              <w:r>
                <w:rPr>
                  <w:rStyle w:val="Hyperlink"/>
                </w:rPr>
                <w:t>R</w:t>
              </w:r>
              <w:r w:rsidR="00000723" w:rsidRPr="00757055">
                <w:rPr>
                  <w:rStyle w:val="Hyperlink"/>
                </w:rPr>
                <w:t>eferral</w:t>
              </w:r>
            </w:hyperlink>
          </w:p>
          <w:p w14:paraId="1B96E511" w14:textId="339A32B9" w:rsidR="00AC37C6" w:rsidRDefault="00935548" w:rsidP="007C7FDA">
            <w:pPr>
              <w:pStyle w:val="ListParagraph"/>
              <w:numPr>
                <w:ilvl w:val="0"/>
                <w:numId w:val="44"/>
              </w:numPr>
              <w:spacing w:before="60" w:after="60"/>
              <w:ind w:left="457" w:hanging="425"/>
            </w:pPr>
            <w:hyperlink r:id="rId20" w:history="1">
              <w:r>
                <w:rPr>
                  <w:rStyle w:val="Hyperlink"/>
                </w:rPr>
                <w:t>U</w:t>
              </w:r>
              <w:r w:rsidR="00000723" w:rsidRPr="00CE27F3">
                <w:rPr>
                  <w:rStyle w:val="Hyperlink"/>
                </w:rPr>
                <w:t>se of a recruitment consultant</w:t>
              </w:r>
            </w:hyperlink>
          </w:p>
          <w:p w14:paraId="207D30E0" w14:textId="24186F62" w:rsidR="00AC0D3F" w:rsidRPr="009D1A78" w:rsidRDefault="00935548" w:rsidP="007C7FDA">
            <w:pPr>
              <w:pStyle w:val="ListParagraph"/>
              <w:numPr>
                <w:ilvl w:val="0"/>
                <w:numId w:val="44"/>
              </w:numPr>
              <w:spacing w:before="60" w:after="60"/>
              <w:ind w:left="457" w:hanging="425"/>
            </w:pPr>
            <w:hyperlink r:id="rId21" w:history="1">
              <w:r>
                <w:rPr>
                  <w:rStyle w:val="Hyperlink"/>
                </w:rPr>
                <w:t>T</w:t>
              </w:r>
              <w:r w:rsidR="00000723" w:rsidRPr="00E0591C">
                <w:rPr>
                  <w:rStyle w:val="Hyperlink"/>
                </w:rPr>
                <w:t>argeted advertising</w:t>
              </w:r>
            </w:hyperlink>
          </w:p>
        </w:tc>
      </w:tr>
      <w:tr w:rsidR="00793E8E" w14:paraId="31904893" w14:textId="77777777" w:rsidTr="00AC0D3F">
        <w:tc>
          <w:tcPr>
            <w:tcW w:w="2405" w:type="dxa"/>
          </w:tcPr>
          <w:p w14:paraId="2CE4FA18" w14:textId="7106B1FB" w:rsidR="00000723" w:rsidRPr="00016242" w:rsidRDefault="00C32A0F" w:rsidP="007C7FDA">
            <w:pPr>
              <w:spacing w:before="60" w:after="60"/>
            </w:pPr>
            <w:r w:rsidRPr="00016242">
              <w:t>Permanent vacancy</w:t>
            </w:r>
          </w:p>
        </w:tc>
        <w:tc>
          <w:tcPr>
            <w:tcW w:w="6945" w:type="dxa"/>
          </w:tcPr>
          <w:p w14:paraId="675B386B" w14:textId="385C002F" w:rsidR="00000723" w:rsidRPr="009D1A78" w:rsidRDefault="00C32A0F" w:rsidP="007C7FDA">
            <w:pPr>
              <w:spacing w:before="60" w:after="60"/>
            </w:pPr>
            <w:r w:rsidRPr="009D1A78">
              <w:t xml:space="preserve">Position that is ongoing and does not have a substantive occupant. </w:t>
            </w:r>
          </w:p>
        </w:tc>
      </w:tr>
      <w:tr w:rsidR="00793E8E" w14:paraId="1A9A5131" w14:textId="77777777" w:rsidTr="00AC0D3F">
        <w:tc>
          <w:tcPr>
            <w:tcW w:w="2405" w:type="dxa"/>
          </w:tcPr>
          <w:p w14:paraId="4A0486AB" w14:textId="18E33EF1" w:rsidR="00000723" w:rsidRPr="00016242" w:rsidRDefault="00C32A0F" w:rsidP="007C7FDA">
            <w:pPr>
              <w:spacing w:before="60" w:after="60"/>
            </w:pPr>
            <w:r w:rsidRPr="00016242">
              <w:t>Recruitment</w:t>
            </w:r>
          </w:p>
        </w:tc>
        <w:tc>
          <w:tcPr>
            <w:tcW w:w="6945" w:type="dxa"/>
          </w:tcPr>
          <w:p w14:paraId="2AAF1A8D" w14:textId="485C778B" w:rsidR="001B41E9" w:rsidRPr="009D1A78" w:rsidRDefault="007A1877" w:rsidP="007C7FDA">
            <w:pPr>
              <w:spacing w:before="60" w:after="60"/>
            </w:pPr>
            <w:r w:rsidRPr="009D1A78">
              <w:t>Act of searching for and identifying applicants.</w:t>
            </w:r>
          </w:p>
        </w:tc>
      </w:tr>
      <w:tr w:rsidR="00793E8E" w14:paraId="59B1517B" w14:textId="77777777" w:rsidTr="00AC0D3F">
        <w:tc>
          <w:tcPr>
            <w:tcW w:w="2405" w:type="dxa"/>
          </w:tcPr>
          <w:p w14:paraId="2D298098" w14:textId="338BC8BD" w:rsidR="00000723" w:rsidRPr="00016242" w:rsidRDefault="00C32A0F" w:rsidP="007C7FDA">
            <w:pPr>
              <w:spacing w:before="60" w:after="60"/>
            </w:pPr>
            <w:r w:rsidRPr="00016242">
              <w:t xml:space="preserve">Recruitment </w:t>
            </w:r>
            <w:r w:rsidR="00391B31" w:rsidRPr="00016242">
              <w:t>consultant</w:t>
            </w:r>
          </w:p>
        </w:tc>
        <w:tc>
          <w:tcPr>
            <w:tcW w:w="6945" w:type="dxa"/>
          </w:tcPr>
          <w:p w14:paraId="2C371F1C" w14:textId="3ACF75D2" w:rsidR="001B41E9" w:rsidRPr="009D1A78" w:rsidRDefault="00391B31" w:rsidP="007C7FDA">
            <w:pPr>
              <w:spacing w:before="60" w:after="60"/>
            </w:pPr>
            <w:r w:rsidRPr="009D1A78">
              <w:t xml:space="preserve">Company/organisation that undertakes applicant search engaged under a contract for service through a </w:t>
            </w:r>
            <w:hyperlink r:id="rId22" w:history="1">
              <w:r w:rsidRPr="00233AB9">
                <w:rPr>
                  <w:rStyle w:val="Hyperlink"/>
                </w:rPr>
                <w:t>Common Use Arrangement</w:t>
              </w:r>
            </w:hyperlink>
            <w:r w:rsidRPr="009D1A78">
              <w:t>.</w:t>
            </w:r>
          </w:p>
        </w:tc>
      </w:tr>
      <w:tr w:rsidR="00793E8E" w14:paraId="1DC83602" w14:textId="77777777" w:rsidTr="00AC0D3F">
        <w:tc>
          <w:tcPr>
            <w:tcW w:w="2405" w:type="dxa"/>
          </w:tcPr>
          <w:p w14:paraId="5B7C4320" w14:textId="298D65CB" w:rsidR="003C6E08" w:rsidRPr="00016242" w:rsidRDefault="003C6E08" w:rsidP="007C7FDA">
            <w:pPr>
              <w:spacing w:before="60" w:after="60"/>
            </w:pPr>
            <w:r w:rsidRPr="00016242">
              <w:t>Recruitment pool</w:t>
            </w:r>
          </w:p>
        </w:tc>
        <w:tc>
          <w:tcPr>
            <w:tcW w:w="6945" w:type="dxa"/>
          </w:tcPr>
          <w:p w14:paraId="17E19713" w14:textId="37115B4D" w:rsidR="003C6E08" w:rsidRPr="009D1A78" w:rsidRDefault="003C6E08" w:rsidP="007C7FDA">
            <w:pPr>
              <w:spacing w:before="60" w:after="60"/>
            </w:pPr>
            <w:r w:rsidRPr="009D1A78">
              <w:t xml:space="preserve">Collection of suitable applicants maintained by a public sector body to fill future vacancies and operates: </w:t>
            </w:r>
          </w:p>
          <w:p w14:paraId="446D7251" w14:textId="6050B8E7" w:rsidR="003C6E08" w:rsidRPr="009D1A78" w:rsidRDefault="003C6E08" w:rsidP="007C7FDA">
            <w:pPr>
              <w:pStyle w:val="ListParagraph"/>
              <w:numPr>
                <w:ilvl w:val="0"/>
                <w:numId w:val="26"/>
              </w:numPr>
              <w:spacing w:before="60" w:after="60"/>
            </w:pPr>
            <w:r w:rsidRPr="009D1A78">
              <w:t xml:space="preserve">in an individual </w:t>
            </w:r>
            <w:r w:rsidR="009A48C1" w:rsidRPr="009D1A78">
              <w:t>a</w:t>
            </w:r>
            <w:r w:rsidR="009A48C1">
              <w:t>uthority</w:t>
            </w:r>
            <w:r w:rsidR="009A48C1" w:rsidRPr="009D1A78">
              <w:t xml:space="preserve"> </w:t>
            </w:r>
            <w:r w:rsidRPr="009D1A78">
              <w:t xml:space="preserve">or is shared between multiple </w:t>
            </w:r>
            <w:r w:rsidR="000524ED">
              <w:t xml:space="preserve">authorities </w:t>
            </w:r>
            <w:r w:rsidRPr="009D1A78">
              <w:t xml:space="preserve">and </w:t>
            </w:r>
          </w:p>
          <w:p w14:paraId="5377D1AC" w14:textId="77777777" w:rsidR="001B41E9" w:rsidRDefault="003C6E08" w:rsidP="007C7FDA">
            <w:pPr>
              <w:pStyle w:val="ListParagraph"/>
              <w:numPr>
                <w:ilvl w:val="0"/>
                <w:numId w:val="26"/>
              </w:numPr>
              <w:spacing w:before="60" w:after="60"/>
              <w:ind w:left="357" w:hanging="357"/>
              <w:contextualSpacing w:val="0"/>
            </w:pPr>
            <w:r w:rsidRPr="009D1A78">
              <w:t>for an ongoing period or a period that is specified.</w:t>
            </w:r>
          </w:p>
          <w:p w14:paraId="464E4843" w14:textId="4E4B4EA4" w:rsidR="00E241BA" w:rsidRDefault="00233AB9" w:rsidP="007C7FDA">
            <w:pPr>
              <w:spacing w:before="60" w:after="60"/>
            </w:pPr>
            <w:r>
              <w:t xml:space="preserve">An open pool has no fixed closing date as suitability requirements are less likely to change over time. Suitable </w:t>
            </w:r>
            <w:r>
              <w:lastRenderedPageBreak/>
              <w:t>applicants may be identified often and added to the pool while it remains active.</w:t>
            </w:r>
          </w:p>
          <w:p w14:paraId="4927FAAA" w14:textId="711F2D4C" w:rsidR="001B41E9" w:rsidRPr="009D1A78" w:rsidRDefault="00935548" w:rsidP="007C7FDA">
            <w:pPr>
              <w:spacing w:before="60" w:after="60"/>
            </w:pPr>
            <w:r>
              <w:t>A c</w:t>
            </w:r>
            <w:r w:rsidR="00E241BA" w:rsidRPr="00E241BA">
              <w:t>losed pool</w:t>
            </w:r>
            <w:r>
              <w:t xml:space="preserve"> is a </w:t>
            </w:r>
            <w:r w:rsidR="00E241BA" w:rsidRPr="00E241BA">
              <w:t>pool that ha</w:t>
            </w:r>
            <w:r>
              <w:t>s</w:t>
            </w:r>
            <w:r w:rsidR="00E241BA" w:rsidRPr="00E241BA">
              <w:t xml:space="preserve"> exhausted the list of people found suitable in the pool recruitment process, that ha</w:t>
            </w:r>
            <w:r>
              <w:t>s</w:t>
            </w:r>
            <w:r w:rsidR="00E241BA" w:rsidRPr="00E241BA">
              <w:t xml:space="preserve"> expired past </w:t>
            </w:r>
            <w:r w:rsidR="007C1A35">
              <w:t>its</w:t>
            </w:r>
            <w:r w:rsidR="007C1A35" w:rsidRPr="00E241BA">
              <w:t xml:space="preserve"> </w:t>
            </w:r>
            <w:r w:rsidR="00E241BA" w:rsidRPr="00E241BA">
              <w:t>close date or ha</w:t>
            </w:r>
            <w:r w:rsidR="007C1A35">
              <w:t>s</w:t>
            </w:r>
            <w:r w:rsidR="00E241BA" w:rsidRPr="00E241BA">
              <w:t xml:space="preserve"> been closed by </w:t>
            </w:r>
            <w:r w:rsidR="009A48C1">
              <w:t>authority decision.</w:t>
            </w:r>
          </w:p>
        </w:tc>
      </w:tr>
      <w:tr w:rsidR="00793E8E" w14:paraId="4CAD755A" w14:textId="77777777" w:rsidTr="00AC0D3F">
        <w:tc>
          <w:tcPr>
            <w:tcW w:w="2405" w:type="dxa"/>
          </w:tcPr>
          <w:p w14:paraId="028FD37F" w14:textId="5B38127E" w:rsidR="00000723" w:rsidRPr="00016242" w:rsidRDefault="00C32A0F" w:rsidP="007C7FDA">
            <w:pPr>
              <w:spacing w:before="60" w:after="60"/>
            </w:pPr>
            <w:r w:rsidRPr="00016242">
              <w:lastRenderedPageBreak/>
              <w:t>Referral</w:t>
            </w:r>
          </w:p>
        </w:tc>
        <w:tc>
          <w:tcPr>
            <w:tcW w:w="6945" w:type="dxa"/>
          </w:tcPr>
          <w:p w14:paraId="62B1739F" w14:textId="31EBF317" w:rsidR="001B41E9" w:rsidRPr="009D1A78" w:rsidRDefault="00D12E9F" w:rsidP="007C7FDA">
            <w:pPr>
              <w:spacing w:before="60" w:after="60"/>
            </w:pPr>
            <w:r w:rsidRPr="009D1A78">
              <w:t>Act of providing the details of an applicant or applicants following a request from a hiring manager.</w:t>
            </w:r>
          </w:p>
        </w:tc>
      </w:tr>
      <w:tr w:rsidR="00A125AF" w14:paraId="25584394" w14:textId="77777777" w:rsidTr="00AC0D3F">
        <w:tc>
          <w:tcPr>
            <w:tcW w:w="2405" w:type="dxa"/>
          </w:tcPr>
          <w:p w14:paraId="0DF76674" w14:textId="36DCD246" w:rsidR="00A125AF" w:rsidRPr="007B43B7" w:rsidRDefault="00A125AF" w:rsidP="007C7FDA">
            <w:pPr>
              <w:spacing w:before="60" w:after="60"/>
            </w:pPr>
            <w:r>
              <w:t>Shared pool</w:t>
            </w:r>
          </w:p>
        </w:tc>
        <w:tc>
          <w:tcPr>
            <w:tcW w:w="6945" w:type="dxa"/>
          </w:tcPr>
          <w:p w14:paraId="67222E54" w14:textId="7B57F4E7" w:rsidR="00A125AF" w:rsidRPr="007B43B7" w:rsidRDefault="007C1A35" w:rsidP="007C7FDA">
            <w:pPr>
              <w:spacing w:before="60" w:after="60"/>
            </w:pPr>
            <w:r>
              <w:t>F</w:t>
            </w:r>
            <w:r w:rsidR="00A125AF" w:rsidRPr="00A125AF">
              <w:t xml:space="preserve">ormed by </w:t>
            </w:r>
            <w:r>
              <w:t>2</w:t>
            </w:r>
            <w:r w:rsidRPr="00A125AF">
              <w:t xml:space="preserve"> </w:t>
            </w:r>
            <w:r w:rsidR="00A125AF" w:rsidRPr="00A125AF">
              <w:t xml:space="preserve">or more </w:t>
            </w:r>
            <w:r w:rsidR="009A48C1">
              <w:t>authorities,</w:t>
            </w:r>
            <w:r>
              <w:t xml:space="preserve"> with the p</w:t>
            </w:r>
            <w:r w:rsidRPr="00A125AF">
              <w:t>ool of people assessed as being suitable for appointment.</w:t>
            </w:r>
          </w:p>
        </w:tc>
      </w:tr>
      <w:tr w:rsidR="00F931CD" w14:paraId="6474CC10" w14:textId="77777777" w:rsidTr="00AC0D3F">
        <w:tc>
          <w:tcPr>
            <w:tcW w:w="2405" w:type="dxa"/>
          </w:tcPr>
          <w:p w14:paraId="67C0A042" w14:textId="620B22E7" w:rsidR="007B43B7" w:rsidRPr="00016242" w:rsidRDefault="007B43B7" w:rsidP="007C7FDA">
            <w:pPr>
              <w:spacing w:before="60" w:after="60"/>
            </w:pPr>
            <w:r w:rsidRPr="007B43B7">
              <w:t>Successful applicant</w:t>
            </w:r>
          </w:p>
        </w:tc>
        <w:tc>
          <w:tcPr>
            <w:tcW w:w="6945" w:type="dxa"/>
          </w:tcPr>
          <w:p w14:paraId="63D10334" w14:textId="18EC8583" w:rsidR="007B43B7" w:rsidRPr="009D1A78" w:rsidRDefault="007B43B7" w:rsidP="007C7FDA">
            <w:pPr>
              <w:spacing w:before="60" w:after="60"/>
            </w:pPr>
            <w:r w:rsidRPr="007B43B7">
              <w:t>Suitable applicant to be offered an appointment to the vacancy.</w:t>
            </w:r>
          </w:p>
        </w:tc>
      </w:tr>
      <w:tr w:rsidR="00793E8E" w14:paraId="0B02F113" w14:textId="77777777" w:rsidTr="00AC0D3F">
        <w:tc>
          <w:tcPr>
            <w:tcW w:w="2405" w:type="dxa"/>
          </w:tcPr>
          <w:p w14:paraId="357BDF54" w14:textId="4F8EE0CF" w:rsidR="00000723" w:rsidRPr="00016242" w:rsidRDefault="00AC6E1F" w:rsidP="007C7FDA">
            <w:pPr>
              <w:spacing w:before="60" w:after="60"/>
            </w:pPr>
            <w:r w:rsidRPr="00016242">
              <w:t>Surplus employees</w:t>
            </w:r>
          </w:p>
        </w:tc>
        <w:tc>
          <w:tcPr>
            <w:tcW w:w="6945" w:type="dxa"/>
          </w:tcPr>
          <w:p w14:paraId="6C3366FD" w14:textId="6ECE23E6" w:rsidR="001B41E9" w:rsidRPr="009D1A78" w:rsidRDefault="00FD08E6" w:rsidP="007C7FDA">
            <w:pPr>
              <w:spacing w:before="60" w:after="60"/>
            </w:pPr>
            <w:r>
              <w:t>Registrable and registered employees as defined in section 94(1A) (a), (b) and (c) of the PSM Act.</w:t>
            </w:r>
          </w:p>
        </w:tc>
      </w:tr>
      <w:tr w:rsidR="00793E8E" w14:paraId="2F1B3A2B" w14:textId="77777777" w:rsidTr="00064406">
        <w:trPr>
          <w:trHeight w:val="281"/>
        </w:trPr>
        <w:tc>
          <w:tcPr>
            <w:tcW w:w="2405" w:type="dxa"/>
          </w:tcPr>
          <w:p w14:paraId="733AB2FF" w14:textId="592B1388" w:rsidR="00000723" w:rsidRPr="00016242" w:rsidRDefault="00AC6E1F" w:rsidP="007C7FDA">
            <w:pPr>
              <w:spacing w:before="60" w:after="60"/>
            </w:pPr>
            <w:r w:rsidRPr="00016242">
              <w:t>Targeted advertising</w:t>
            </w:r>
          </w:p>
        </w:tc>
        <w:tc>
          <w:tcPr>
            <w:tcW w:w="6945" w:type="dxa"/>
          </w:tcPr>
          <w:p w14:paraId="2DF1C4E4" w14:textId="6EB2D532" w:rsidR="001B41E9" w:rsidRPr="009D1A78" w:rsidRDefault="009D1A78" w:rsidP="007C7FDA">
            <w:pPr>
              <w:spacing w:before="60" w:after="60"/>
            </w:pPr>
            <w:r w:rsidRPr="009D1A78">
              <w:t>Advertising to a limited group of people</w:t>
            </w:r>
            <w:r w:rsidR="006528DC">
              <w:t>.</w:t>
            </w:r>
          </w:p>
        </w:tc>
      </w:tr>
      <w:tr w:rsidR="00A44AD3" w14:paraId="3A7BD7AC" w14:textId="77777777" w:rsidTr="00064406">
        <w:trPr>
          <w:trHeight w:val="281"/>
        </w:trPr>
        <w:tc>
          <w:tcPr>
            <w:tcW w:w="2405" w:type="dxa"/>
          </w:tcPr>
          <w:p w14:paraId="35776407" w14:textId="2E328479" w:rsidR="00A44AD3" w:rsidRPr="00016242" w:rsidRDefault="00B9270B" w:rsidP="007C7FDA">
            <w:pPr>
              <w:spacing w:before="60" w:after="60"/>
            </w:pPr>
            <w:r w:rsidRPr="00A44AD3">
              <w:t>Temporary fill</w:t>
            </w:r>
          </w:p>
        </w:tc>
        <w:tc>
          <w:tcPr>
            <w:tcW w:w="6945" w:type="dxa"/>
          </w:tcPr>
          <w:p w14:paraId="404537D6" w14:textId="6511F234" w:rsidR="00A44AD3" w:rsidRPr="00CF3CCD" w:rsidRDefault="00F42231" w:rsidP="007C7FDA">
            <w:pPr>
              <w:spacing w:before="60" w:after="60"/>
              <w:rPr>
                <w:highlight w:val="yellow"/>
              </w:rPr>
            </w:pPr>
            <w:r w:rsidRPr="00C14B61">
              <w:t>F</w:t>
            </w:r>
            <w:r w:rsidR="00A44AD3" w:rsidRPr="00C14B61">
              <w:t>illing a permanent or fixed position that is currently vacant for a fixed period</w:t>
            </w:r>
            <w:r w:rsidR="00CF3CCD" w:rsidRPr="00C14B61">
              <w:t>.</w:t>
            </w:r>
            <w:r w:rsidR="007C1A35" w:rsidRPr="00C14B61">
              <w:t xml:space="preserve"> </w:t>
            </w:r>
          </w:p>
        </w:tc>
      </w:tr>
      <w:tr w:rsidR="00FB6BBA" w14:paraId="06B66D15" w14:textId="77777777" w:rsidTr="00064406">
        <w:trPr>
          <w:trHeight w:val="281"/>
        </w:trPr>
        <w:tc>
          <w:tcPr>
            <w:tcW w:w="2405" w:type="dxa"/>
          </w:tcPr>
          <w:p w14:paraId="375768CE" w14:textId="0F39589F" w:rsidR="00FB6BBA" w:rsidRPr="00016242" w:rsidRDefault="00FB6BBA" w:rsidP="007C7FDA">
            <w:pPr>
              <w:spacing w:before="60" w:after="60"/>
            </w:pPr>
            <w:r>
              <w:t>Time to hire</w:t>
            </w:r>
          </w:p>
        </w:tc>
        <w:tc>
          <w:tcPr>
            <w:tcW w:w="6945" w:type="dxa"/>
          </w:tcPr>
          <w:p w14:paraId="2F5C65B4" w14:textId="2B2DCD6A" w:rsidR="00FB6BBA" w:rsidRPr="009D1A78" w:rsidRDefault="003A48A7" w:rsidP="007C7FDA">
            <w:pPr>
              <w:spacing w:before="60" w:after="60"/>
            </w:pPr>
            <w:r>
              <w:t>Calculated</w:t>
            </w:r>
            <w:r w:rsidRPr="003A48A7">
              <w:t xml:space="preserve"> as the number of calendar days between the approval of a request to fill process or equivalent, and completion of the merit based selection process</w:t>
            </w:r>
            <w:r>
              <w:t>.</w:t>
            </w:r>
          </w:p>
        </w:tc>
      </w:tr>
      <w:tr w:rsidR="00793E8E" w14:paraId="00E23300" w14:textId="77777777" w:rsidTr="00AC0D3F">
        <w:tc>
          <w:tcPr>
            <w:tcW w:w="2405" w:type="dxa"/>
          </w:tcPr>
          <w:p w14:paraId="42934735" w14:textId="3CA241BA" w:rsidR="00000723" w:rsidRPr="00016242" w:rsidRDefault="00AC6E1F" w:rsidP="007C7FDA">
            <w:pPr>
              <w:spacing w:before="60" w:after="60"/>
            </w:pPr>
            <w:r w:rsidRPr="00016242">
              <w:t>Vacancy</w:t>
            </w:r>
          </w:p>
        </w:tc>
        <w:tc>
          <w:tcPr>
            <w:tcW w:w="6945" w:type="dxa"/>
          </w:tcPr>
          <w:p w14:paraId="271F8FF3" w14:textId="43E7D7EC" w:rsidR="001B41E9" w:rsidRPr="009D1A78" w:rsidRDefault="009D1A78" w:rsidP="007C7FDA">
            <w:pPr>
              <w:spacing w:before="60" w:after="60"/>
            </w:pPr>
            <w:r w:rsidRPr="009D1A78">
              <w:t>Vacant office, post or position whether on a temporary or permanent basis.</w:t>
            </w:r>
          </w:p>
        </w:tc>
      </w:tr>
    </w:tbl>
    <w:p w14:paraId="7946561C" w14:textId="77777777" w:rsidR="001B41E9" w:rsidRDefault="001B41E9" w:rsidP="00FB1142"/>
    <w:p w14:paraId="3324B174" w14:textId="77777777" w:rsidR="00C27B7B" w:rsidRDefault="00C27B7B" w:rsidP="00FB1142"/>
    <w:p w14:paraId="1D050907" w14:textId="77777777" w:rsidR="00F1288E" w:rsidRDefault="00F1288E" w:rsidP="00FB1142">
      <w:pPr>
        <w:sectPr w:rsidR="00F1288E" w:rsidSect="00E51A91">
          <w:headerReference w:type="default" r:id="rId23"/>
          <w:headerReference w:type="first" r:id="rId24"/>
          <w:pgSz w:w="12240" w:h="15840"/>
          <w:pgMar w:top="1440" w:right="1183" w:bottom="1440" w:left="1134" w:header="720" w:footer="720" w:gutter="0"/>
          <w:cols w:space="720"/>
          <w:titlePg/>
          <w:docGrid w:linePitch="360"/>
        </w:sectPr>
      </w:pPr>
    </w:p>
    <w:p w14:paraId="3DE65DDC" w14:textId="53958A7C" w:rsidR="269DED0F" w:rsidRPr="00F1288E" w:rsidRDefault="001F4669" w:rsidP="00297DFC">
      <w:pPr>
        <w:pStyle w:val="Heading2"/>
      </w:pPr>
      <w:r w:rsidRPr="00CB0770">
        <w:lastRenderedPageBreak/>
        <w:t xml:space="preserve">September 2026 </w:t>
      </w:r>
      <w:r w:rsidR="00DB7957" w:rsidRPr="00CB0770">
        <w:t>collection</w:t>
      </w:r>
      <w:r w:rsidR="007311FB" w:rsidRPr="00CB0770">
        <w:t xml:space="preserve"> – Tranche 1</w:t>
      </w:r>
    </w:p>
    <w:p w14:paraId="244F0015" w14:textId="191E1D8C" w:rsidR="001F4669" w:rsidRDefault="000C5800" w:rsidP="00ED0AD4">
      <w:pPr>
        <w:pStyle w:val="Heading3"/>
        <w:spacing w:after="240"/>
      </w:pPr>
      <w:r w:rsidRPr="009D320E">
        <w:t>Section A</w:t>
      </w:r>
      <w:r w:rsidR="009335EF" w:rsidRPr="009D320E">
        <w:t>:</w:t>
      </w:r>
      <w:r w:rsidRPr="009D320E">
        <w:t xml:space="preserve"> </w:t>
      </w:r>
      <w:r w:rsidR="00002F3B">
        <w:t>Vacancies</w:t>
      </w:r>
      <w:r w:rsidRPr="009D320E">
        <w:t xml:space="preserve"> Filled</w:t>
      </w:r>
    </w:p>
    <w:p w14:paraId="11490D5F" w14:textId="307CE3F5" w:rsidR="00A24943" w:rsidRPr="006E2C67" w:rsidRDefault="00A24943" w:rsidP="00A24943">
      <w:pPr>
        <w:pStyle w:val="Title"/>
      </w:pPr>
      <w:r w:rsidRPr="00C54149">
        <w:t>Section guidance notes</w:t>
      </w:r>
    </w:p>
    <w:p w14:paraId="39DDE939" w14:textId="4065B22F" w:rsidR="00A24943" w:rsidRPr="00A24943" w:rsidRDefault="00F20906" w:rsidP="00A24943">
      <w:pPr>
        <w:shd w:val="clear" w:color="auto" w:fill="EBE4EC"/>
        <w:spacing w:after="120" w:line="259" w:lineRule="auto"/>
        <w:rPr>
          <w:rFonts w:eastAsia="Calibri"/>
        </w:rPr>
      </w:pPr>
      <w:r w:rsidRPr="00247030">
        <w:rPr>
          <w:rFonts w:eastAsia="Calibri"/>
        </w:rPr>
        <w:t>Count filling a vacancy as any instance of</w:t>
      </w:r>
      <w:r w:rsidR="0024769E" w:rsidRPr="00247030">
        <w:rPr>
          <w:rFonts w:eastAsia="Calibri"/>
        </w:rPr>
        <w:t xml:space="preserve"> filling</w:t>
      </w:r>
      <w:r w:rsidR="0024769E">
        <w:rPr>
          <w:rFonts w:eastAsia="Calibri"/>
        </w:rPr>
        <w:t xml:space="preserve">. </w:t>
      </w:r>
      <w:r w:rsidR="008F55AE" w:rsidRPr="00B64F7A">
        <w:t>This includes</w:t>
      </w:r>
      <w:r w:rsidR="008F55AE">
        <w:rPr>
          <w:rFonts w:eastAsia="Calibri"/>
        </w:rPr>
        <w:t xml:space="preserve"> all </w:t>
      </w:r>
      <w:r w:rsidR="008F55AE" w:rsidRPr="00B64F7A">
        <w:t>occasions where</w:t>
      </w:r>
      <w:r w:rsidR="008F55AE">
        <w:rPr>
          <w:rFonts w:eastAsia="Calibri"/>
        </w:rPr>
        <w:t xml:space="preserve"> the same position </w:t>
      </w:r>
      <w:r w:rsidR="008F55AE" w:rsidRPr="00B64F7A">
        <w:t>is filled again</w:t>
      </w:r>
      <w:r w:rsidR="008F55AE">
        <w:t xml:space="preserve">, </w:t>
      </w:r>
      <w:r w:rsidR="008F55AE" w:rsidRPr="00B64F7A">
        <w:t>whether</w:t>
      </w:r>
      <w:r w:rsidR="008F55AE">
        <w:rPr>
          <w:rFonts w:eastAsia="Calibri"/>
        </w:rPr>
        <w:t xml:space="preserve"> substantively or temporarily, </w:t>
      </w:r>
      <w:r w:rsidR="008F55AE" w:rsidRPr="00B64F7A">
        <w:t>if it becomes vacant</w:t>
      </w:r>
      <w:r w:rsidR="008F55AE">
        <w:rPr>
          <w:rFonts w:eastAsia="Calibri"/>
        </w:rPr>
        <w:t xml:space="preserve"> during the reference period.</w:t>
      </w:r>
    </w:p>
    <w:p w14:paraId="6055C360" w14:textId="4DEC4AC0" w:rsidR="00854139" w:rsidRPr="00002F3B" w:rsidRDefault="119B5BF1" w:rsidP="00002F3B">
      <w:pPr>
        <w:numPr>
          <w:ilvl w:val="0"/>
          <w:numId w:val="19"/>
        </w:numPr>
        <w:spacing w:before="240" w:after="120" w:line="259" w:lineRule="auto"/>
        <w:ind w:left="709" w:hanging="709"/>
        <w:rPr>
          <w:b/>
          <w:bCs/>
        </w:rPr>
      </w:pPr>
      <w:r w:rsidRPr="00002F3B">
        <w:rPr>
          <w:b/>
          <w:bCs/>
        </w:rPr>
        <w:t xml:space="preserve">How many permanent </w:t>
      </w:r>
      <w:r w:rsidR="00EF2683" w:rsidRPr="00002F3B">
        <w:rPr>
          <w:b/>
          <w:bCs/>
        </w:rPr>
        <w:t>vacancies</w:t>
      </w:r>
      <w:r w:rsidRPr="00002F3B">
        <w:rPr>
          <w:b/>
          <w:bCs/>
        </w:rPr>
        <w:t xml:space="preserve"> were filled at your authority in the period 1 July 2026 to 30 September 2026?</w:t>
      </w:r>
    </w:p>
    <w:p w14:paraId="484B18BC" w14:textId="00B90FC9" w:rsidR="269DED0F" w:rsidRDefault="003D3D6B" w:rsidP="00002F3B">
      <w:pPr>
        <w:ind w:firstLine="709"/>
      </w:pPr>
      <w:r w:rsidRPr="005934BC">
        <w:t xml:space="preserve">Total number </w:t>
      </w:r>
      <w:r w:rsidRPr="00FB1142">
        <w:t>of</w:t>
      </w:r>
      <w:r w:rsidRPr="005934BC">
        <w:t xml:space="preserve"> permanent </w:t>
      </w:r>
      <w:r w:rsidR="00EF2683" w:rsidRPr="005934BC">
        <w:t>vacancies</w:t>
      </w:r>
      <w:r w:rsidRPr="00406553">
        <w:t xml:space="preserve"> filled (if none, enter ‘0’)</w:t>
      </w:r>
      <w:r w:rsidR="00DB1B3D" w:rsidRPr="00406553">
        <w:t xml:space="preserve"> </w:t>
      </w:r>
      <w:r w:rsidR="00DB1B3D">
        <w:fldChar w:fldCharType="begin">
          <w:ffData>
            <w:name w:val="Text9"/>
            <w:enabled/>
            <w:calcOnExit w:val="0"/>
            <w:textInput/>
          </w:ffData>
        </w:fldChar>
      </w:r>
      <w:r w:rsidR="00DB1B3D">
        <w:instrText xml:space="preserve"> FORMTEXT </w:instrText>
      </w:r>
      <w:r w:rsidR="00DB1B3D">
        <w:fldChar w:fldCharType="separate"/>
      </w:r>
      <w:r w:rsidR="00DB1B3D">
        <w:t> </w:t>
      </w:r>
      <w:r w:rsidR="00DB1B3D">
        <w:t> </w:t>
      </w:r>
      <w:r w:rsidR="00DB1B3D">
        <w:t> </w:t>
      </w:r>
      <w:r w:rsidR="00DB1B3D">
        <w:t> </w:t>
      </w:r>
      <w:r w:rsidR="00DB1B3D">
        <w:t> </w:t>
      </w:r>
      <w:r w:rsidR="00DB1B3D">
        <w:fldChar w:fldCharType="end"/>
      </w:r>
    </w:p>
    <w:p w14:paraId="71EECB50" w14:textId="3873EFA2" w:rsidR="00660480" w:rsidRPr="006E2C67" w:rsidRDefault="00660480" w:rsidP="006E2C67">
      <w:pPr>
        <w:pStyle w:val="Title"/>
      </w:pPr>
      <w:r w:rsidRPr="006E2C67">
        <w:t>Guidance notes</w:t>
      </w:r>
    </w:p>
    <w:p w14:paraId="70FA9F44" w14:textId="59E0B16A" w:rsidR="00660480" w:rsidRPr="00660480" w:rsidRDefault="00247030" w:rsidP="00660480">
      <w:pPr>
        <w:shd w:val="clear" w:color="auto" w:fill="EBE4EC"/>
        <w:spacing w:after="120" w:line="259" w:lineRule="auto"/>
        <w:rPr>
          <w:rFonts w:eastAsia="Calibri"/>
        </w:rPr>
      </w:pPr>
      <w:r>
        <w:rPr>
          <w:rFonts w:eastAsia="Calibri"/>
        </w:rPr>
        <w:t xml:space="preserve">Include the number of appointments to </w:t>
      </w:r>
      <w:r>
        <w:t>any p</w:t>
      </w:r>
      <w:r w:rsidRPr="009D1A78">
        <w:t>osition that is ongoing and does not have a substantive occupant</w:t>
      </w:r>
      <w:r>
        <w:rPr>
          <w:rFonts w:eastAsia="Calibri"/>
        </w:rPr>
        <w:t xml:space="preserve"> in the reference period. </w:t>
      </w:r>
    </w:p>
    <w:p w14:paraId="155EC099" w14:textId="194B31E1" w:rsidR="00FC3B4E" w:rsidRPr="00002F3B" w:rsidRDefault="00FC3B4E" w:rsidP="00002F3B">
      <w:pPr>
        <w:numPr>
          <w:ilvl w:val="0"/>
          <w:numId w:val="19"/>
        </w:numPr>
        <w:spacing w:before="240" w:after="120" w:line="259" w:lineRule="auto"/>
        <w:ind w:left="709" w:hanging="709"/>
        <w:rPr>
          <w:b/>
          <w:bCs/>
        </w:rPr>
      </w:pPr>
      <w:r w:rsidRPr="00002F3B">
        <w:rPr>
          <w:b/>
          <w:bCs/>
        </w:rPr>
        <w:t xml:space="preserve">For the </w:t>
      </w:r>
      <w:r w:rsidR="001B314B" w:rsidRPr="00002F3B">
        <w:rPr>
          <w:b/>
          <w:bCs/>
        </w:rPr>
        <w:t xml:space="preserve">[answer from A1] </w:t>
      </w:r>
      <w:r w:rsidRPr="00002F3B">
        <w:rPr>
          <w:b/>
          <w:bCs/>
        </w:rPr>
        <w:t xml:space="preserve">permanent </w:t>
      </w:r>
      <w:r w:rsidR="00EF2683" w:rsidRPr="00002F3B">
        <w:rPr>
          <w:b/>
          <w:bCs/>
        </w:rPr>
        <w:t>vacancies</w:t>
      </w:r>
      <w:r w:rsidRPr="00002F3B">
        <w:rPr>
          <w:b/>
          <w:bCs/>
        </w:rPr>
        <w:t> filled</w:t>
      </w:r>
      <w:r w:rsidR="007C1A35">
        <w:rPr>
          <w:b/>
          <w:bCs/>
        </w:rPr>
        <w:t>,</w:t>
      </w:r>
      <w:r w:rsidRPr="00002F3B">
        <w:rPr>
          <w:b/>
          <w:bCs/>
        </w:rPr>
        <w:t xml:space="preserve"> what was the process used to fill these </w:t>
      </w:r>
      <w:r w:rsidR="00EF2683" w:rsidRPr="00002F3B">
        <w:rPr>
          <w:b/>
          <w:bCs/>
        </w:rPr>
        <w:t>vacancies</w:t>
      </w:r>
      <w:r w:rsidRPr="00002F3B">
        <w:rPr>
          <w:b/>
          <w:bCs/>
        </w:rPr>
        <w:t>? (if none, enter ‘0’) </w:t>
      </w:r>
    </w:p>
    <w:tbl>
      <w:tblPr>
        <w:tblStyle w:val="TableGrid"/>
        <w:tblpPr w:leftFromText="180" w:rightFromText="180" w:vertAnchor="text" w:horzAnchor="margin" w:tblpX="704" w:tblpY="37"/>
        <w:tblW w:w="4318" w:type="pct"/>
        <w:tblCellMar>
          <w:top w:w="85" w:type="dxa"/>
          <w:left w:w="85" w:type="dxa"/>
          <w:bottom w:w="85" w:type="dxa"/>
          <w:right w:w="85" w:type="dxa"/>
        </w:tblCellMar>
        <w:tblLook w:val="04A0" w:firstRow="1" w:lastRow="0" w:firstColumn="1" w:lastColumn="0" w:noHBand="0" w:noVBand="1"/>
      </w:tblPr>
      <w:tblGrid>
        <w:gridCol w:w="3823"/>
        <w:gridCol w:w="4252"/>
      </w:tblGrid>
      <w:tr w:rsidR="00793E8E" w:rsidRPr="006C1BB8" w14:paraId="798C4F93" w14:textId="77777777" w:rsidTr="009C439F">
        <w:trPr>
          <w:trHeight w:val="42"/>
        </w:trPr>
        <w:tc>
          <w:tcPr>
            <w:tcW w:w="2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597582" w14:textId="77777777" w:rsidR="000F677B" w:rsidRPr="006C1BB8" w:rsidRDefault="000F677B" w:rsidP="007C7FDA">
            <w:pPr>
              <w:spacing w:before="60"/>
              <w:rPr>
                <w:rFonts w:eastAsiaTheme="minorEastAsia"/>
              </w:rPr>
            </w:pPr>
            <w:r>
              <w:t>Process to fill vacancies</w:t>
            </w:r>
          </w:p>
        </w:tc>
        <w:tc>
          <w:tcPr>
            <w:tcW w:w="2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57" w:type="dxa"/>
              <w:bottom w:w="85" w:type="dxa"/>
              <w:right w:w="57" w:type="dxa"/>
            </w:tcMar>
            <w:vAlign w:val="center"/>
            <w:hideMark/>
          </w:tcPr>
          <w:p w14:paraId="2DFDB818" w14:textId="77777777" w:rsidR="000F677B" w:rsidRPr="006C1BB8" w:rsidRDefault="000F677B" w:rsidP="007C7FDA">
            <w:pPr>
              <w:spacing w:before="60"/>
              <w:rPr>
                <w:rFonts w:eastAsiaTheme="minorEastAsia"/>
              </w:rPr>
            </w:pPr>
            <w:r>
              <w:t>Number of permanent vacancies filled</w:t>
            </w:r>
          </w:p>
        </w:tc>
      </w:tr>
      <w:tr w:rsidR="00793E8E" w:rsidRPr="006C1BB8" w14:paraId="550345D9" w14:textId="77777777" w:rsidTr="009C439F">
        <w:tc>
          <w:tcPr>
            <w:tcW w:w="2367" w:type="pct"/>
            <w:tcBorders>
              <w:top w:val="single" w:sz="4" w:space="0" w:color="auto"/>
              <w:left w:val="single" w:sz="4" w:space="0" w:color="auto"/>
              <w:bottom w:val="single" w:sz="4" w:space="0" w:color="auto"/>
              <w:right w:val="single" w:sz="4" w:space="0" w:color="auto"/>
            </w:tcBorders>
            <w:vAlign w:val="center"/>
            <w:hideMark/>
          </w:tcPr>
          <w:p w14:paraId="16D5B8F6" w14:textId="77777777" w:rsidR="000F677B" w:rsidRPr="002E4AC2" w:rsidRDefault="000F677B" w:rsidP="007C7FDA">
            <w:pPr>
              <w:pStyle w:val="ListParagraph"/>
              <w:numPr>
                <w:ilvl w:val="0"/>
                <w:numId w:val="24"/>
              </w:numPr>
              <w:spacing w:before="60"/>
            </w:pPr>
            <w:r w:rsidRPr="002E4AC2">
              <w:t>General advertising</w:t>
            </w:r>
          </w:p>
        </w:tc>
        <w:tc>
          <w:tcPr>
            <w:tcW w:w="2633" w:type="pct"/>
            <w:tcBorders>
              <w:top w:val="single" w:sz="4" w:space="0" w:color="auto"/>
              <w:left w:val="single" w:sz="4" w:space="0" w:color="auto"/>
              <w:bottom w:val="single" w:sz="4" w:space="0" w:color="auto"/>
              <w:right w:val="single" w:sz="4" w:space="0" w:color="auto"/>
            </w:tcBorders>
            <w:vAlign w:val="center"/>
          </w:tcPr>
          <w:p w14:paraId="202560E7" w14:textId="77777777" w:rsidR="000F677B" w:rsidRPr="006C1BB8" w:rsidRDefault="000F677B" w:rsidP="007C7FDA">
            <w:pPr>
              <w:spacing w:before="60"/>
            </w:pPr>
          </w:p>
        </w:tc>
      </w:tr>
      <w:tr w:rsidR="00793E8E" w:rsidRPr="006C1BB8" w14:paraId="7474A213" w14:textId="77777777" w:rsidTr="009C439F">
        <w:tc>
          <w:tcPr>
            <w:tcW w:w="2367" w:type="pct"/>
            <w:tcBorders>
              <w:top w:val="single" w:sz="4" w:space="0" w:color="auto"/>
              <w:left w:val="single" w:sz="4" w:space="0" w:color="auto"/>
              <w:bottom w:val="single" w:sz="4" w:space="0" w:color="auto"/>
              <w:right w:val="single" w:sz="4" w:space="0" w:color="auto"/>
            </w:tcBorders>
            <w:vAlign w:val="center"/>
            <w:hideMark/>
          </w:tcPr>
          <w:p w14:paraId="799B7E0E" w14:textId="77777777" w:rsidR="000F677B" w:rsidRPr="002E4AC2" w:rsidRDefault="000F677B" w:rsidP="007C7FDA">
            <w:pPr>
              <w:pStyle w:val="ListParagraph"/>
              <w:numPr>
                <w:ilvl w:val="0"/>
                <w:numId w:val="24"/>
              </w:numPr>
              <w:spacing w:before="60"/>
            </w:pPr>
            <w:r w:rsidRPr="002E4AC2">
              <w:t>Limited search</w:t>
            </w:r>
          </w:p>
        </w:tc>
        <w:tc>
          <w:tcPr>
            <w:tcW w:w="2633" w:type="pct"/>
            <w:tcBorders>
              <w:top w:val="single" w:sz="4" w:space="0" w:color="auto"/>
              <w:left w:val="single" w:sz="4" w:space="0" w:color="auto"/>
              <w:bottom w:val="single" w:sz="4" w:space="0" w:color="auto"/>
              <w:right w:val="single" w:sz="4" w:space="0" w:color="auto"/>
            </w:tcBorders>
            <w:vAlign w:val="center"/>
          </w:tcPr>
          <w:p w14:paraId="5D3FD253" w14:textId="77777777" w:rsidR="000F677B" w:rsidRPr="006C1BB8" w:rsidRDefault="000F677B" w:rsidP="007C7FDA">
            <w:pPr>
              <w:spacing w:before="60"/>
            </w:pPr>
          </w:p>
        </w:tc>
      </w:tr>
    </w:tbl>
    <w:p w14:paraId="72FBC6CF" w14:textId="77777777" w:rsidR="00D45CB6" w:rsidRPr="006C1BB8" w:rsidRDefault="00D45CB6" w:rsidP="00FB1142"/>
    <w:p w14:paraId="0C8B7C8F" w14:textId="77777777" w:rsidR="00FC3B4E" w:rsidRPr="00231992" w:rsidRDefault="00FC3B4E" w:rsidP="00FB1142"/>
    <w:p w14:paraId="27766AB7" w14:textId="77777777" w:rsidR="007A7D30" w:rsidRDefault="007A7D30" w:rsidP="00FB1142">
      <w:pPr>
        <w:pStyle w:val="ListParagraph"/>
      </w:pPr>
    </w:p>
    <w:p w14:paraId="714B641B" w14:textId="744C4DCD" w:rsidR="007A7D30" w:rsidRDefault="007A7D30" w:rsidP="00FB1142">
      <w:pPr>
        <w:pStyle w:val="ListParagraph"/>
      </w:pPr>
      <w:r>
        <w:t xml:space="preserve"> </w:t>
      </w:r>
    </w:p>
    <w:p w14:paraId="260AA240" w14:textId="77777777" w:rsidR="00444571" w:rsidRPr="006E2C67" w:rsidRDefault="00444571" w:rsidP="00444571">
      <w:pPr>
        <w:pStyle w:val="Title"/>
      </w:pPr>
      <w:r w:rsidRPr="006E2C67">
        <w:t>Guidance notes</w:t>
      </w:r>
    </w:p>
    <w:p w14:paraId="518BA1AA" w14:textId="2D6D53EE" w:rsidR="00F91546" w:rsidRPr="00660480" w:rsidRDefault="00F91546" w:rsidP="00444571">
      <w:pPr>
        <w:shd w:val="clear" w:color="auto" w:fill="EBE4EC"/>
        <w:spacing w:after="120" w:line="259" w:lineRule="auto"/>
        <w:rPr>
          <w:rFonts w:eastAsia="Calibri"/>
        </w:rPr>
      </w:pPr>
      <w:r>
        <w:rPr>
          <w:rFonts w:eastAsia="Calibri"/>
        </w:rPr>
        <w:t xml:space="preserve">The total </w:t>
      </w:r>
      <w:r w:rsidR="00696567">
        <w:rPr>
          <w:rFonts w:eastAsia="Calibri"/>
        </w:rPr>
        <w:t xml:space="preserve">number </w:t>
      </w:r>
      <w:r>
        <w:rPr>
          <w:rFonts w:eastAsia="Calibri"/>
        </w:rPr>
        <w:t xml:space="preserve">entered in this question should not </w:t>
      </w:r>
      <w:r w:rsidR="004072B8">
        <w:rPr>
          <w:rFonts w:eastAsia="Calibri"/>
        </w:rPr>
        <w:t>be greater than</w:t>
      </w:r>
      <w:r>
        <w:rPr>
          <w:rFonts w:eastAsia="Calibri"/>
        </w:rPr>
        <w:t xml:space="preserve"> the answer to question A1.</w:t>
      </w:r>
    </w:p>
    <w:p w14:paraId="39DFAA8B" w14:textId="77777777" w:rsidR="0073267F" w:rsidRDefault="0073267F" w:rsidP="00D40CEC">
      <w:pPr>
        <w:spacing w:before="240" w:after="120" w:line="259" w:lineRule="auto"/>
        <w:ind w:left="709"/>
      </w:pPr>
    </w:p>
    <w:p w14:paraId="5BAD5768" w14:textId="77777777" w:rsidR="0073267F" w:rsidRDefault="0073267F">
      <w:r>
        <w:br w:type="page"/>
      </w:r>
    </w:p>
    <w:p w14:paraId="50C1D201" w14:textId="3DD21B3B" w:rsidR="000C3ABC" w:rsidRPr="00002F3B" w:rsidRDefault="000C3ABC" w:rsidP="000C3ABC">
      <w:pPr>
        <w:numPr>
          <w:ilvl w:val="0"/>
          <w:numId w:val="19"/>
        </w:numPr>
        <w:spacing w:before="240" w:after="120" w:line="259" w:lineRule="auto"/>
        <w:ind w:left="709" w:hanging="709"/>
        <w:rPr>
          <w:b/>
          <w:bCs/>
        </w:rPr>
      </w:pPr>
      <w:r w:rsidRPr="00002F3B">
        <w:rPr>
          <w:b/>
          <w:bCs/>
        </w:rPr>
        <w:lastRenderedPageBreak/>
        <w:t xml:space="preserve">How many </w:t>
      </w:r>
      <w:r w:rsidR="00B200EC">
        <w:rPr>
          <w:b/>
          <w:bCs/>
        </w:rPr>
        <w:t>fixed term</w:t>
      </w:r>
      <w:r w:rsidRPr="00002F3B">
        <w:rPr>
          <w:b/>
          <w:bCs/>
        </w:rPr>
        <w:t xml:space="preserve"> vacancies were filled at your authority in the period 1 July 2026 to 30 September 2026?</w:t>
      </w:r>
    </w:p>
    <w:p w14:paraId="36A24F60" w14:textId="5FC432B6" w:rsidR="000C3ABC" w:rsidRDefault="000C3ABC" w:rsidP="004B67F2">
      <w:pPr>
        <w:ind w:left="709"/>
      </w:pPr>
      <w:r w:rsidRPr="005934BC">
        <w:t xml:space="preserve">Total number </w:t>
      </w:r>
      <w:r w:rsidRPr="00FB1142">
        <w:t>of</w:t>
      </w:r>
      <w:r w:rsidRPr="005934BC">
        <w:t xml:space="preserve"> </w:t>
      </w:r>
      <w:r w:rsidR="00B200EC" w:rsidRPr="00B200EC">
        <w:t>fixed term</w:t>
      </w:r>
      <w:r w:rsidRPr="005934BC">
        <w:t xml:space="preserve"> vacancies</w:t>
      </w:r>
      <w:r w:rsidRPr="00406553">
        <w:t xml:space="preserve"> filled (if none, enter ‘0’) </w:t>
      </w: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p w14:paraId="1EF352F1" w14:textId="6CA5BA1D" w:rsidR="00B22BAA" w:rsidRPr="00B22BAA" w:rsidRDefault="000C3ABC" w:rsidP="00B22BAA">
      <w:pPr>
        <w:pStyle w:val="Title"/>
      </w:pPr>
      <w:r w:rsidRPr="006E2C67">
        <w:t>Guidance notes</w:t>
      </w:r>
    </w:p>
    <w:p w14:paraId="746732E6" w14:textId="1C031E08" w:rsidR="00C54149" w:rsidRPr="00C54149" w:rsidRDefault="00247030" w:rsidP="00C54149">
      <w:pPr>
        <w:pStyle w:val="Title"/>
        <w:rPr>
          <w:b w:val="0"/>
          <w:bCs w:val="0"/>
        </w:rPr>
      </w:pPr>
      <w:r w:rsidRPr="00C54149">
        <w:rPr>
          <w:b w:val="0"/>
          <w:bCs w:val="0"/>
        </w:rPr>
        <w:t xml:space="preserve">Include the number of appointments to any position that is for a specific term of up to 5 years and does not have a substantive occupant in the reference period. </w:t>
      </w:r>
    </w:p>
    <w:p w14:paraId="2DBEEC9C" w14:textId="64E13CFF" w:rsidR="000C3ABC" w:rsidRPr="00002F3B" w:rsidRDefault="000C3ABC" w:rsidP="000C3ABC">
      <w:pPr>
        <w:numPr>
          <w:ilvl w:val="0"/>
          <w:numId w:val="19"/>
        </w:numPr>
        <w:spacing w:before="240" w:after="120" w:line="259" w:lineRule="auto"/>
        <w:ind w:left="709" w:hanging="709"/>
        <w:rPr>
          <w:b/>
          <w:bCs/>
        </w:rPr>
      </w:pPr>
      <w:r w:rsidRPr="00002F3B">
        <w:rPr>
          <w:b/>
          <w:bCs/>
        </w:rPr>
        <w:t xml:space="preserve">For the [answer from </w:t>
      </w:r>
      <w:r w:rsidR="00937445" w:rsidRPr="00002F3B">
        <w:rPr>
          <w:b/>
          <w:bCs/>
        </w:rPr>
        <w:t>A</w:t>
      </w:r>
      <w:r w:rsidR="00937445">
        <w:rPr>
          <w:b/>
          <w:bCs/>
        </w:rPr>
        <w:t>3</w:t>
      </w:r>
      <w:r w:rsidRPr="00002F3B">
        <w:rPr>
          <w:b/>
          <w:bCs/>
        </w:rPr>
        <w:t xml:space="preserve">] </w:t>
      </w:r>
      <w:r w:rsidR="00B200EC">
        <w:rPr>
          <w:b/>
          <w:bCs/>
        </w:rPr>
        <w:t>fixed term</w:t>
      </w:r>
      <w:r w:rsidRPr="00002F3B">
        <w:rPr>
          <w:b/>
          <w:bCs/>
        </w:rPr>
        <w:t xml:space="preserve"> vacancies filled</w:t>
      </w:r>
      <w:r w:rsidR="007C1A35">
        <w:rPr>
          <w:b/>
          <w:bCs/>
        </w:rPr>
        <w:t>,</w:t>
      </w:r>
      <w:r w:rsidRPr="00002F3B">
        <w:rPr>
          <w:b/>
          <w:bCs/>
        </w:rPr>
        <w:t xml:space="preserve"> what was the process used to fill these vacancies? (if none, enter ‘0’) </w:t>
      </w:r>
    </w:p>
    <w:tbl>
      <w:tblPr>
        <w:tblStyle w:val="TableGrid"/>
        <w:tblpPr w:leftFromText="180" w:rightFromText="180" w:vertAnchor="text" w:horzAnchor="margin" w:tblpX="704" w:tblpY="37"/>
        <w:tblW w:w="4318" w:type="pct"/>
        <w:tblCellMar>
          <w:top w:w="85" w:type="dxa"/>
          <w:left w:w="85" w:type="dxa"/>
          <w:bottom w:w="85" w:type="dxa"/>
          <w:right w:w="85" w:type="dxa"/>
        </w:tblCellMar>
        <w:tblLook w:val="04A0" w:firstRow="1" w:lastRow="0" w:firstColumn="1" w:lastColumn="0" w:noHBand="0" w:noVBand="1"/>
      </w:tblPr>
      <w:tblGrid>
        <w:gridCol w:w="3823"/>
        <w:gridCol w:w="4252"/>
      </w:tblGrid>
      <w:tr w:rsidR="00793E8E" w:rsidRPr="006C1BB8" w14:paraId="079251FC" w14:textId="77777777">
        <w:trPr>
          <w:trHeight w:val="42"/>
        </w:trPr>
        <w:tc>
          <w:tcPr>
            <w:tcW w:w="2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87DB9D" w14:textId="77777777" w:rsidR="000C3ABC" w:rsidRPr="006C1BB8" w:rsidRDefault="000C3ABC">
            <w:pPr>
              <w:rPr>
                <w:rFonts w:eastAsiaTheme="minorEastAsia"/>
              </w:rPr>
            </w:pPr>
            <w:r>
              <w:t>Process to fill vacancies</w:t>
            </w:r>
          </w:p>
        </w:tc>
        <w:tc>
          <w:tcPr>
            <w:tcW w:w="2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57" w:type="dxa"/>
              <w:bottom w:w="85" w:type="dxa"/>
              <w:right w:w="57" w:type="dxa"/>
            </w:tcMar>
            <w:vAlign w:val="center"/>
            <w:hideMark/>
          </w:tcPr>
          <w:p w14:paraId="4700DFB1" w14:textId="110998FD" w:rsidR="000C3ABC" w:rsidRPr="006C1BB8" w:rsidRDefault="000C3ABC">
            <w:pPr>
              <w:rPr>
                <w:rFonts w:eastAsiaTheme="minorEastAsia"/>
              </w:rPr>
            </w:pPr>
            <w:r>
              <w:t xml:space="preserve">Number of </w:t>
            </w:r>
            <w:r w:rsidR="00B200EC" w:rsidRPr="00B200EC">
              <w:t>fixed term</w:t>
            </w:r>
            <w:r>
              <w:t xml:space="preserve"> vacancies filled</w:t>
            </w:r>
          </w:p>
        </w:tc>
      </w:tr>
      <w:tr w:rsidR="00793E8E" w:rsidRPr="006C1BB8" w14:paraId="4CE58CDF" w14:textId="77777777">
        <w:tc>
          <w:tcPr>
            <w:tcW w:w="2367" w:type="pct"/>
            <w:tcBorders>
              <w:top w:val="single" w:sz="4" w:space="0" w:color="auto"/>
              <w:left w:val="single" w:sz="4" w:space="0" w:color="auto"/>
              <w:bottom w:val="single" w:sz="4" w:space="0" w:color="auto"/>
              <w:right w:val="single" w:sz="4" w:space="0" w:color="auto"/>
            </w:tcBorders>
            <w:vAlign w:val="center"/>
            <w:hideMark/>
          </w:tcPr>
          <w:p w14:paraId="135FEB5E" w14:textId="77777777" w:rsidR="000C3ABC" w:rsidRPr="002E4AC2" w:rsidRDefault="000C3ABC" w:rsidP="003B39E0">
            <w:pPr>
              <w:pStyle w:val="ListParagraph"/>
              <w:numPr>
                <w:ilvl w:val="0"/>
                <w:numId w:val="32"/>
              </w:numPr>
            </w:pPr>
            <w:r w:rsidRPr="002E4AC2">
              <w:t>General advertising</w:t>
            </w:r>
          </w:p>
        </w:tc>
        <w:tc>
          <w:tcPr>
            <w:tcW w:w="2633" w:type="pct"/>
            <w:tcBorders>
              <w:top w:val="single" w:sz="4" w:space="0" w:color="auto"/>
              <w:left w:val="single" w:sz="4" w:space="0" w:color="auto"/>
              <w:bottom w:val="single" w:sz="4" w:space="0" w:color="auto"/>
              <w:right w:val="single" w:sz="4" w:space="0" w:color="auto"/>
            </w:tcBorders>
            <w:vAlign w:val="center"/>
          </w:tcPr>
          <w:p w14:paraId="61D53F2D" w14:textId="77777777" w:rsidR="000C3ABC" w:rsidRPr="006C1BB8" w:rsidRDefault="000C3ABC"/>
        </w:tc>
      </w:tr>
      <w:tr w:rsidR="00793E8E" w:rsidRPr="006C1BB8" w14:paraId="71D01363" w14:textId="77777777">
        <w:tc>
          <w:tcPr>
            <w:tcW w:w="2367" w:type="pct"/>
            <w:tcBorders>
              <w:top w:val="single" w:sz="4" w:space="0" w:color="auto"/>
              <w:left w:val="single" w:sz="4" w:space="0" w:color="auto"/>
              <w:bottom w:val="single" w:sz="4" w:space="0" w:color="auto"/>
              <w:right w:val="single" w:sz="4" w:space="0" w:color="auto"/>
            </w:tcBorders>
            <w:vAlign w:val="center"/>
            <w:hideMark/>
          </w:tcPr>
          <w:p w14:paraId="1D5A1397" w14:textId="77777777" w:rsidR="000C3ABC" w:rsidRPr="002E4AC2" w:rsidRDefault="000C3ABC" w:rsidP="003B39E0">
            <w:pPr>
              <w:pStyle w:val="ListParagraph"/>
              <w:numPr>
                <w:ilvl w:val="0"/>
                <w:numId w:val="32"/>
              </w:numPr>
            </w:pPr>
            <w:r w:rsidRPr="002E4AC2">
              <w:t>Limited search</w:t>
            </w:r>
          </w:p>
        </w:tc>
        <w:tc>
          <w:tcPr>
            <w:tcW w:w="2633" w:type="pct"/>
            <w:tcBorders>
              <w:top w:val="single" w:sz="4" w:space="0" w:color="auto"/>
              <w:left w:val="single" w:sz="4" w:space="0" w:color="auto"/>
              <w:bottom w:val="single" w:sz="4" w:space="0" w:color="auto"/>
              <w:right w:val="single" w:sz="4" w:space="0" w:color="auto"/>
            </w:tcBorders>
            <w:vAlign w:val="center"/>
          </w:tcPr>
          <w:p w14:paraId="23AE53C3" w14:textId="77777777" w:rsidR="000C3ABC" w:rsidRPr="006C1BB8" w:rsidRDefault="000C3ABC"/>
        </w:tc>
      </w:tr>
    </w:tbl>
    <w:p w14:paraId="5684BBF8" w14:textId="77777777" w:rsidR="000C3ABC" w:rsidRPr="006C1BB8" w:rsidRDefault="000C3ABC" w:rsidP="000C3ABC"/>
    <w:p w14:paraId="3D2BEE70" w14:textId="77777777" w:rsidR="000C3ABC" w:rsidRPr="00231992" w:rsidRDefault="000C3ABC" w:rsidP="000C3ABC"/>
    <w:p w14:paraId="59671441" w14:textId="77777777" w:rsidR="000C3ABC" w:rsidRDefault="000C3ABC" w:rsidP="000C3ABC">
      <w:pPr>
        <w:pStyle w:val="ListParagraph"/>
      </w:pPr>
    </w:p>
    <w:p w14:paraId="6280EC16" w14:textId="77777777" w:rsidR="000C3ABC" w:rsidRDefault="000C3ABC" w:rsidP="000C3ABC">
      <w:pPr>
        <w:pStyle w:val="ListParagraph"/>
      </w:pPr>
      <w:r>
        <w:t xml:space="preserve"> </w:t>
      </w:r>
    </w:p>
    <w:p w14:paraId="06EDE61B" w14:textId="77777777" w:rsidR="000C3ABC" w:rsidRPr="006E2C67" w:rsidRDefault="000C3ABC" w:rsidP="000C3ABC">
      <w:pPr>
        <w:pStyle w:val="Title"/>
      </w:pPr>
      <w:r w:rsidRPr="006E2C67">
        <w:t>Guidance notes</w:t>
      </w:r>
    </w:p>
    <w:p w14:paraId="1AEDB1E2" w14:textId="46CA2D45" w:rsidR="000C3ABC" w:rsidRPr="00660480" w:rsidRDefault="000C3ABC" w:rsidP="000C3ABC">
      <w:pPr>
        <w:shd w:val="clear" w:color="auto" w:fill="EBE4EC"/>
        <w:spacing w:after="120" w:line="259" w:lineRule="auto"/>
        <w:rPr>
          <w:rFonts w:eastAsia="Calibri"/>
        </w:rPr>
      </w:pPr>
      <w:r>
        <w:rPr>
          <w:rFonts w:eastAsia="Calibri"/>
        </w:rPr>
        <w:t>The total entered in this question should not be greater than the answer to question A</w:t>
      </w:r>
      <w:r w:rsidR="004F00BF">
        <w:rPr>
          <w:rFonts w:eastAsia="Calibri"/>
        </w:rPr>
        <w:t>3</w:t>
      </w:r>
      <w:r>
        <w:rPr>
          <w:rFonts w:eastAsia="Calibri"/>
        </w:rPr>
        <w:t>.</w:t>
      </w:r>
    </w:p>
    <w:p w14:paraId="0D837570" w14:textId="7D248AD6" w:rsidR="00314096" w:rsidRPr="00002F3B" w:rsidRDefault="00E27A6E" w:rsidP="00314096">
      <w:pPr>
        <w:numPr>
          <w:ilvl w:val="0"/>
          <w:numId w:val="19"/>
        </w:numPr>
        <w:spacing w:before="240" w:after="120" w:line="259" w:lineRule="auto"/>
        <w:ind w:left="709" w:hanging="709"/>
        <w:rPr>
          <w:b/>
          <w:bCs/>
        </w:rPr>
      </w:pPr>
      <w:r w:rsidRPr="00E27A6E">
        <w:rPr>
          <w:b/>
          <w:bCs/>
        </w:rPr>
        <w:t>How many surplus employees are at your authority at 30 September 2026</w:t>
      </w:r>
      <w:r w:rsidR="00314096" w:rsidRPr="00002F3B">
        <w:rPr>
          <w:b/>
          <w:bCs/>
        </w:rPr>
        <w:t>?</w:t>
      </w:r>
    </w:p>
    <w:p w14:paraId="073CF5AD" w14:textId="09FEFD3A" w:rsidR="00314096" w:rsidRDefault="0071287E" w:rsidP="00314096">
      <w:pPr>
        <w:ind w:firstLine="709"/>
      </w:pPr>
      <w:r w:rsidRPr="0071287E">
        <w:t xml:space="preserve">Total number of surplus employees </w:t>
      </w:r>
      <w:r w:rsidR="00314096" w:rsidRPr="00406553">
        <w:t xml:space="preserve">(if none, enter ‘0’) </w:t>
      </w:r>
      <w:r w:rsidR="00314096">
        <w:fldChar w:fldCharType="begin">
          <w:ffData>
            <w:name w:val="Text9"/>
            <w:enabled/>
            <w:calcOnExit w:val="0"/>
            <w:textInput/>
          </w:ffData>
        </w:fldChar>
      </w:r>
      <w:r w:rsidR="00314096">
        <w:instrText xml:space="preserve"> FORMTEXT </w:instrText>
      </w:r>
      <w:r w:rsidR="00314096">
        <w:fldChar w:fldCharType="separate"/>
      </w:r>
      <w:r w:rsidR="00314096">
        <w:t> </w:t>
      </w:r>
      <w:r w:rsidR="00314096">
        <w:t> </w:t>
      </w:r>
      <w:r w:rsidR="00314096">
        <w:t> </w:t>
      </w:r>
      <w:r w:rsidR="00314096">
        <w:t> </w:t>
      </w:r>
      <w:r w:rsidR="00314096">
        <w:t> </w:t>
      </w:r>
      <w:r w:rsidR="00314096">
        <w:fldChar w:fldCharType="end"/>
      </w:r>
    </w:p>
    <w:p w14:paraId="48A992DD" w14:textId="77777777" w:rsidR="00314096" w:rsidRPr="006E2C67" w:rsidRDefault="00314096" w:rsidP="00314096">
      <w:pPr>
        <w:pStyle w:val="Title"/>
      </w:pPr>
      <w:r w:rsidRPr="006E2C67">
        <w:t>Guidance notes</w:t>
      </w:r>
    </w:p>
    <w:p w14:paraId="2C73F7C9" w14:textId="7785CB83" w:rsidR="00314096" w:rsidRPr="00660480" w:rsidRDefault="00472F7A" w:rsidP="00314096">
      <w:pPr>
        <w:shd w:val="clear" w:color="auto" w:fill="EBE4EC"/>
        <w:spacing w:after="120" w:line="259" w:lineRule="auto"/>
        <w:rPr>
          <w:rFonts w:eastAsia="Calibri"/>
        </w:rPr>
      </w:pPr>
      <w:r>
        <w:rPr>
          <w:rFonts w:eastAsia="Calibri"/>
        </w:rPr>
        <w:t xml:space="preserve">Count any </w:t>
      </w:r>
      <w:r>
        <w:t xml:space="preserve">registrable and registered employees as defined in section 94(1A) (a), (b) and (c) of the </w:t>
      </w:r>
      <w:r w:rsidRPr="003B4DFD">
        <w:t>PSM Act</w:t>
      </w:r>
      <w:r>
        <w:t xml:space="preserve"> as surplus employee </w:t>
      </w:r>
      <w:r w:rsidR="00EE3AB5">
        <w:t>on 30 September 2026</w:t>
      </w:r>
      <w:r>
        <w:t>.</w:t>
      </w:r>
    </w:p>
    <w:p w14:paraId="0DDEDA4F" w14:textId="77777777" w:rsidR="00481404" w:rsidRDefault="00481404">
      <w:pPr>
        <w:rPr>
          <w:rFonts w:ascii="Century Gothic" w:eastAsiaTheme="majorEastAsia" w:hAnsi="Century Gothic" w:cstheme="majorBidi"/>
          <w:color w:val="6C4979"/>
          <w:sz w:val="28"/>
          <w:szCs w:val="28"/>
        </w:rPr>
      </w:pPr>
      <w:r>
        <w:br w:type="page"/>
      </w:r>
    </w:p>
    <w:p w14:paraId="0727C8A3" w14:textId="1FE77A96" w:rsidR="00481404" w:rsidRDefault="00481404" w:rsidP="00481404">
      <w:pPr>
        <w:pStyle w:val="Heading3"/>
        <w:spacing w:after="240"/>
      </w:pPr>
      <w:r w:rsidRPr="009D320E">
        <w:lastRenderedPageBreak/>
        <w:t xml:space="preserve">Section </w:t>
      </w:r>
      <w:r>
        <w:t>B</w:t>
      </w:r>
      <w:r w:rsidRPr="009D320E">
        <w:t xml:space="preserve">: </w:t>
      </w:r>
      <w:r w:rsidR="005F61AC">
        <w:t>Time to hire</w:t>
      </w:r>
    </w:p>
    <w:p w14:paraId="1C48BF8D" w14:textId="77777777" w:rsidR="00481404" w:rsidRPr="006E2C67" w:rsidRDefault="00481404" w:rsidP="00481404">
      <w:pPr>
        <w:pStyle w:val="Title"/>
      </w:pPr>
      <w:r>
        <w:t>Section g</w:t>
      </w:r>
      <w:r w:rsidRPr="006E2C67">
        <w:t>uidance notes</w:t>
      </w:r>
    </w:p>
    <w:p w14:paraId="438A3AE6" w14:textId="77A66CD7" w:rsidR="00167393" w:rsidRDefault="00B95D5C" w:rsidP="00167393">
      <w:pPr>
        <w:shd w:val="clear" w:color="auto" w:fill="EBE4EC"/>
        <w:spacing w:after="120" w:line="259" w:lineRule="auto"/>
        <w:rPr>
          <w:rFonts w:eastAsia="Calibri"/>
        </w:rPr>
      </w:pPr>
      <w:r>
        <w:rPr>
          <w:rFonts w:eastAsia="Calibri"/>
        </w:rPr>
        <w:t xml:space="preserve">Time to hire is defined as the number of calendar days between approval of a request to fill process or equivalent and completion of the </w:t>
      </w:r>
      <w:r w:rsidR="00167393">
        <w:rPr>
          <w:rFonts w:eastAsia="Calibri"/>
        </w:rPr>
        <w:t>merit based selection process</w:t>
      </w:r>
      <w:r>
        <w:rPr>
          <w:rFonts w:eastAsia="Calibri"/>
        </w:rPr>
        <w:t>.</w:t>
      </w:r>
      <w:r w:rsidR="00167393">
        <w:rPr>
          <w:rFonts w:eastAsia="Calibri"/>
        </w:rPr>
        <w:t xml:space="preserve"> The completion of the merit based selection process can be defined as the generation of the final selection report or the completion of an individual assessment of merit.</w:t>
      </w:r>
    </w:p>
    <w:p w14:paraId="56CC7C6C" w14:textId="46AA7907" w:rsidR="00B36073" w:rsidRDefault="00B36073" w:rsidP="00B36073">
      <w:pPr>
        <w:shd w:val="clear" w:color="auto" w:fill="EBE4EC"/>
        <w:spacing w:after="120" w:line="259" w:lineRule="auto"/>
        <w:rPr>
          <w:rFonts w:eastAsia="Calibri"/>
        </w:rPr>
      </w:pPr>
      <w:r>
        <w:rPr>
          <w:rFonts w:eastAsia="Calibri"/>
        </w:rPr>
        <w:t>A recruitment process is considered complete when the vacancy has been filled</w:t>
      </w:r>
      <w:r w:rsidR="007C1A35">
        <w:rPr>
          <w:rFonts w:eastAsia="Calibri"/>
        </w:rPr>
        <w:t xml:space="preserve"> (that is, </w:t>
      </w:r>
      <w:r>
        <w:rPr>
          <w:rFonts w:eastAsia="Calibri"/>
        </w:rPr>
        <w:t>when an offer has been accepted by a suitable applicant</w:t>
      </w:r>
      <w:r w:rsidR="007C1A35">
        <w:rPr>
          <w:rFonts w:eastAsia="Calibri"/>
        </w:rPr>
        <w:t>)</w:t>
      </w:r>
      <w:r>
        <w:rPr>
          <w:rFonts w:eastAsia="Calibri"/>
        </w:rPr>
        <w:t>. The successful applicant does not need to have commenced in the position for the recruitment process to be considered complete.</w:t>
      </w:r>
    </w:p>
    <w:p w14:paraId="7855BC98" w14:textId="77777777" w:rsidR="00B36073" w:rsidRDefault="00B36073" w:rsidP="00B36073">
      <w:pPr>
        <w:shd w:val="clear" w:color="auto" w:fill="EBE4EC"/>
        <w:spacing w:after="120" w:line="259" w:lineRule="auto"/>
        <w:rPr>
          <w:rFonts w:eastAsia="Calibri"/>
        </w:rPr>
      </w:pPr>
      <w:r>
        <w:rPr>
          <w:rFonts w:eastAsia="Calibri"/>
        </w:rPr>
        <w:t>Only include recruitment processes which ended in the reference period. If the process for filling a vacancy is still open at the end of the reference period, do not include it in time to hire calculations.</w:t>
      </w:r>
    </w:p>
    <w:p w14:paraId="2BD6BE24" w14:textId="494C9D8E" w:rsidR="00B36073" w:rsidRDefault="00B36073" w:rsidP="00B36073">
      <w:pPr>
        <w:shd w:val="clear" w:color="auto" w:fill="EBE4EC"/>
        <w:spacing w:after="120" w:line="259" w:lineRule="auto"/>
        <w:rPr>
          <w:rFonts w:eastAsia="Calibri"/>
        </w:rPr>
      </w:pPr>
      <w:r w:rsidRPr="008D05CA">
        <w:rPr>
          <w:rFonts w:eastAsia="Calibri"/>
        </w:rPr>
        <w:t xml:space="preserve">Time to hire should be measured based on the recruitment method that resulted in the position being filled. For example, if a role was initially advertised through general </w:t>
      </w:r>
      <w:r w:rsidRPr="00C14B61">
        <w:rPr>
          <w:rFonts w:eastAsia="Calibri"/>
        </w:rPr>
        <w:t xml:space="preserve">advertising but did not attract a suitable candidate and was later filled through a limited search </w:t>
      </w:r>
      <w:r w:rsidR="003A48A7" w:rsidRPr="00C14B61">
        <w:rPr>
          <w:rFonts w:eastAsia="Calibri"/>
        </w:rPr>
        <w:t>process</w:t>
      </w:r>
      <w:r w:rsidRPr="008D05CA">
        <w:rPr>
          <w:rFonts w:eastAsia="Calibri"/>
        </w:rPr>
        <w:t>, then the time</w:t>
      </w:r>
      <w:r>
        <w:rPr>
          <w:rFonts w:ascii="Cambria Math" w:eastAsia="Calibri" w:hAnsi="Cambria Math" w:cs="Cambria Math"/>
        </w:rPr>
        <w:t xml:space="preserve"> </w:t>
      </w:r>
      <w:r w:rsidRPr="008D05CA">
        <w:rPr>
          <w:rFonts w:eastAsia="Calibri"/>
        </w:rPr>
        <w:t>to</w:t>
      </w:r>
      <w:r>
        <w:rPr>
          <w:rFonts w:eastAsia="Calibri"/>
        </w:rPr>
        <w:t xml:space="preserve"> </w:t>
      </w:r>
      <w:r w:rsidRPr="008D05CA">
        <w:rPr>
          <w:rFonts w:eastAsia="Calibri"/>
        </w:rPr>
        <w:t xml:space="preserve">hire should be </w:t>
      </w:r>
      <w:r>
        <w:rPr>
          <w:rFonts w:eastAsia="Calibri"/>
        </w:rPr>
        <w:t xml:space="preserve">reported against </w:t>
      </w:r>
      <w:r w:rsidRPr="008D05CA">
        <w:rPr>
          <w:rFonts w:eastAsia="Calibri"/>
        </w:rPr>
        <w:t xml:space="preserve">limited search </w:t>
      </w:r>
      <w:r>
        <w:rPr>
          <w:rFonts w:eastAsia="Calibri"/>
        </w:rPr>
        <w:t>questions.</w:t>
      </w:r>
    </w:p>
    <w:p w14:paraId="37FA2F7C" w14:textId="3F6CC02C" w:rsidR="00D829F8" w:rsidRDefault="00D829F8" w:rsidP="000D7CFC">
      <w:pPr>
        <w:shd w:val="clear" w:color="auto" w:fill="EBE4EC"/>
        <w:spacing w:after="120" w:line="259" w:lineRule="auto"/>
        <w:rPr>
          <w:rFonts w:eastAsia="Calibri"/>
        </w:rPr>
      </w:pPr>
      <w:r>
        <w:rPr>
          <w:rFonts w:eastAsia="Calibri"/>
        </w:rPr>
        <w:t>Exclude pool recruitment processes from time to hire calculations.</w:t>
      </w:r>
    </w:p>
    <w:p w14:paraId="38CA6B9D" w14:textId="77777777" w:rsidR="00B36073" w:rsidRDefault="00B36073" w:rsidP="00B36073">
      <w:pPr>
        <w:shd w:val="clear" w:color="auto" w:fill="EBE4EC"/>
        <w:spacing w:after="120" w:line="259" w:lineRule="auto"/>
        <w:rPr>
          <w:rFonts w:eastAsia="Calibri"/>
        </w:rPr>
      </w:pPr>
      <w:r>
        <w:rPr>
          <w:rFonts w:eastAsia="Calibri"/>
        </w:rPr>
        <w:t>When calculating time to hire i</w:t>
      </w:r>
      <w:r w:rsidRPr="000D7CFC">
        <w:rPr>
          <w:rFonts w:eastAsia="Calibri"/>
        </w:rPr>
        <w:t>nclude the start date and end date in the count</w:t>
      </w:r>
      <w:r>
        <w:rPr>
          <w:rFonts w:eastAsia="Calibri"/>
        </w:rPr>
        <w:t>. The</w:t>
      </w:r>
      <w:r w:rsidRPr="000D7CFC">
        <w:rPr>
          <w:rFonts w:eastAsia="Calibri"/>
        </w:rPr>
        <w:t xml:space="preserve"> time to hire for a process that started and ended on the same day would be 1 day.</w:t>
      </w:r>
    </w:p>
    <w:p w14:paraId="0A60F18E" w14:textId="388E0C22" w:rsidR="00587294" w:rsidRDefault="00587294" w:rsidP="000D7CFC">
      <w:pPr>
        <w:shd w:val="clear" w:color="auto" w:fill="EBE4EC"/>
        <w:spacing w:after="120" w:line="259" w:lineRule="auto"/>
        <w:rPr>
          <w:rFonts w:eastAsia="Calibri"/>
        </w:rPr>
      </w:pPr>
      <w:r>
        <w:rPr>
          <w:rFonts w:eastAsia="Calibri"/>
        </w:rPr>
        <w:t>Questions below</w:t>
      </w:r>
      <w:r w:rsidRPr="00D611E0">
        <w:rPr>
          <w:rFonts w:eastAsia="Calibri"/>
        </w:rPr>
        <w:t xml:space="preserve"> ask</w:t>
      </w:r>
      <w:r>
        <w:rPr>
          <w:rFonts w:eastAsia="Calibri"/>
        </w:rPr>
        <w:t xml:space="preserve"> for </w:t>
      </w:r>
      <w:r w:rsidR="00B22BAA">
        <w:rPr>
          <w:rFonts w:eastAsia="Calibri"/>
        </w:rPr>
        <w:t xml:space="preserve">the </w:t>
      </w:r>
      <w:r>
        <w:rPr>
          <w:rFonts w:eastAsia="Calibri"/>
        </w:rPr>
        <w:t xml:space="preserve">average of all vacancies that are filled. Calculate the time to hire individually for each </w:t>
      </w:r>
      <w:r w:rsidR="006A6BFE">
        <w:rPr>
          <w:rFonts w:eastAsia="Calibri"/>
        </w:rPr>
        <w:t>vacancy</w:t>
      </w:r>
      <w:r>
        <w:rPr>
          <w:rFonts w:eastAsia="Calibri"/>
        </w:rPr>
        <w:t xml:space="preserve"> and then apply an average by dividing the total time to hire by the number of vacancies filled in this way. This should be entered as </w:t>
      </w:r>
      <w:proofErr w:type="gramStart"/>
      <w:r w:rsidR="00115755">
        <w:rPr>
          <w:rFonts w:eastAsia="Calibri"/>
        </w:rPr>
        <w:t>a</w:t>
      </w:r>
      <w:r w:rsidR="00B22BAA">
        <w:rPr>
          <w:rFonts w:eastAsia="Calibri"/>
        </w:rPr>
        <w:t xml:space="preserve"> </w:t>
      </w:r>
      <w:r>
        <w:rPr>
          <w:rFonts w:eastAsia="Calibri"/>
        </w:rPr>
        <w:t>number of</w:t>
      </w:r>
      <w:proofErr w:type="gramEnd"/>
      <w:r>
        <w:rPr>
          <w:rFonts w:eastAsia="Calibri"/>
        </w:rPr>
        <w:t xml:space="preserve"> days with up to </w:t>
      </w:r>
      <w:r w:rsidR="007C1A35">
        <w:rPr>
          <w:rFonts w:eastAsia="Calibri"/>
        </w:rPr>
        <w:t xml:space="preserve">2 </w:t>
      </w:r>
      <w:r>
        <w:rPr>
          <w:rFonts w:eastAsia="Calibri"/>
        </w:rPr>
        <w:t>decimal places.</w:t>
      </w:r>
    </w:p>
    <w:p w14:paraId="1D093FDE" w14:textId="77777777" w:rsidR="00167393" w:rsidRDefault="00167393">
      <w:pPr>
        <w:rPr>
          <w:b/>
          <w:bCs/>
        </w:rPr>
      </w:pPr>
      <w:r>
        <w:rPr>
          <w:b/>
          <w:bCs/>
        </w:rPr>
        <w:br w:type="page"/>
      </w:r>
    </w:p>
    <w:p w14:paraId="6AA5562F" w14:textId="57B38402" w:rsidR="00481404" w:rsidRPr="00002F3B" w:rsidRDefault="00FD7836" w:rsidP="008734CB">
      <w:pPr>
        <w:numPr>
          <w:ilvl w:val="0"/>
          <w:numId w:val="28"/>
        </w:numPr>
        <w:tabs>
          <w:tab w:val="left" w:pos="709"/>
        </w:tabs>
        <w:spacing w:before="240" w:after="120" w:line="259" w:lineRule="auto"/>
        <w:ind w:left="709" w:hanging="709"/>
        <w:rPr>
          <w:b/>
          <w:bCs/>
        </w:rPr>
      </w:pPr>
      <w:r w:rsidRPr="00FD7836">
        <w:rPr>
          <w:b/>
          <w:bCs/>
        </w:rPr>
        <w:lastRenderedPageBreak/>
        <w:t>What is the average time to hire for permanent and fixed term vacancies filled using general advertising at your authority for the period 1 July to 30 September 2026?</w:t>
      </w:r>
    </w:p>
    <w:p w14:paraId="63E83651" w14:textId="0E593C8D" w:rsidR="00481404" w:rsidRDefault="00F134AD" w:rsidP="00244F29">
      <w:pPr>
        <w:ind w:left="709"/>
      </w:pPr>
      <w:r w:rsidRPr="00F134AD">
        <w:t xml:space="preserve">Average time to hire for permanent and fixed term vacancies filled using general advertising </w:t>
      </w:r>
      <w:r w:rsidR="00481404" w:rsidRPr="00406553">
        <w:t xml:space="preserve">(if none, enter ‘0’) </w:t>
      </w:r>
      <w:r w:rsidR="00481404">
        <w:fldChar w:fldCharType="begin">
          <w:ffData>
            <w:name w:val="Text9"/>
            <w:enabled/>
            <w:calcOnExit w:val="0"/>
            <w:textInput/>
          </w:ffData>
        </w:fldChar>
      </w:r>
      <w:r w:rsidR="00481404">
        <w:instrText xml:space="preserve"> FORMTEXT </w:instrText>
      </w:r>
      <w:r w:rsidR="00481404">
        <w:fldChar w:fldCharType="separate"/>
      </w:r>
      <w:r w:rsidR="00481404">
        <w:t> </w:t>
      </w:r>
      <w:r w:rsidR="00481404">
        <w:t> </w:t>
      </w:r>
      <w:r w:rsidR="00481404">
        <w:t> </w:t>
      </w:r>
      <w:r w:rsidR="00481404">
        <w:t> </w:t>
      </w:r>
      <w:r w:rsidR="00481404">
        <w:t> </w:t>
      </w:r>
      <w:r w:rsidR="00481404">
        <w:fldChar w:fldCharType="end"/>
      </w:r>
    </w:p>
    <w:p w14:paraId="5E78BB2F" w14:textId="77777777" w:rsidR="00481404" w:rsidRPr="006E2C67" w:rsidRDefault="00481404" w:rsidP="00481404">
      <w:pPr>
        <w:pStyle w:val="Title"/>
      </w:pPr>
      <w:r w:rsidRPr="006E2C67">
        <w:t>Guidance notes</w:t>
      </w:r>
    </w:p>
    <w:p w14:paraId="75E651F8" w14:textId="6B70AB01" w:rsidR="004325F0" w:rsidRPr="00D611E0" w:rsidRDefault="00D12C73" w:rsidP="004325F0">
      <w:pPr>
        <w:shd w:val="clear" w:color="auto" w:fill="EBE4EC"/>
        <w:spacing w:after="120" w:line="259" w:lineRule="auto"/>
        <w:rPr>
          <w:rFonts w:eastAsia="Calibri"/>
        </w:rPr>
      </w:pPr>
      <w:r>
        <w:rPr>
          <w:rFonts w:eastAsia="Calibri"/>
        </w:rPr>
        <w:t>Only include recruitment processes which used general advertising to recruit the successful applicant</w:t>
      </w:r>
      <w:r w:rsidR="00B22BAA">
        <w:rPr>
          <w:rFonts w:eastAsia="Calibri"/>
        </w:rPr>
        <w:t>, and which the successful applicant has accepted the offer to fill the vacancy.</w:t>
      </w:r>
      <w:r w:rsidR="00167393">
        <w:rPr>
          <w:rFonts w:eastAsia="Calibri"/>
        </w:rPr>
        <w:t xml:space="preserve"> The completion of the merit based selection process for general advertising </w:t>
      </w:r>
      <w:r w:rsidR="00684A5C">
        <w:rPr>
          <w:rFonts w:eastAsia="Calibri"/>
        </w:rPr>
        <w:t xml:space="preserve">is </w:t>
      </w:r>
      <w:r w:rsidR="00167393">
        <w:rPr>
          <w:rFonts w:eastAsia="Calibri"/>
        </w:rPr>
        <w:t>usually the generation of the final selection report.</w:t>
      </w:r>
    </w:p>
    <w:p w14:paraId="3DC7EF6C" w14:textId="741CBFE3" w:rsidR="00932364" w:rsidRPr="00002F3B" w:rsidRDefault="00932364" w:rsidP="008734CB">
      <w:pPr>
        <w:numPr>
          <w:ilvl w:val="0"/>
          <w:numId w:val="28"/>
        </w:numPr>
        <w:tabs>
          <w:tab w:val="left" w:pos="709"/>
        </w:tabs>
        <w:spacing w:before="240" w:after="120" w:line="259" w:lineRule="auto"/>
        <w:ind w:left="709" w:hanging="709"/>
        <w:rPr>
          <w:b/>
          <w:bCs/>
        </w:rPr>
      </w:pPr>
      <w:r w:rsidRPr="00FD7836">
        <w:rPr>
          <w:b/>
          <w:bCs/>
        </w:rPr>
        <w:t xml:space="preserve">What is the average time to hire for permanent and fixed term vacancies filled using </w:t>
      </w:r>
      <w:r w:rsidR="007C1A35">
        <w:rPr>
          <w:b/>
          <w:bCs/>
        </w:rPr>
        <w:t xml:space="preserve">a </w:t>
      </w:r>
      <w:r>
        <w:rPr>
          <w:b/>
          <w:bCs/>
        </w:rPr>
        <w:t>limited search</w:t>
      </w:r>
      <w:r w:rsidRPr="00FD7836">
        <w:rPr>
          <w:b/>
          <w:bCs/>
        </w:rPr>
        <w:t xml:space="preserve"> </w:t>
      </w:r>
      <w:r w:rsidR="007C1A35">
        <w:rPr>
          <w:b/>
          <w:bCs/>
        </w:rPr>
        <w:t xml:space="preserve">method </w:t>
      </w:r>
      <w:r w:rsidRPr="00FD7836">
        <w:rPr>
          <w:b/>
          <w:bCs/>
        </w:rPr>
        <w:t>at your authority for the period 1 July to 30 September 2026?</w:t>
      </w:r>
    </w:p>
    <w:p w14:paraId="3A38DE66" w14:textId="647333B7" w:rsidR="00932364" w:rsidRDefault="00932364" w:rsidP="00932364">
      <w:pPr>
        <w:ind w:left="709"/>
      </w:pPr>
      <w:r w:rsidRPr="00F134AD">
        <w:t xml:space="preserve">Average time to hire for permanent and fixed term vacancies filled using </w:t>
      </w:r>
      <w:r>
        <w:t>limited search</w:t>
      </w:r>
      <w:r w:rsidRPr="00F134AD">
        <w:t xml:space="preserve"> </w:t>
      </w:r>
      <w:r w:rsidRPr="00406553">
        <w:t xml:space="preserve">(if none, enter ‘0’) </w:t>
      </w: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p w14:paraId="32B8B291" w14:textId="77777777" w:rsidR="00932364" w:rsidRDefault="00932364" w:rsidP="00932364">
      <w:pPr>
        <w:pStyle w:val="Title"/>
      </w:pPr>
      <w:r w:rsidRPr="006E2C67">
        <w:t>Guidance notes</w:t>
      </w:r>
    </w:p>
    <w:p w14:paraId="10E52CA3" w14:textId="3F1809F4" w:rsidR="00932364" w:rsidRPr="00F308E5" w:rsidRDefault="00D12C73" w:rsidP="00F308E5">
      <w:pPr>
        <w:shd w:val="clear" w:color="auto" w:fill="EBE4EC"/>
        <w:spacing w:after="120" w:line="259" w:lineRule="auto"/>
        <w:rPr>
          <w:rFonts w:eastAsia="Calibri"/>
        </w:rPr>
      </w:pPr>
      <w:r>
        <w:rPr>
          <w:rFonts w:eastAsia="Calibri"/>
        </w:rPr>
        <w:t xml:space="preserve">Only include recruitment processes which used </w:t>
      </w:r>
      <w:r w:rsidR="007C1A35">
        <w:rPr>
          <w:rFonts w:eastAsia="Calibri"/>
        </w:rPr>
        <w:t xml:space="preserve">a </w:t>
      </w:r>
      <w:r>
        <w:rPr>
          <w:rFonts w:eastAsia="Calibri"/>
        </w:rPr>
        <w:t xml:space="preserve">limited search </w:t>
      </w:r>
      <w:r w:rsidR="007C1A35">
        <w:rPr>
          <w:rFonts w:eastAsia="Calibri"/>
        </w:rPr>
        <w:t xml:space="preserve">method </w:t>
      </w:r>
      <w:r>
        <w:rPr>
          <w:rFonts w:eastAsia="Calibri"/>
        </w:rPr>
        <w:t>to recruit the successful applicant</w:t>
      </w:r>
      <w:r w:rsidR="00B22BAA">
        <w:rPr>
          <w:rFonts w:eastAsia="Calibri"/>
        </w:rPr>
        <w:t>, and which the successful applicant has accepted the offer to fill the vacancy.</w:t>
      </w:r>
      <w:r w:rsidRPr="00D611E0" w:rsidDel="00D12C73">
        <w:rPr>
          <w:rFonts w:eastAsia="Calibri"/>
        </w:rPr>
        <w:t xml:space="preserve"> </w:t>
      </w:r>
      <w:r w:rsidR="00167393">
        <w:rPr>
          <w:rFonts w:eastAsia="Calibri"/>
        </w:rPr>
        <w:t xml:space="preserve">The completion of the merit based selection process for limited search </w:t>
      </w:r>
      <w:r w:rsidR="00684A5C">
        <w:rPr>
          <w:rFonts w:eastAsia="Calibri"/>
        </w:rPr>
        <w:t xml:space="preserve">is </w:t>
      </w:r>
      <w:r w:rsidR="00167393">
        <w:rPr>
          <w:rFonts w:eastAsia="Calibri"/>
        </w:rPr>
        <w:t>usually the generation of an individual assessment of merit.</w:t>
      </w:r>
      <w:r w:rsidR="00932364">
        <w:br w:type="page"/>
      </w:r>
    </w:p>
    <w:p w14:paraId="79E9A8E5" w14:textId="0C7D7DC1" w:rsidR="00932364" w:rsidRDefault="00932364" w:rsidP="00932364">
      <w:pPr>
        <w:pStyle w:val="Heading3"/>
        <w:spacing w:after="240"/>
      </w:pPr>
      <w:r w:rsidRPr="009D320E">
        <w:lastRenderedPageBreak/>
        <w:t xml:space="preserve">Section </w:t>
      </w:r>
      <w:r>
        <w:t>C</w:t>
      </w:r>
      <w:r w:rsidRPr="009D320E">
        <w:t xml:space="preserve">: </w:t>
      </w:r>
      <w:r>
        <w:t>Backfilling</w:t>
      </w:r>
      <w:r w:rsidR="00B9270B">
        <w:t xml:space="preserve"> and temporary filling </w:t>
      </w:r>
    </w:p>
    <w:p w14:paraId="140161CA" w14:textId="77777777" w:rsidR="00932364" w:rsidRPr="006E2C67" w:rsidRDefault="00932364" w:rsidP="00932364">
      <w:pPr>
        <w:pStyle w:val="Title"/>
      </w:pPr>
      <w:r>
        <w:t>Section g</w:t>
      </w:r>
      <w:r w:rsidRPr="006E2C67">
        <w:t>uidance notes</w:t>
      </w:r>
    </w:p>
    <w:p w14:paraId="599B11A4" w14:textId="5A88B0AC" w:rsidR="00F72597" w:rsidRDefault="00B606C1" w:rsidP="00B35D87">
      <w:pPr>
        <w:shd w:val="clear" w:color="auto" w:fill="EBE4EC"/>
        <w:spacing w:after="0" w:line="259" w:lineRule="auto"/>
        <w:rPr>
          <w:rFonts w:eastAsia="Calibri"/>
        </w:rPr>
      </w:pPr>
      <w:r>
        <w:rPr>
          <w:rFonts w:eastAsia="Calibri"/>
        </w:rPr>
        <w:t>When considering b</w:t>
      </w:r>
      <w:r w:rsidR="00B31B10" w:rsidRPr="00570A7F">
        <w:rPr>
          <w:rFonts w:eastAsia="Calibri"/>
        </w:rPr>
        <w:t xml:space="preserve">ackfilling </w:t>
      </w:r>
      <w:r w:rsidR="00B31B10">
        <w:rPr>
          <w:rFonts w:eastAsia="Calibri"/>
        </w:rPr>
        <w:t>and temporary fill</w:t>
      </w:r>
      <w:r w:rsidR="00684A5C">
        <w:rPr>
          <w:rFonts w:eastAsia="Calibri"/>
        </w:rPr>
        <w:t>ing</w:t>
      </w:r>
      <w:r>
        <w:rPr>
          <w:rFonts w:eastAsia="Calibri"/>
        </w:rPr>
        <w:t xml:space="preserve"> questions, the following are included: </w:t>
      </w:r>
    </w:p>
    <w:p w14:paraId="2D009BD8" w14:textId="2D22FD7F" w:rsidR="00F72597" w:rsidRPr="00753FEC" w:rsidRDefault="00A12112" w:rsidP="00F72597">
      <w:pPr>
        <w:pStyle w:val="ListParagraph"/>
        <w:numPr>
          <w:ilvl w:val="0"/>
          <w:numId w:val="39"/>
        </w:numPr>
        <w:shd w:val="clear" w:color="auto" w:fill="EBE4EC"/>
        <w:spacing w:after="120" w:line="259" w:lineRule="auto"/>
        <w:rPr>
          <w:rFonts w:eastAsia="Calibri"/>
        </w:rPr>
      </w:pPr>
      <w:r>
        <w:rPr>
          <w:rFonts w:eastAsia="Calibri"/>
        </w:rPr>
        <w:t>a</w:t>
      </w:r>
      <w:r w:rsidR="00C041DB">
        <w:rPr>
          <w:rFonts w:eastAsia="Calibri"/>
        </w:rPr>
        <w:t xml:space="preserve">cting situations including </w:t>
      </w:r>
      <w:r w:rsidR="00FB1A6F">
        <w:rPr>
          <w:rFonts w:eastAsia="Calibri"/>
        </w:rPr>
        <w:t>higher duties</w:t>
      </w:r>
    </w:p>
    <w:p w14:paraId="0B676A17" w14:textId="33F1D5AF" w:rsidR="00F72597" w:rsidRPr="00753FEC" w:rsidRDefault="00A12112" w:rsidP="00F72597">
      <w:pPr>
        <w:pStyle w:val="ListParagraph"/>
        <w:numPr>
          <w:ilvl w:val="0"/>
          <w:numId w:val="39"/>
        </w:numPr>
        <w:shd w:val="clear" w:color="auto" w:fill="EBE4EC"/>
        <w:spacing w:after="120" w:line="259" w:lineRule="auto"/>
        <w:rPr>
          <w:rFonts w:eastAsia="Calibri"/>
        </w:rPr>
      </w:pPr>
      <w:r>
        <w:rPr>
          <w:rFonts w:eastAsia="Calibri"/>
        </w:rPr>
        <w:t>f</w:t>
      </w:r>
      <w:r w:rsidR="00F72597" w:rsidRPr="00753FEC">
        <w:rPr>
          <w:rFonts w:eastAsia="Calibri"/>
        </w:rPr>
        <w:t>ixed term contract</w:t>
      </w:r>
      <w:r w:rsidR="0035785A">
        <w:rPr>
          <w:rFonts w:eastAsia="Calibri"/>
        </w:rPr>
        <w:t>s</w:t>
      </w:r>
      <w:r w:rsidR="00F72597" w:rsidRPr="00753FEC">
        <w:rPr>
          <w:rFonts w:eastAsia="Calibri"/>
        </w:rPr>
        <w:t xml:space="preserve"> </w:t>
      </w:r>
    </w:p>
    <w:p w14:paraId="195DA5D0" w14:textId="04362D31" w:rsidR="00F72597" w:rsidRPr="00753FEC" w:rsidRDefault="00A12112" w:rsidP="00F72597">
      <w:pPr>
        <w:pStyle w:val="ListParagraph"/>
        <w:numPr>
          <w:ilvl w:val="0"/>
          <w:numId w:val="39"/>
        </w:numPr>
        <w:shd w:val="clear" w:color="auto" w:fill="EBE4EC"/>
        <w:spacing w:after="120" w:line="259" w:lineRule="auto"/>
        <w:rPr>
          <w:rFonts w:eastAsia="Calibri"/>
        </w:rPr>
      </w:pPr>
      <w:r>
        <w:rPr>
          <w:rFonts w:eastAsia="Calibri"/>
        </w:rPr>
        <w:t>s</w:t>
      </w:r>
      <w:r w:rsidR="00F72597" w:rsidRPr="00753FEC">
        <w:rPr>
          <w:rFonts w:eastAsia="Calibri"/>
        </w:rPr>
        <w:t>econdment</w:t>
      </w:r>
      <w:r w:rsidR="00A4461D">
        <w:rPr>
          <w:rFonts w:eastAsia="Calibri"/>
        </w:rPr>
        <w:t>s</w:t>
      </w:r>
    </w:p>
    <w:p w14:paraId="37673763" w14:textId="45A0685C" w:rsidR="00B31B10" w:rsidRPr="00E241BA" w:rsidRDefault="00B31B10" w:rsidP="00E241BA">
      <w:pPr>
        <w:shd w:val="clear" w:color="auto" w:fill="EBE4EC"/>
        <w:spacing w:after="120" w:line="259" w:lineRule="auto"/>
        <w:rPr>
          <w:rFonts w:eastAsia="Calibri"/>
        </w:rPr>
      </w:pPr>
      <w:r w:rsidRPr="00570A7F">
        <w:rPr>
          <w:rFonts w:eastAsia="Calibri"/>
        </w:rPr>
        <w:t xml:space="preserve">Backfilling </w:t>
      </w:r>
      <w:r>
        <w:rPr>
          <w:rFonts w:eastAsia="Calibri"/>
        </w:rPr>
        <w:t>and temporary fill</w:t>
      </w:r>
      <w:r w:rsidR="00684A5C">
        <w:rPr>
          <w:rFonts w:eastAsia="Calibri"/>
        </w:rPr>
        <w:t>ing</w:t>
      </w:r>
      <w:r>
        <w:rPr>
          <w:rFonts w:eastAsia="Calibri"/>
        </w:rPr>
        <w:t xml:space="preserve"> exclude</w:t>
      </w:r>
      <w:r w:rsidR="00E241BA">
        <w:rPr>
          <w:rFonts w:eastAsia="Calibri"/>
        </w:rPr>
        <w:t xml:space="preserve"> t</w:t>
      </w:r>
      <w:r w:rsidRPr="00E241BA">
        <w:rPr>
          <w:rFonts w:eastAsia="Calibri"/>
        </w:rPr>
        <w:t>emporary special allowances</w:t>
      </w:r>
      <w:r w:rsidR="00684A5C">
        <w:rPr>
          <w:rFonts w:eastAsia="Calibri"/>
        </w:rPr>
        <w:t>.</w:t>
      </w:r>
    </w:p>
    <w:p w14:paraId="70E5A4CD" w14:textId="1582EEC3" w:rsidR="00D337DA" w:rsidRPr="00F72597" w:rsidRDefault="00D337DA" w:rsidP="008734CB">
      <w:pPr>
        <w:numPr>
          <w:ilvl w:val="0"/>
          <w:numId w:val="29"/>
        </w:numPr>
        <w:tabs>
          <w:tab w:val="left" w:pos="709"/>
        </w:tabs>
        <w:spacing w:before="240" w:after="120" w:line="259" w:lineRule="auto"/>
        <w:ind w:left="709" w:hanging="709"/>
        <w:rPr>
          <w:b/>
          <w:bCs/>
        </w:rPr>
      </w:pPr>
      <w:r w:rsidRPr="00F72597">
        <w:rPr>
          <w:b/>
          <w:bCs/>
        </w:rPr>
        <w:t>How many substantively occupied positions have been backfilled for 12 months or more</w:t>
      </w:r>
      <w:r w:rsidR="000B29C7" w:rsidRPr="00F72597">
        <w:rPr>
          <w:b/>
          <w:bCs/>
        </w:rPr>
        <w:t xml:space="preserve"> at 30 September 2026</w:t>
      </w:r>
    </w:p>
    <w:p w14:paraId="11F3632D" w14:textId="6CD68AE4" w:rsidR="00932364" w:rsidRDefault="003C31EC" w:rsidP="003C31EC">
      <w:pPr>
        <w:ind w:left="709"/>
      </w:pPr>
      <w:r w:rsidRPr="003C31EC">
        <w:t xml:space="preserve">Total </w:t>
      </w:r>
      <w:r w:rsidR="000B29C7" w:rsidRPr="00B23855">
        <w:t xml:space="preserve">occupied </w:t>
      </w:r>
      <w:r w:rsidR="00B23855" w:rsidRPr="00B23855">
        <w:t xml:space="preserve">positions </w:t>
      </w:r>
      <w:r w:rsidR="00B23855">
        <w:t xml:space="preserve">that </w:t>
      </w:r>
      <w:r w:rsidR="00B23855" w:rsidRPr="00B23855">
        <w:t>have been</w:t>
      </w:r>
      <w:r w:rsidRPr="003C31EC">
        <w:t xml:space="preserve"> backfilled </w:t>
      </w:r>
      <w:r w:rsidR="00B23855" w:rsidRPr="00B23855">
        <w:t>for 12 months or more</w:t>
      </w:r>
      <w:r w:rsidRPr="003C31EC">
        <w:t xml:space="preserve"> </w:t>
      </w:r>
      <w:r w:rsidR="00932364" w:rsidRPr="00406553">
        <w:t xml:space="preserve">(if none, enter ‘0’) </w:t>
      </w:r>
      <w:r w:rsidR="00932364">
        <w:fldChar w:fldCharType="begin">
          <w:ffData>
            <w:name w:val="Text9"/>
            <w:enabled/>
            <w:calcOnExit w:val="0"/>
            <w:textInput/>
          </w:ffData>
        </w:fldChar>
      </w:r>
      <w:r w:rsidR="00932364">
        <w:instrText xml:space="preserve"> FORMTEXT </w:instrText>
      </w:r>
      <w:r w:rsidR="00932364">
        <w:fldChar w:fldCharType="separate"/>
      </w:r>
      <w:r w:rsidR="00932364">
        <w:t> </w:t>
      </w:r>
      <w:r w:rsidR="00932364">
        <w:t> </w:t>
      </w:r>
      <w:r w:rsidR="00932364">
        <w:t> </w:t>
      </w:r>
      <w:r w:rsidR="00932364">
        <w:t> </w:t>
      </w:r>
      <w:r w:rsidR="00932364">
        <w:t> </w:t>
      </w:r>
      <w:r w:rsidR="00932364">
        <w:fldChar w:fldCharType="end"/>
      </w:r>
    </w:p>
    <w:p w14:paraId="413076C3" w14:textId="77777777" w:rsidR="00932364" w:rsidRPr="006E2C67" w:rsidRDefault="00932364" w:rsidP="00932364">
      <w:pPr>
        <w:pStyle w:val="Title"/>
      </w:pPr>
      <w:r w:rsidRPr="006E2C67">
        <w:t>Guidance notes</w:t>
      </w:r>
    </w:p>
    <w:p w14:paraId="3C6AEE5C" w14:textId="5E271C5B" w:rsidR="006316F7" w:rsidRDefault="006316F7" w:rsidP="006316F7">
      <w:pPr>
        <w:shd w:val="clear" w:color="auto" w:fill="EBE4EC"/>
        <w:spacing w:after="120" w:line="259" w:lineRule="auto"/>
      </w:pPr>
      <w:r w:rsidRPr="00B9270B">
        <w:t xml:space="preserve">Backfilling is filling a permanent or fixed term position that has a current occupant who is temporarily absent, on leave or assigned elsewhere for a fixed period </w:t>
      </w:r>
      <w:r w:rsidR="00684A5C">
        <w:t xml:space="preserve">(that is, </w:t>
      </w:r>
      <w:r w:rsidRPr="00B9270B">
        <w:t>the position is substantively occupied by another employee</w:t>
      </w:r>
      <w:r w:rsidR="00684A5C">
        <w:t>)</w:t>
      </w:r>
      <w:r w:rsidR="003B5C60">
        <w:t>.</w:t>
      </w:r>
    </w:p>
    <w:p w14:paraId="77D3BCE4" w14:textId="28BC1683" w:rsidR="003B5C60" w:rsidRPr="00660480" w:rsidRDefault="003B5C60" w:rsidP="003B5C60">
      <w:pPr>
        <w:shd w:val="clear" w:color="auto" w:fill="EBE4EC"/>
        <w:spacing w:after="120" w:line="259" w:lineRule="auto"/>
        <w:rPr>
          <w:rFonts w:eastAsia="Calibri"/>
        </w:rPr>
      </w:pPr>
      <w:r>
        <w:rPr>
          <w:rFonts w:eastAsia="Calibri"/>
        </w:rPr>
        <w:t>Backfill</w:t>
      </w:r>
      <w:r w:rsidR="00684A5C">
        <w:rPr>
          <w:rFonts w:eastAsia="Calibri"/>
        </w:rPr>
        <w:t>ing</w:t>
      </w:r>
      <w:r>
        <w:rPr>
          <w:rFonts w:eastAsia="Calibri"/>
        </w:rPr>
        <w:t xml:space="preserve"> should only be counted if the position is otherwise substantively occupied.</w:t>
      </w:r>
    </w:p>
    <w:p w14:paraId="05149719" w14:textId="7DDB6AAA" w:rsidR="003B5C60" w:rsidRPr="00B9270B" w:rsidRDefault="003B5C60" w:rsidP="006316F7">
      <w:pPr>
        <w:shd w:val="clear" w:color="auto" w:fill="EBE4EC"/>
        <w:spacing w:after="120" w:line="259" w:lineRule="auto"/>
        <w:rPr>
          <w:rFonts w:eastAsia="Calibri"/>
        </w:rPr>
      </w:pPr>
      <w:r w:rsidRPr="003D7B6D">
        <w:rPr>
          <w:rFonts w:eastAsia="Calibri"/>
        </w:rPr>
        <w:t>Include any currently backfilled position at 30 September 2026</w:t>
      </w:r>
      <w:r>
        <w:rPr>
          <w:rFonts w:eastAsia="Calibri"/>
        </w:rPr>
        <w:t xml:space="preserve"> if it has been continuously occupied with no breaks in the backfill</w:t>
      </w:r>
      <w:r w:rsidR="00684A5C">
        <w:rPr>
          <w:rFonts w:eastAsia="Calibri"/>
        </w:rPr>
        <w:t>ed</w:t>
      </w:r>
      <w:r>
        <w:rPr>
          <w:rFonts w:eastAsia="Calibri"/>
        </w:rPr>
        <w:t xml:space="preserve"> period for 12 months or more by the same employee.</w:t>
      </w:r>
    </w:p>
    <w:p w14:paraId="7E944E8B" w14:textId="77777777" w:rsidR="0073267F" w:rsidRDefault="0073267F">
      <w:pPr>
        <w:rPr>
          <w:b/>
          <w:bCs/>
        </w:rPr>
      </w:pPr>
      <w:r>
        <w:rPr>
          <w:b/>
          <w:bCs/>
        </w:rPr>
        <w:br w:type="page"/>
      </w:r>
    </w:p>
    <w:p w14:paraId="20DB6B66" w14:textId="2B2E708D" w:rsidR="00343CE8" w:rsidRPr="00F72597" w:rsidRDefault="00343CE8" w:rsidP="008734CB">
      <w:pPr>
        <w:numPr>
          <w:ilvl w:val="0"/>
          <w:numId w:val="29"/>
        </w:numPr>
        <w:tabs>
          <w:tab w:val="left" w:pos="709"/>
        </w:tabs>
        <w:spacing w:before="240" w:after="120" w:line="259" w:lineRule="auto"/>
        <w:ind w:left="709" w:hanging="709"/>
        <w:rPr>
          <w:b/>
          <w:bCs/>
        </w:rPr>
      </w:pPr>
      <w:r w:rsidRPr="00F72597">
        <w:rPr>
          <w:b/>
          <w:bCs/>
        </w:rPr>
        <w:lastRenderedPageBreak/>
        <w:t xml:space="preserve">How many vacant positions have been </w:t>
      </w:r>
      <w:r w:rsidR="00F72597">
        <w:rPr>
          <w:b/>
          <w:bCs/>
        </w:rPr>
        <w:t>temporarily filled</w:t>
      </w:r>
      <w:r w:rsidRPr="00F72597">
        <w:rPr>
          <w:b/>
          <w:bCs/>
        </w:rPr>
        <w:t xml:space="preserve"> for 12 months or more at 30 September 2026</w:t>
      </w:r>
      <w:r w:rsidR="24ABFC55" w:rsidRPr="6E1CC7A0">
        <w:rPr>
          <w:b/>
          <w:bCs/>
        </w:rPr>
        <w:t>?</w:t>
      </w:r>
      <w:r w:rsidR="24ABFC55" w:rsidRPr="6E1CC7A0">
        <w:rPr>
          <w:b/>
          <w:bCs/>
          <w:color w:val="FF0000"/>
        </w:rPr>
        <w:t xml:space="preserve"> </w:t>
      </w:r>
    </w:p>
    <w:p w14:paraId="1D5F6583" w14:textId="769BF9A8" w:rsidR="003C31EC" w:rsidRDefault="003C31EC" w:rsidP="003C31EC">
      <w:pPr>
        <w:ind w:left="709"/>
      </w:pPr>
      <w:r w:rsidRPr="003C31EC">
        <w:t xml:space="preserve">Total </w:t>
      </w:r>
      <w:r w:rsidR="00AA1F18" w:rsidRPr="00B23855">
        <w:t>vacant</w:t>
      </w:r>
      <w:r w:rsidRPr="003C31EC">
        <w:t xml:space="preserve"> positions </w:t>
      </w:r>
      <w:r w:rsidR="007D451B">
        <w:t>that</w:t>
      </w:r>
      <w:r w:rsidR="00B23855" w:rsidRPr="00B23855">
        <w:t xml:space="preserve"> have been temporarily filled for </w:t>
      </w:r>
      <w:r w:rsidRPr="003C31EC">
        <w:t xml:space="preserve">12 months </w:t>
      </w:r>
      <w:r w:rsidR="00B23855" w:rsidRPr="00B23855">
        <w:t>or more</w:t>
      </w:r>
      <w:r w:rsidRPr="003C31EC">
        <w:t xml:space="preserve"> </w:t>
      </w:r>
      <w:r w:rsidRPr="00406553">
        <w:t xml:space="preserve">(if none, enter ‘0’) </w:t>
      </w: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p w14:paraId="6FC62276" w14:textId="77777777" w:rsidR="00932364" w:rsidRPr="006E2C67" w:rsidRDefault="00932364" w:rsidP="00932364">
      <w:pPr>
        <w:pStyle w:val="Title"/>
      </w:pPr>
      <w:r w:rsidRPr="006E2C67">
        <w:t>Guidance notes</w:t>
      </w:r>
    </w:p>
    <w:p w14:paraId="59B5724D" w14:textId="1910CBC3" w:rsidR="00E241BA" w:rsidRDefault="006316F7" w:rsidP="00E241BA">
      <w:pPr>
        <w:shd w:val="clear" w:color="auto" w:fill="EBE4EC"/>
        <w:spacing w:after="120" w:line="259" w:lineRule="auto"/>
        <w:rPr>
          <w:rFonts w:eastAsia="Calibri"/>
        </w:rPr>
      </w:pPr>
      <w:r w:rsidRPr="00E241BA">
        <w:t>Temporary fill</w:t>
      </w:r>
      <w:r w:rsidR="00684A5C">
        <w:t>ing</w:t>
      </w:r>
      <w:r w:rsidRPr="00E241BA">
        <w:t xml:space="preserve"> is filling a permanent or fixed position that is currently vacant for a fixed period </w:t>
      </w:r>
      <w:r w:rsidR="00684A5C">
        <w:t xml:space="preserve">(that is, </w:t>
      </w:r>
      <w:r w:rsidRPr="00E241BA">
        <w:t>the position is substantively vacant</w:t>
      </w:r>
      <w:r w:rsidR="00684A5C">
        <w:t>)</w:t>
      </w:r>
      <w:r w:rsidRPr="00E241BA">
        <w:t xml:space="preserve">. For </w:t>
      </w:r>
      <w:r w:rsidR="00E241BA" w:rsidRPr="00E241BA">
        <w:t>example,</w:t>
      </w:r>
      <w:r w:rsidRPr="00E241BA">
        <w:t xml:space="preserve"> to fill a position temporarily while it is advertised.</w:t>
      </w:r>
      <w:r w:rsidR="00E241BA" w:rsidRPr="00E241BA">
        <w:rPr>
          <w:rFonts w:eastAsia="Calibri"/>
        </w:rPr>
        <w:t xml:space="preserve"> </w:t>
      </w:r>
    </w:p>
    <w:p w14:paraId="530525C2" w14:textId="39B2CA1A" w:rsidR="00E241BA" w:rsidRPr="00660480" w:rsidRDefault="00E241BA" w:rsidP="00E241BA">
      <w:pPr>
        <w:shd w:val="clear" w:color="auto" w:fill="EBE4EC"/>
        <w:spacing w:after="120" w:line="259" w:lineRule="auto"/>
        <w:rPr>
          <w:rFonts w:eastAsia="Calibri"/>
        </w:rPr>
      </w:pPr>
      <w:r>
        <w:rPr>
          <w:rFonts w:eastAsia="Calibri"/>
        </w:rPr>
        <w:t>Temporary fill</w:t>
      </w:r>
      <w:r w:rsidR="00684A5C">
        <w:rPr>
          <w:rFonts w:eastAsia="Calibri"/>
        </w:rPr>
        <w:t>ing</w:t>
      </w:r>
      <w:r>
        <w:rPr>
          <w:rFonts w:eastAsia="Calibri"/>
        </w:rPr>
        <w:t xml:space="preserve"> should only be counted if the position is otherwise substantively vacant.</w:t>
      </w:r>
    </w:p>
    <w:p w14:paraId="07221A77" w14:textId="10E2C375" w:rsidR="007F0473" w:rsidRDefault="007F0473" w:rsidP="007F0473">
      <w:pPr>
        <w:shd w:val="clear" w:color="auto" w:fill="EBE4EC"/>
        <w:spacing w:after="120" w:line="259" w:lineRule="auto"/>
        <w:rPr>
          <w:rFonts w:eastAsia="Calibri"/>
        </w:rPr>
      </w:pPr>
      <w:r w:rsidRPr="003D7B6D">
        <w:rPr>
          <w:rFonts w:eastAsia="Calibri"/>
        </w:rPr>
        <w:t xml:space="preserve">Include any currently </w:t>
      </w:r>
      <w:r>
        <w:rPr>
          <w:rFonts w:eastAsia="Calibri"/>
        </w:rPr>
        <w:t>temporary filled</w:t>
      </w:r>
      <w:r w:rsidRPr="003D7B6D">
        <w:rPr>
          <w:rFonts w:eastAsia="Calibri"/>
        </w:rPr>
        <w:t xml:space="preserve"> position at 30 September 2026</w:t>
      </w:r>
      <w:r>
        <w:rPr>
          <w:rFonts w:eastAsia="Calibri"/>
        </w:rPr>
        <w:t xml:space="preserve"> if it has been continuously occupied with no breaks in the filled period for 12 months or more by the same employee.</w:t>
      </w:r>
    </w:p>
    <w:p w14:paraId="794C29B9" w14:textId="002C398A" w:rsidR="00B95BDA" w:rsidRDefault="00B95BDA">
      <w:r>
        <w:br w:type="page"/>
      </w:r>
    </w:p>
    <w:p w14:paraId="3B69A57B" w14:textId="29056AF3" w:rsidR="00B95BDA" w:rsidRDefault="00B95BDA" w:rsidP="00B95BDA">
      <w:pPr>
        <w:pStyle w:val="Heading3"/>
        <w:spacing w:after="240"/>
      </w:pPr>
      <w:r w:rsidRPr="009D320E">
        <w:lastRenderedPageBreak/>
        <w:t xml:space="preserve">Section </w:t>
      </w:r>
      <w:r>
        <w:t>D</w:t>
      </w:r>
      <w:r w:rsidRPr="009D320E">
        <w:t xml:space="preserve">: </w:t>
      </w:r>
      <w:r>
        <w:t>Pool Management</w:t>
      </w:r>
    </w:p>
    <w:p w14:paraId="5EFE468F" w14:textId="77777777" w:rsidR="00B95BDA" w:rsidRPr="006E2C67" w:rsidRDefault="00B95BDA" w:rsidP="00B95BDA">
      <w:pPr>
        <w:pStyle w:val="Title"/>
      </w:pPr>
      <w:r>
        <w:t>Section g</w:t>
      </w:r>
      <w:r w:rsidRPr="006E2C67">
        <w:t>uidance notes</w:t>
      </w:r>
    </w:p>
    <w:p w14:paraId="506C502B" w14:textId="4B74A0CC" w:rsidR="00F30C70" w:rsidRPr="00A60365" w:rsidRDefault="006509D7" w:rsidP="00081E01">
      <w:pPr>
        <w:shd w:val="clear" w:color="auto" w:fill="EBE4EC"/>
        <w:spacing w:after="120" w:line="259" w:lineRule="auto"/>
        <w:rPr>
          <w:rFonts w:eastAsia="Calibri"/>
        </w:rPr>
      </w:pPr>
      <w:r>
        <w:rPr>
          <w:rFonts w:eastAsia="Calibri"/>
        </w:rPr>
        <w:t>E</w:t>
      </w:r>
      <w:r w:rsidR="00F30C70">
        <w:rPr>
          <w:rFonts w:eastAsia="Calibri"/>
        </w:rPr>
        <w:t>xclude</w:t>
      </w:r>
      <w:r w:rsidR="00081E01">
        <w:rPr>
          <w:rFonts w:eastAsia="Calibri"/>
        </w:rPr>
        <w:t xml:space="preserve"> </w:t>
      </w:r>
      <w:r w:rsidR="000F5790">
        <w:rPr>
          <w:rFonts w:eastAsia="Calibri"/>
        </w:rPr>
        <w:t xml:space="preserve">lists of </w:t>
      </w:r>
      <w:r w:rsidR="009076E7">
        <w:rPr>
          <w:rFonts w:eastAsia="Calibri"/>
        </w:rPr>
        <w:t>suitable applicants</w:t>
      </w:r>
      <w:r w:rsidR="00DF3C9A">
        <w:rPr>
          <w:rFonts w:eastAsia="Calibri"/>
        </w:rPr>
        <w:t xml:space="preserve"> from previous recruitment processes</w:t>
      </w:r>
      <w:r w:rsidR="00CD3969">
        <w:rPr>
          <w:rFonts w:eastAsia="Calibri"/>
        </w:rPr>
        <w:t xml:space="preserve"> </w:t>
      </w:r>
      <w:r w:rsidR="003569A2">
        <w:rPr>
          <w:rFonts w:eastAsia="Calibri"/>
        </w:rPr>
        <w:t xml:space="preserve">available to your </w:t>
      </w:r>
      <w:r w:rsidR="00C14B61">
        <w:rPr>
          <w:rFonts w:eastAsia="Calibri"/>
        </w:rPr>
        <w:t>auth</w:t>
      </w:r>
      <w:r w:rsidR="009A48C1">
        <w:rPr>
          <w:rFonts w:eastAsia="Calibri"/>
        </w:rPr>
        <w:t>o</w:t>
      </w:r>
      <w:r w:rsidR="00C14B61">
        <w:rPr>
          <w:rFonts w:eastAsia="Calibri"/>
        </w:rPr>
        <w:t>rity</w:t>
      </w:r>
      <w:r w:rsidR="002C3542">
        <w:rPr>
          <w:rFonts w:eastAsia="Calibri"/>
        </w:rPr>
        <w:t>.</w:t>
      </w:r>
    </w:p>
    <w:p w14:paraId="11CCD3C2" w14:textId="63715FD6" w:rsidR="00D8268B" w:rsidRPr="00F8762C" w:rsidRDefault="00D8268B" w:rsidP="008734CB">
      <w:pPr>
        <w:pStyle w:val="ListParagraph"/>
        <w:numPr>
          <w:ilvl w:val="0"/>
          <w:numId w:val="31"/>
        </w:numPr>
        <w:tabs>
          <w:tab w:val="left" w:pos="709"/>
        </w:tabs>
        <w:ind w:left="709" w:hanging="709"/>
        <w:rPr>
          <w:b/>
          <w:bCs/>
        </w:rPr>
      </w:pPr>
      <w:r w:rsidRPr="00F8762C">
        <w:rPr>
          <w:b/>
          <w:bCs/>
        </w:rPr>
        <w:t xml:space="preserve">How many pools were </w:t>
      </w:r>
      <w:r w:rsidR="00931687">
        <w:rPr>
          <w:b/>
          <w:bCs/>
        </w:rPr>
        <w:t>established</w:t>
      </w:r>
      <w:r w:rsidR="00931687" w:rsidRPr="00F8762C">
        <w:rPr>
          <w:b/>
          <w:bCs/>
        </w:rPr>
        <w:t xml:space="preserve"> </w:t>
      </w:r>
      <w:r w:rsidRPr="00F8762C">
        <w:rPr>
          <w:b/>
          <w:bCs/>
        </w:rPr>
        <w:t>at your authority in the period 1 July to 30 September 2026?</w:t>
      </w:r>
    </w:p>
    <w:p w14:paraId="3D658E80" w14:textId="51AA6175" w:rsidR="00B95BDA" w:rsidRDefault="00F8762C" w:rsidP="00F8762C">
      <w:pPr>
        <w:ind w:left="709"/>
      </w:pPr>
      <w:r w:rsidRPr="00F8762C">
        <w:t xml:space="preserve">Number of active pools </w:t>
      </w:r>
      <w:r w:rsidR="00B95BDA" w:rsidRPr="00406553">
        <w:t xml:space="preserve">(if none, enter ‘0’) </w:t>
      </w:r>
      <w:r w:rsidR="00B95BDA">
        <w:fldChar w:fldCharType="begin">
          <w:ffData>
            <w:name w:val="Text9"/>
            <w:enabled/>
            <w:calcOnExit w:val="0"/>
            <w:textInput/>
          </w:ffData>
        </w:fldChar>
      </w:r>
      <w:r w:rsidR="00B95BDA">
        <w:instrText xml:space="preserve"> FORMTEXT </w:instrText>
      </w:r>
      <w:r w:rsidR="00B95BDA">
        <w:fldChar w:fldCharType="separate"/>
      </w:r>
      <w:r w:rsidR="00B95BDA">
        <w:t> </w:t>
      </w:r>
      <w:r w:rsidR="00B95BDA">
        <w:t> </w:t>
      </w:r>
      <w:r w:rsidR="00B95BDA">
        <w:t> </w:t>
      </w:r>
      <w:r w:rsidR="00B95BDA">
        <w:t> </w:t>
      </w:r>
      <w:r w:rsidR="00B95BDA">
        <w:t> </w:t>
      </w:r>
      <w:r w:rsidR="00B95BDA">
        <w:fldChar w:fldCharType="end"/>
      </w:r>
    </w:p>
    <w:p w14:paraId="7C18914C" w14:textId="77777777" w:rsidR="00B95BDA" w:rsidRPr="006E2C67" w:rsidRDefault="00B95BDA" w:rsidP="00B95BDA">
      <w:pPr>
        <w:pStyle w:val="Title"/>
      </w:pPr>
      <w:r w:rsidRPr="006E2C67">
        <w:t>Guidance notes</w:t>
      </w:r>
    </w:p>
    <w:p w14:paraId="178C4C79" w14:textId="015A8798" w:rsidR="004F00BF" w:rsidRDefault="004F00BF" w:rsidP="004F00BF">
      <w:pPr>
        <w:shd w:val="clear" w:color="auto" w:fill="EBE4EC"/>
        <w:spacing w:after="120" w:line="259" w:lineRule="auto"/>
        <w:rPr>
          <w:rFonts w:eastAsia="Calibri"/>
        </w:rPr>
      </w:pPr>
      <w:r w:rsidRPr="00265F0E">
        <w:rPr>
          <w:rFonts w:eastAsia="Calibri"/>
        </w:rPr>
        <w:t xml:space="preserve">Include only pools </w:t>
      </w:r>
      <w:r>
        <w:rPr>
          <w:rFonts w:eastAsia="Calibri"/>
        </w:rPr>
        <w:t>established</w:t>
      </w:r>
      <w:r w:rsidRPr="00265F0E">
        <w:rPr>
          <w:rFonts w:eastAsia="Calibri"/>
        </w:rPr>
        <w:t xml:space="preserve"> after the start of the reference period (inclusive)</w:t>
      </w:r>
      <w:r>
        <w:rPr>
          <w:rFonts w:eastAsia="Calibri"/>
        </w:rPr>
        <w:t xml:space="preserve">. </w:t>
      </w:r>
    </w:p>
    <w:p w14:paraId="7C5E7D1E" w14:textId="360F7CC3" w:rsidR="004F00BF" w:rsidRDefault="004F00BF" w:rsidP="004F00BF">
      <w:pPr>
        <w:shd w:val="clear" w:color="auto" w:fill="EBE4EC"/>
        <w:spacing w:after="120" w:line="259" w:lineRule="auto"/>
        <w:rPr>
          <w:rFonts w:eastAsia="Calibri"/>
        </w:rPr>
      </w:pPr>
      <w:r>
        <w:rPr>
          <w:rFonts w:eastAsia="Calibri"/>
        </w:rPr>
        <w:t>When counting the number of established pools include a</w:t>
      </w:r>
      <w:r w:rsidRPr="00081E01">
        <w:rPr>
          <w:rFonts w:eastAsia="Calibri"/>
        </w:rPr>
        <w:t>ny shared pool</w:t>
      </w:r>
      <w:r w:rsidR="009A48C1">
        <w:rPr>
          <w:rFonts w:eastAsia="Calibri"/>
        </w:rPr>
        <w:t>s</w:t>
      </w:r>
      <w:r w:rsidRPr="00081E01">
        <w:rPr>
          <w:rFonts w:eastAsia="Calibri"/>
        </w:rPr>
        <w:t xml:space="preserve"> your </w:t>
      </w:r>
      <w:r w:rsidR="009A48C1">
        <w:rPr>
          <w:rFonts w:eastAsia="Calibri"/>
        </w:rPr>
        <w:t>authority</w:t>
      </w:r>
      <w:r w:rsidR="009A48C1" w:rsidRPr="00081E01">
        <w:rPr>
          <w:rFonts w:eastAsia="Calibri"/>
        </w:rPr>
        <w:t xml:space="preserve"> </w:t>
      </w:r>
      <w:r w:rsidRPr="00081E01">
        <w:rPr>
          <w:rFonts w:eastAsia="Calibri"/>
        </w:rPr>
        <w:t xml:space="preserve">is </w:t>
      </w:r>
      <w:r>
        <w:rPr>
          <w:rFonts w:eastAsia="Calibri"/>
        </w:rPr>
        <w:t xml:space="preserve">part of. </w:t>
      </w:r>
    </w:p>
    <w:p w14:paraId="32DD5AA9" w14:textId="3F848B74" w:rsidR="00B362CE" w:rsidRPr="00265F0E" w:rsidRDefault="00686CF3" w:rsidP="00265F0E">
      <w:pPr>
        <w:shd w:val="clear" w:color="auto" w:fill="EBE4EC"/>
        <w:spacing w:after="120" w:line="259" w:lineRule="auto"/>
        <w:rPr>
          <w:rFonts w:eastAsia="Calibri"/>
        </w:rPr>
      </w:pPr>
      <w:r w:rsidRPr="00265F0E">
        <w:rPr>
          <w:rFonts w:eastAsia="Calibri"/>
        </w:rPr>
        <w:t>Given the following pools</w:t>
      </w:r>
      <w:r w:rsidR="00BD718C" w:rsidRPr="00265F0E">
        <w:rPr>
          <w:rFonts w:eastAsia="Calibri"/>
        </w:rPr>
        <w:t>, and the reference period 1 July to 30 September 2026</w:t>
      </w:r>
      <w:r w:rsidRPr="00265F0E">
        <w:rPr>
          <w:rFonts w:eastAsia="Calibri"/>
        </w:rPr>
        <w:t>:</w:t>
      </w:r>
    </w:p>
    <w:p w14:paraId="70EBDAF6" w14:textId="77777777" w:rsidR="00686CF3" w:rsidRPr="00265F0E" w:rsidRDefault="00FC5B78" w:rsidP="00265F0E">
      <w:pPr>
        <w:pStyle w:val="ListParagraph"/>
        <w:numPr>
          <w:ilvl w:val="0"/>
          <w:numId w:val="40"/>
        </w:numPr>
        <w:shd w:val="clear" w:color="auto" w:fill="EBE4EC"/>
        <w:spacing w:after="120" w:line="259" w:lineRule="auto"/>
        <w:rPr>
          <w:rFonts w:eastAsia="Calibri"/>
        </w:rPr>
      </w:pPr>
      <w:r w:rsidRPr="00265F0E">
        <w:rPr>
          <w:rFonts w:eastAsia="Calibri"/>
        </w:rPr>
        <w:t xml:space="preserve">Pool A was opened 1 June 2026 and closed 1 </w:t>
      </w:r>
      <w:r w:rsidR="00240869" w:rsidRPr="00265F0E">
        <w:rPr>
          <w:rFonts w:eastAsia="Calibri"/>
        </w:rPr>
        <w:t>October 2026</w:t>
      </w:r>
    </w:p>
    <w:p w14:paraId="233BF9D8" w14:textId="25FEF8D8" w:rsidR="00823A3B" w:rsidRPr="0099488D" w:rsidRDefault="00823A3B" w:rsidP="0099488D">
      <w:pPr>
        <w:shd w:val="clear" w:color="auto" w:fill="EBE4EC"/>
        <w:spacing w:after="120" w:line="259" w:lineRule="auto"/>
        <w:ind w:firstLine="720"/>
        <w:rPr>
          <w:rFonts w:eastAsia="Calibri"/>
          <w:i/>
          <w:iCs/>
        </w:rPr>
      </w:pPr>
      <w:r w:rsidRPr="0099488D">
        <w:rPr>
          <w:rFonts w:eastAsia="Calibri"/>
          <w:i/>
          <w:iCs/>
        </w:rPr>
        <w:t xml:space="preserve">Pool A is not counted </w:t>
      </w:r>
      <w:r w:rsidR="00684A5C">
        <w:rPr>
          <w:rFonts w:eastAsia="Calibri"/>
          <w:i/>
          <w:iCs/>
        </w:rPr>
        <w:t>as</w:t>
      </w:r>
      <w:r w:rsidR="00684A5C" w:rsidRPr="0099488D">
        <w:rPr>
          <w:rFonts w:eastAsia="Calibri"/>
          <w:i/>
          <w:iCs/>
        </w:rPr>
        <w:t xml:space="preserve"> </w:t>
      </w:r>
      <w:r w:rsidRPr="0099488D">
        <w:rPr>
          <w:rFonts w:eastAsia="Calibri"/>
          <w:i/>
          <w:iCs/>
        </w:rPr>
        <w:t xml:space="preserve">it </w:t>
      </w:r>
      <w:r w:rsidR="00931687">
        <w:rPr>
          <w:rFonts w:eastAsia="Calibri"/>
          <w:i/>
          <w:iCs/>
        </w:rPr>
        <w:t>was established</w:t>
      </w:r>
      <w:r w:rsidR="00931687" w:rsidRPr="0099488D">
        <w:rPr>
          <w:rFonts w:eastAsia="Calibri"/>
          <w:i/>
          <w:iCs/>
        </w:rPr>
        <w:t xml:space="preserve"> </w:t>
      </w:r>
      <w:r w:rsidRPr="0099488D">
        <w:rPr>
          <w:rFonts w:eastAsia="Calibri"/>
          <w:i/>
          <w:iCs/>
        </w:rPr>
        <w:t xml:space="preserve">before the </w:t>
      </w:r>
      <w:r w:rsidR="00203DD9" w:rsidRPr="0099488D">
        <w:rPr>
          <w:rFonts w:eastAsia="Calibri"/>
          <w:i/>
          <w:iCs/>
        </w:rPr>
        <w:t>reference</w:t>
      </w:r>
      <w:r w:rsidRPr="0099488D">
        <w:rPr>
          <w:rFonts w:eastAsia="Calibri"/>
          <w:i/>
          <w:iCs/>
        </w:rPr>
        <w:t xml:space="preserve"> period</w:t>
      </w:r>
      <w:r w:rsidR="00684A5C">
        <w:rPr>
          <w:rFonts w:eastAsia="Calibri"/>
          <w:i/>
          <w:iCs/>
        </w:rPr>
        <w:t>.</w:t>
      </w:r>
    </w:p>
    <w:p w14:paraId="4EEC8B4A" w14:textId="77777777" w:rsidR="00240869" w:rsidRPr="002C3542" w:rsidRDefault="00240869" w:rsidP="00265F0E">
      <w:pPr>
        <w:pStyle w:val="ListParagraph"/>
        <w:numPr>
          <w:ilvl w:val="0"/>
          <w:numId w:val="40"/>
        </w:numPr>
        <w:shd w:val="clear" w:color="auto" w:fill="EBE4EC"/>
        <w:spacing w:after="120" w:line="259" w:lineRule="auto"/>
        <w:rPr>
          <w:rFonts w:eastAsia="Calibri"/>
        </w:rPr>
      </w:pPr>
      <w:r w:rsidRPr="002C3542">
        <w:rPr>
          <w:rFonts w:eastAsia="Calibri"/>
        </w:rPr>
        <w:t xml:space="preserve">Pool B was opened </w:t>
      </w:r>
      <w:r w:rsidR="00E714DD" w:rsidRPr="002C3542">
        <w:rPr>
          <w:rFonts w:eastAsia="Calibri"/>
        </w:rPr>
        <w:t xml:space="preserve">1 </w:t>
      </w:r>
      <w:r w:rsidR="00BD08A5" w:rsidRPr="002C3542">
        <w:rPr>
          <w:rFonts w:eastAsia="Calibri"/>
        </w:rPr>
        <w:t>July</w:t>
      </w:r>
      <w:r w:rsidR="00E714DD" w:rsidRPr="002C3542">
        <w:rPr>
          <w:rFonts w:eastAsia="Calibri"/>
        </w:rPr>
        <w:t xml:space="preserve"> 2026 and closed </w:t>
      </w:r>
      <w:r w:rsidR="00BD08A5" w:rsidRPr="002C3542">
        <w:rPr>
          <w:rFonts w:eastAsia="Calibri"/>
        </w:rPr>
        <w:t>1 September 2026</w:t>
      </w:r>
    </w:p>
    <w:p w14:paraId="63A87C15" w14:textId="3CEC4768" w:rsidR="008145E3" w:rsidRPr="0099488D" w:rsidRDefault="00203DD9" w:rsidP="0099488D">
      <w:pPr>
        <w:shd w:val="clear" w:color="auto" w:fill="EBE4EC"/>
        <w:spacing w:after="120" w:line="259" w:lineRule="auto"/>
        <w:ind w:firstLine="720"/>
        <w:rPr>
          <w:rFonts w:eastAsia="Calibri"/>
          <w:i/>
          <w:iCs/>
        </w:rPr>
      </w:pPr>
      <w:r w:rsidRPr="002C3542">
        <w:rPr>
          <w:rFonts w:eastAsia="Calibri"/>
          <w:i/>
          <w:iCs/>
        </w:rPr>
        <w:t xml:space="preserve">Pool B is counted </w:t>
      </w:r>
      <w:r w:rsidR="00684A5C">
        <w:rPr>
          <w:rFonts w:eastAsia="Calibri"/>
          <w:i/>
          <w:iCs/>
        </w:rPr>
        <w:t>as</w:t>
      </w:r>
      <w:r w:rsidR="00684A5C" w:rsidRPr="002C3542">
        <w:rPr>
          <w:rFonts w:eastAsia="Calibri"/>
          <w:i/>
          <w:iCs/>
        </w:rPr>
        <w:t xml:space="preserve"> </w:t>
      </w:r>
      <w:r w:rsidRPr="002C3542">
        <w:rPr>
          <w:rFonts w:eastAsia="Calibri"/>
          <w:i/>
          <w:iCs/>
        </w:rPr>
        <w:t xml:space="preserve">it </w:t>
      </w:r>
      <w:r w:rsidR="00931687">
        <w:rPr>
          <w:rFonts w:eastAsia="Calibri"/>
          <w:i/>
          <w:iCs/>
        </w:rPr>
        <w:t>was established</w:t>
      </w:r>
      <w:r w:rsidR="00931687" w:rsidRPr="002C3542">
        <w:rPr>
          <w:rFonts w:eastAsia="Calibri"/>
          <w:i/>
          <w:iCs/>
        </w:rPr>
        <w:t xml:space="preserve"> </w:t>
      </w:r>
      <w:r w:rsidR="008145E3" w:rsidRPr="002C3542">
        <w:rPr>
          <w:rFonts w:eastAsia="Calibri"/>
          <w:i/>
          <w:iCs/>
        </w:rPr>
        <w:t>during the reference period</w:t>
      </w:r>
      <w:r w:rsidR="00684A5C">
        <w:rPr>
          <w:rFonts w:eastAsia="Calibri"/>
          <w:i/>
          <w:iCs/>
        </w:rPr>
        <w:t>.</w:t>
      </w:r>
    </w:p>
    <w:p w14:paraId="51AD288A" w14:textId="77777777" w:rsidR="00BD08A5" w:rsidRPr="00265F0E" w:rsidRDefault="00BD08A5" w:rsidP="00265F0E">
      <w:pPr>
        <w:pStyle w:val="ListParagraph"/>
        <w:numPr>
          <w:ilvl w:val="0"/>
          <w:numId w:val="40"/>
        </w:numPr>
        <w:shd w:val="clear" w:color="auto" w:fill="EBE4EC"/>
        <w:spacing w:after="120" w:line="259" w:lineRule="auto"/>
        <w:rPr>
          <w:rFonts w:eastAsia="Calibri"/>
        </w:rPr>
      </w:pPr>
      <w:r w:rsidRPr="00265F0E">
        <w:rPr>
          <w:rFonts w:eastAsia="Calibri"/>
        </w:rPr>
        <w:t xml:space="preserve">Pool C was opened </w:t>
      </w:r>
      <w:r w:rsidR="00823A3B" w:rsidRPr="00265F0E">
        <w:rPr>
          <w:rFonts w:eastAsia="Calibri"/>
        </w:rPr>
        <w:t>1 July 2026 and closed 1 October 2026</w:t>
      </w:r>
    </w:p>
    <w:p w14:paraId="7AF91A15" w14:textId="0B7D1370" w:rsidR="008145E3" w:rsidRPr="0099488D" w:rsidRDefault="44CDABFC" w:rsidP="73738ADD">
      <w:pPr>
        <w:shd w:val="clear" w:color="auto" w:fill="EBE4EC"/>
        <w:spacing w:after="120" w:line="259" w:lineRule="auto"/>
        <w:ind w:firstLine="720"/>
        <w:rPr>
          <w:rFonts w:eastAsia="Calibri"/>
          <w:i/>
          <w:iCs/>
        </w:rPr>
      </w:pPr>
      <w:r w:rsidRPr="73738ADD">
        <w:rPr>
          <w:rFonts w:eastAsia="Calibri"/>
          <w:i/>
          <w:iCs/>
        </w:rPr>
        <w:t xml:space="preserve">Pool C is counted </w:t>
      </w:r>
      <w:r w:rsidR="00684A5C">
        <w:rPr>
          <w:rFonts w:eastAsia="Calibri"/>
          <w:i/>
          <w:iCs/>
        </w:rPr>
        <w:t>as</w:t>
      </w:r>
      <w:r w:rsidR="00684A5C" w:rsidRPr="73738ADD">
        <w:rPr>
          <w:rFonts w:eastAsia="Calibri"/>
          <w:i/>
          <w:iCs/>
        </w:rPr>
        <w:t xml:space="preserve"> </w:t>
      </w:r>
      <w:r w:rsidRPr="73738ADD">
        <w:rPr>
          <w:rFonts w:eastAsia="Calibri"/>
          <w:i/>
          <w:iCs/>
        </w:rPr>
        <w:t xml:space="preserve">it </w:t>
      </w:r>
      <w:r w:rsidR="00931687">
        <w:rPr>
          <w:rFonts w:eastAsia="Calibri"/>
          <w:i/>
          <w:iCs/>
        </w:rPr>
        <w:t>was established</w:t>
      </w:r>
      <w:r w:rsidR="00931687" w:rsidRPr="73738ADD">
        <w:rPr>
          <w:rFonts w:eastAsia="Calibri"/>
          <w:i/>
          <w:iCs/>
        </w:rPr>
        <w:t xml:space="preserve"> </w:t>
      </w:r>
      <w:r w:rsidRPr="73738ADD">
        <w:rPr>
          <w:rFonts w:eastAsia="Calibri"/>
          <w:i/>
          <w:iCs/>
        </w:rPr>
        <w:t>during the reference period</w:t>
      </w:r>
      <w:r w:rsidR="00D73926">
        <w:rPr>
          <w:rFonts w:eastAsia="Calibri"/>
          <w:i/>
          <w:iCs/>
        </w:rPr>
        <w:t>.</w:t>
      </w:r>
    </w:p>
    <w:p w14:paraId="2DA6BC60" w14:textId="3C926A1E" w:rsidR="004F00BF" w:rsidRPr="00F8762C" w:rsidRDefault="004F00BF" w:rsidP="004501EC">
      <w:pPr>
        <w:pStyle w:val="ListParagraph"/>
        <w:numPr>
          <w:ilvl w:val="0"/>
          <w:numId w:val="31"/>
        </w:numPr>
        <w:ind w:left="709" w:hanging="643"/>
        <w:rPr>
          <w:b/>
          <w:bCs/>
        </w:rPr>
      </w:pPr>
      <w:r w:rsidRPr="00F8762C">
        <w:rPr>
          <w:b/>
          <w:bCs/>
        </w:rPr>
        <w:t xml:space="preserve">How many pools were </w:t>
      </w:r>
      <w:r>
        <w:rPr>
          <w:b/>
          <w:bCs/>
        </w:rPr>
        <w:t xml:space="preserve">closed due to the pool </w:t>
      </w:r>
      <w:r w:rsidR="00684A5C">
        <w:rPr>
          <w:b/>
          <w:bCs/>
        </w:rPr>
        <w:t xml:space="preserve">being </w:t>
      </w:r>
      <w:r>
        <w:rPr>
          <w:b/>
          <w:bCs/>
        </w:rPr>
        <w:t>exhaust</w:t>
      </w:r>
      <w:r w:rsidR="00684A5C">
        <w:rPr>
          <w:b/>
          <w:bCs/>
        </w:rPr>
        <w:t>ed</w:t>
      </w:r>
      <w:r w:rsidRPr="00F8762C">
        <w:rPr>
          <w:b/>
          <w:bCs/>
        </w:rPr>
        <w:t xml:space="preserve"> at your authority in the period 1 July to 30 September 2026?</w:t>
      </w:r>
    </w:p>
    <w:p w14:paraId="70958D35" w14:textId="4BC9B26D" w:rsidR="004F00BF" w:rsidRDefault="004F00BF" w:rsidP="004F00BF">
      <w:pPr>
        <w:ind w:left="709"/>
      </w:pPr>
      <w:r w:rsidRPr="00F8762C">
        <w:t xml:space="preserve">Number of </w:t>
      </w:r>
      <w:r>
        <w:t xml:space="preserve">pools closed due to pool </w:t>
      </w:r>
      <w:r w:rsidR="00684A5C">
        <w:t xml:space="preserve">being </w:t>
      </w:r>
      <w:r>
        <w:t>exhausted</w:t>
      </w:r>
      <w:r w:rsidRPr="00F8762C">
        <w:t xml:space="preserve"> </w:t>
      </w:r>
      <w:r w:rsidRPr="00406553">
        <w:t xml:space="preserve">(if none, enter ‘0’) </w:t>
      </w: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p w14:paraId="34571E65" w14:textId="77777777" w:rsidR="004F00BF" w:rsidRPr="006E2C67" w:rsidRDefault="004F00BF" w:rsidP="004F00BF">
      <w:pPr>
        <w:pStyle w:val="Title"/>
      </w:pPr>
      <w:r w:rsidRPr="006E2C67">
        <w:t>Guidance notes</w:t>
      </w:r>
    </w:p>
    <w:p w14:paraId="0D35D127" w14:textId="6C24FB72" w:rsidR="004F00BF" w:rsidRDefault="004F00BF" w:rsidP="004F00BF">
      <w:pPr>
        <w:shd w:val="clear" w:color="auto" w:fill="EBE4EC"/>
        <w:spacing w:after="120" w:line="259" w:lineRule="auto"/>
        <w:rPr>
          <w:rFonts w:eastAsia="Calibri"/>
        </w:rPr>
      </w:pPr>
      <w:r w:rsidRPr="00265F0E">
        <w:rPr>
          <w:rFonts w:eastAsia="Calibri"/>
        </w:rPr>
        <w:t xml:space="preserve">Include only pools that </w:t>
      </w:r>
      <w:r>
        <w:rPr>
          <w:rFonts w:eastAsia="Calibri"/>
        </w:rPr>
        <w:t xml:space="preserve">were closed during the reference period (inclusive). </w:t>
      </w:r>
      <w:r w:rsidR="00D50D9B">
        <w:rPr>
          <w:rFonts w:eastAsia="Calibri"/>
        </w:rPr>
        <w:t xml:space="preserve">A pool is considered closed when no further offers </w:t>
      </w:r>
      <w:r w:rsidR="00684A5C">
        <w:rPr>
          <w:rFonts w:eastAsia="Calibri"/>
        </w:rPr>
        <w:t xml:space="preserve">are to </w:t>
      </w:r>
      <w:r w:rsidR="00D50D9B">
        <w:rPr>
          <w:rFonts w:eastAsia="Calibri"/>
        </w:rPr>
        <w:t>be made to suitable applicants in the pool.</w:t>
      </w:r>
    </w:p>
    <w:p w14:paraId="3A07C4EA" w14:textId="56AAB3F4" w:rsidR="004F00BF" w:rsidRDefault="004F00BF" w:rsidP="00C14B61">
      <w:pPr>
        <w:shd w:val="clear" w:color="auto" w:fill="EBE4EC"/>
        <w:spacing w:after="0" w:line="259" w:lineRule="auto"/>
        <w:rPr>
          <w:rFonts w:eastAsia="Calibri"/>
        </w:rPr>
      </w:pPr>
      <w:r>
        <w:rPr>
          <w:rFonts w:eastAsia="Calibri"/>
        </w:rPr>
        <w:t xml:space="preserve">A pool is exhausted when it: </w:t>
      </w:r>
    </w:p>
    <w:p w14:paraId="71698870" w14:textId="568F7216" w:rsidR="004F00BF" w:rsidRDefault="004F00BF" w:rsidP="004F00BF">
      <w:pPr>
        <w:pStyle w:val="ListParagraph"/>
        <w:numPr>
          <w:ilvl w:val="0"/>
          <w:numId w:val="40"/>
        </w:numPr>
        <w:shd w:val="clear" w:color="auto" w:fill="EBE4EC"/>
        <w:spacing w:after="120" w:line="259" w:lineRule="auto"/>
        <w:rPr>
          <w:rFonts w:eastAsia="Calibri"/>
        </w:rPr>
      </w:pPr>
      <w:r>
        <w:rPr>
          <w:rFonts w:eastAsia="Calibri"/>
        </w:rPr>
        <w:t>runs out of suitable applicants or</w:t>
      </w:r>
    </w:p>
    <w:p w14:paraId="7805E1CC" w14:textId="2A82C723" w:rsidR="00937445" w:rsidRPr="00810EF1" w:rsidRDefault="004F00BF" w:rsidP="00810EF1">
      <w:pPr>
        <w:pStyle w:val="ListParagraph"/>
        <w:numPr>
          <w:ilvl w:val="0"/>
          <w:numId w:val="40"/>
        </w:numPr>
        <w:shd w:val="clear" w:color="auto" w:fill="EBE4EC"/>
        <w:spacing w:after="120" w:line="259" w:lineRule="auto"/>
        <w:rPr>
          <w:rFonts w:ascii="Century Gothic" w:eastAsiaTheme="majorEastAsia" w:hAnsi="Century Gothic" w:cstheme="majorBidi"/>
          <w:color w:val="6C4979"/>
          <w:sz w:val="28"/>
          <w:szCs w:val="28"/>
        </w:rPr>
      </w:pPr>
      <w:r w:rsidRPr="00810EF1">
        <w:rPr>
          <w:rFonts w:eastAsia="Calibri"/>
        </w:rPr>
        <w:t>closes on a pre</w:t>
      </w:r>
      <w:r w:rsidR="00684A5C">
        <w:rPr>
          <w:rFonts w:eastAsia="Calibri"/>
        </w:rPr>
        <w:t>-</w:t>
      </w:r>
      <w:r w:rsidRPr="00810EF1">
        <w:rPr>
          <w:rFonts w:eastAsia="Calibri"/>
        </w:rPr>
        <w:t>defined closing date.</w:t>
      </w:r>
      <w:r w:rsidR="00937445">
        <w:br w:type="page"/>
      </w:r>
    </w:p>
    <w:p w14:paraId="4B752B51" w14:textId="7DBDDE4B" w:rsidR="006159D9" w:rsidRPr="006159D9" w:rsidRDefault="00C156B5" w:rsidP="00C156B5">
      <w:pPr>
        <w:pStyle w:val="Heading3"/>
        <w:spacing w:after="240"/>
      </w:pPr>
      <w:r>
        <w:lastRenderedPageBreak/>
        <w:t>Submitting your response</w:t>
      </w:r>
    </w:p>
    <w:tbl>
      <w:tblPr>
        <w:tblStyle w:val="TableGrid"/>
        <w:tblW w:w="0" w:type="auto"/>
        <w:tblLook w:val="04A0" w:firstRow="1" w:lastRow="0" w:firstColumn="1" w:lastColumn="0" w:noHBand="0" w:noVBand="1"/>
      </w:tblPr>
      <w:tblGrid>
        <w:gridCol w:w="1838"/>
        <w:gridCol w:w="7178"/>
      </w:tblGrid>
      <w:tr w:rsidR="006E6183" w14:paraId="7D1AB283" w14:textId="77777777">
        <w:tc>
          <w:tcPr>
            <w:tcW w:w="9016" w:type="dxa"/>
            <w:gridSpan w:val="2"/>
            <w:shd w:val="clear" w:color="auto" w:fill="EBE4EC"/>
          </w:tcPr>
          <w:p w14:paraId="690B99DD" w14:textId="77777777" w:rsidR="006159D9" w:rsidRPr="00671112" w:rsidRDefault="006159D9" w:rsidP="007C7FDA">
            <w:pPr>
              <w:spacing w:before="60" w:after="60"/>
              <w:rPr>
                <w:b/>
                <w:bCs/>
              </w:rPr>
            </w:pPr>
            <w:bookmarkStart w:id="0" w:name="_Hlk153443728"/>
            <w:r w:rsidRPr="00671112">
              <w:rPr>
                <w:b/>
                <w:bCs/>
              </w:rPr>
              <w:t xml:space="preserve">Details of the officer </w:t>
            </w:r>
            <w:r>
              <w:rPr>
                <w:b/>
                <w:bCs/>
              </w:rPr>
              <w:t>submitting</w:t>
            </w:r>
            <w:r w:rsidRPr="00671112">
              <w:rPr>
                <w:b/>
                <w:bCs/>
              </w:rPr>
              <w:t xml:space="preserve"> the collection</w:t>
            </w:r>
          </w:p>
        </w:tc>
      </w:tr>
      <w:tr w:rsidR="00793E8E" w14:paraId="45163247" w14:textId="77777777">
        <w:tc>
          <w:tcPr>
            <w:tcW w:w="1838" w:type="dxa"/>
            <w:shd w:val="clear" w:color="auto" w:fill="EBE4EC"/>
          </w:tcPr>
          <w:p w14:paraId="043F35C4" w14:textId="77777777" w:rsidR="006159D9" w:rsidRDefault="006159D9" w:rsidP="007C7FDA">
            <w:pPr>
              <w:spacing w:before="60" w:after="60"/>
            </w:pPr>
            <w:r>
              <w:t>Name</w:t>
            </w:r>
          </w:p>
        </w:tc>
        <w:tc>
          <w:tcPr>
            <w:tcW w:w="7178" w:type="dxa"/>
          </w:tcPr>
          <w:p w14:paraId="07FE6285" w14:textId="77777777" w:rsidR="006159D9" w:rsidRDefault="006159D9" w:rsidP="007C7FDA">
            <w:pPr>
              <w:spacing w:before="60" w:after="6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3E8E" w14:paraId="37C834F7" w14:textId="77777777">
        <w:tc>
          <w:tcPr>
            <w:tcW w:w="1838" w:type="dxa"/>
            <w:shd w:val="clear" w:color="auto" w:fill="EBE4EC"/>
          </w:tcPr>
          <w:p w14:paraId="7F939CD7" w14:textId="77777777" w:rsidR="006159D9" w:rsidRDefault="006159D9" w:rsidP="007C7FDA">
            <w:pPr>
              <w:spacing w:before="60" w:after="60"/>
            </w:pPr>
            <w:r>
              <w:t>Position</w:t>
            </w:r>
          </w:p>
        </w:tc>
        <w:tc>
          <w:tcPr>
            <w:tcW w:w="7178" w:type="dxa"/>
          </w:tcPr>
          <w:p w14:paraId="5CF4D625" w14:textId="77777777" w:rsidR="006159D9" w:rsidRDefault="006159D9" w:rsidP="007C7FDA">
            <w:pPr>
              <w:spacing w:before="60" w:after="60"/>
            </w:pPr>
            <w:r>
              <w:fldChar w:fldCharType="begin">
                <w:ffData>
                  <w:name w:val="Text4"/>
                  <w:enabled/>
                  <w:calcOnExit w:val="0"/>
                  <w:textInput/>
                </w:ffData>
              </w:fldChar>
            </w:r>
            <w:bookmarkStart w:id="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793E8E" w14:paraId="47581BDC" w14:textId="77777777">
        <w:tc>
          <w:tcPr>
            <w:tcW w:w="1838" w:type="dxa"/>
            <w:shd w:val="clear" w:color="auto" w:fill="EBE4EC"/>
          </w:tcPr>
          <w:p w14:paraId="16A4B44F" w14:textId="77777777" w:rsidR="006159D9" w:rsidRDefault="006159D9" w:rsidP="007C7FDA">
            <w:pPr>
              <w:spacing w:before="60" w:after="60"/>
            </w:pPr>
            <w:r>
              <w:t>Email</w:t>
            </w:r>
          </w:p>
        </w:tc>
        <w:tc>
          <w:tcPr>
            <w:tcW w:w="7178" w:type="dxa"/>
          </w:tcPr>
          <w:p w14:paraId="47A6069A" w14:textId="77777777" w:rsidR="006159D9" w:rsidRDefault="006159D9" w:rsidP="007C7FDA">
            <w:pPr>
              <w:spacing w:before="60" w:after="60"/>
            </w:pPr>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793E8E" w14:paraId="66921EBA" w14:textId="77777777">
        <w:tc>
          <w:tcPr>
            <w:tcW w:w="1838" w:type="dxa"/>
            <w:shd w:val="clear" w:color="auto" w:fill="EBE4EC"/>
          </w:tcPr>
          <w:p w14:paraId="1A319F91" w14:textId="77777777" w:rsidR="006159D9" w:rsidRDefault="006159D9" w:rsidP="007C7FDA">
            <w:pPr>
              <w:spacing w:before="60" w:after="60"/>
            </w:pPr>
            <w:r>
              <w:t>Telephone</w:t>
            </w:r>
          </w:p>
        </w:tc>
        <w:tc>
          <w:tcPr>
            <w:tcW w:w="7178" w:type="dxa"/>
          </w:tcPr>
          <w:p w14:paraId="7CC32C94" w14:textId="77777777" w:rsidR="006159D9" w:rsidRDefault="006159D9" w:rsidP="007C7FDA">
            <w:pPr>
              <w:spacing w:before="60" w:after="60"/>
            </w:pP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bookmarkEnd w:id="0"/>
    <w:p w14:paraId="0EB1B43E" w14:textId="08AA32DC" w:rsidR="006159D9" w:rsidRPr="00AC4710" w:rsidRDefault="00C156B5" w:rsidP="006159D9">
      <w:pPr>
        <w:pStyle w:val="Heading3"/>
        <w:spacing w:after="120"/>
      </w:pPr>
      <w:r>
        <w:t>Authorisation</w:t>
      </w:r>
    </w:p>
    <w:p w14:paraId="525C6CDD" w14:textId="77777777" w:rsidR="006159D9" w:rsidRDefault="006159D9" w:rsidP="006159D9">
      <w:bookmarkStart w:id="4" w:name="_Hlk156489775"/>
      <w:r>
        <w:t>To</w:t>
      </w:r>
      <w:r w:rsidRPr="00FC4508">
        <w:t xml:space="preserve"> review your responses</w:t>
      </w:r>
      <w:r>
        <w:t xml:space="preserve"> and data </w:t>
      </w:r>
      <w:r w:rsidRPr="00FC4508">
        <w:t>before submitting, use the table of contents menu</w:t>
      </w:r>
      <w:r>
        <w:t xml:space="preserve">. If you click </w:t>
      </w:r>
      <w:r>
        <w:rPr>
          <w:b/>
        </w:rPr>
        <w:t xml:space="preserve">Submit </w:t>
      </w:r>
      <w:r w:rsidRPr="00FC4508">
        <w:t xml:space="preserve">and proceed to the next page, you </w:t>
      </w:r>
      <w:r w:rsidRPr="00A030F5">
        <w:rPr>
          <w:u w:val="single"/>
        </w:rPr>
        <w:t>cannot</w:t>
      </w:r>
      <w:r w:rsidRPr="00FC4508">
        <w:t xml:space="preserve"> go back and edit</w:t>
      </w:r>
      <w:r>
        <w:t xml:space="preserve"> </w:t>
      </w:r>
      <w:r w:rsidRPr="00FC4508">
        <w:t>your responses. </w:t>
      </w:r>
    </w:p>
    <w:p w14:paraId="3EC938EC" w14:textId="291BDDB5" w:rsidR="006159D9" w:rsidRPr="00C14B61" w:rsidRDefault="006159D9" w:rsidP="006159D9">
      <w:r w:rsidRPr="00C14B61">
        <w:t xml:space="preserve">By clicking the </w:t>
      </w:r>
      <w:r w:rsidRPr="00C14B61">
        <w:rPr>
          <w:b/>
          <w:bCs/>
        </w:rPr>
        <w:t xml:space="preserve">Submit </w:t>
      </w:r>
      <w:r w:rsidRPr="00C14B61">
        <w:t>button and finalising your submission you are confirming the data is current and accurate, and your responses have been approved by the head of your authority.</w:t>
      </w:r>
    </w:p>
    <w:p w14:paraId="48997905" w14:textId="77777777" w:rsidR="006159D9" w:rsidRDefault="006159D9" w:rsidP="006159D9">
      <w:r w:rsidRPr="00C14B61">
        <w:t xml:space="preserve">Once you click the </w:t>
      </w:r>
      <w:r w:rsidRPr="00C14B61">
        <w:rPr>
          <w:b/>
          <w:bCs/>
        </w:rPr>
        <w:t xml:space="preserve">Submit </w:t>
      </w:r>
      <w:r w:rsidRPr="00C14B61">
        <w:t>button you are taken to a summary of your finalised responses and can download a PDF version. It is strongly recommended that you download a PDF of your responses and file it for record</w:t>
      </w:r>
      <w:r w:rsidRPr="00671112">
        <w:t xml:space="preserve"> keeping purposes</w:t>
      </w:r>
      <w:bookmarkEnd w:id="4"/>
      <w:r w:rsidRPr="00671112">
        <w:t>.</w:t>
      </w:r>
    </w:p>
    <w:p w14:paraId="7CD9D2B4" w14:textId="77777777" w:rsidR="007C5E29" w:rsidRPr="007C5E29" w:rsidRDefault="007C5E29" w:rsidP="00FB1142"/>
    <w:sectPr w:rsidR="007C5E29" w:rsidRPr="007C5E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3546" w14:textId="77777777" w:rsidR="00480726" w:rsidRDefault="00480726" w:rsidP="00FB1142">
      <w:r>
        <w:separator/>
      </w:r>
    </w:p>
  </w:endnote>
  <w:endnote w:type="continuationSeparator" w:id="0">
    <w:p w14:paraId="273E068F" w14:textId="77777777" w:rsidR="00480726" w:rsidRDefault="00480726" w:rsidP="00FB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C8D56" w14:textId="77777777" w:rsidR="00480726" w:rsidRDefault="00480726" w:rsidP="00FB1142">
      <w:r>
        <w:separator/>
      </w:r>
    </w:p>
  </w:footnote>
  <w:footnote w:type="continuationSeparator" w:id="0">
    <w:p w14:paraId="20AC6904" w14:textId="77777777" w:rsidR="00480726" w:rsidRDefault="00480726" w:rsidP="00FB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7EBE" w14:textId="14A4B9E4" w:rsidR="002D5739" w:rsidRDefault="002D5739" w:rsidP="00FB1142">
    <w:pPr>
      <w:pStyle w:val="Header"/>
    </w:pPr>
  </w:p>
  <w:p w14:paraId="5C91E7F5" w14:textId="77777777" w:rsidR="002D5739" w:rsidRDefault="002D5739" w:rsidP="00FB1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BE28" w14:textId="4AF89421" w:rsidR="00E51A91" w:rsidRDefault="00E51A91" w:rsidP="007C7FDA">
    <w:pPr>
      <w:pStyle w:val="Header"/>
      <w:ind w:left="142"/>
    </w:pPr>
    <w:r>
      <w:rPr>
        <w:noProof/>
      </w:rPr>
      <w:drawing>
        <wp:anchor distT="0" distB="0" distL="114300" distR="114300" simplePos="0" relativeHeight="251660288" behindDoc="1" locked="0" layoutInCell="1" allowOverlap="1" wp14:anchorId="3D57A21C" wp14:editId="6ABC8319">
          <wp:simplePos x="0" y="0"/>
          <wp:positionH relativeFrom="page">
            <wp:align>left</wp:align>
          </wp:positionH>
          <wp:positionV relativeFrom="paragraph">
            <wp:posOffset>-461010</wp:posOffset>
          </wp:positionV>
          <wp:extent cx="7737626" cy="1627464"/>
          <wp:effectExtent l="0" t="0" r="0" b="0"/>
          <wp:wrapNone/>
          <wp:docPr id="361696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26" cy="162746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53D"/>
    <w:multiLevelType w:val="hybridMultilevel"/>
    <w:tmpl w:val="EDD832D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 w15:restartNumberingAfterBreak="0">
    <w:nsid w:val="096C2EA4"/>
    <w:multiLevelType w:val="hybridMultilevel"/>
    <w:tmpl w:val="87EE5BE6"/>
    <w:lvl w:ilvl="0" w:tplc="31948822">
      <w:start w:val="1"/>
      <w:numFmt w:val="decimal"/>
      <w:lvlText w:val="B%1."/>
      <w:lvlJc w:val="left"/>
      <w:pPr>
        <w:ind w:left="360" w:hanging="360"/>
      </w:pPr>
      <w:rPr>
        <w:rFonts w:hint="default"/>
        <w:b/>
        <w:bCs/>
      </w:rPr>
    </w:lvl>
    <w:lvl w:ilvl="1" w:tplc="FFFFFFFF">
      <w:start w:val="1"/>
      <w:numFmt w:val="bullet"/>
      <w:lvlText w:val="o"/>
      <w:lvlJc w:val="left"/>
      <w:pPr>
        <w:ind w:left="709" w:hanging="360"/>
      </w:pPr>
      <w:rPr>
        <w:rFonts w:ascii="Courier New" w:hAnsi="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396F85"/>
    <w:multiLevelType w:val="hybridMultilevel"/>
    <w:tmpl w:val="22F2FF86"/>
    <w:lvl w:ilvl="0" w:tplc="0C090001">
      <w:start w:val="1"/>
      <w:numFmt w:val="bullet"/>
      <w:lvlText w:val=""/>
      <w:lvlJc w:val="left"/>
      <w:pPr>
        <w:ind w:left="426" w:hanging="360"/>
      </w:pPr>
      <w:rPr>
        <w:rFonts w:ascii="Symbol" w:hAnsi="Symbol"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3" w15:restartNumberingAfterBreak="0">
    <w:nsid w:val="0C1A003A"/>
    <w:multiLevelType w:val="hybridMultilevel"/>
    <w:tmpl w:val="D9681A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257FF5"/>
    <w:multiLevelType w:val="hybridMultilevel"/>
    <w:tmpl w:val="5184B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B06123"/>
    <w:multiLevelType w:val="hybridMultilevel"/>
    <w:tmpl w:val="D9681A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BC0499"/>
    <w:multiLevelType w:val="hybridMultilevel"/>
    <w:tmpl w:val="63088212"/>
    <w:lvl w:ilvl="0" w:tplc="E4D42922">
      <w:start w:val="1"/>
      <w:numFmt w:val="decimal"/>
      <w:lvlText w:val="C%1."/>
      <w:lvlJc w:val="left"/>
      <w:pPr>
        <w:ind w:left="360" w:hanging="360"/>
      </w:pPr>
      <w:rPr>
        <w:rFonts w:hint="default"/>
        <w:b/>
        <w:bCs/>
      </w:rPr>
    </w:lvl>
    <w:lvl w:ilvl="1" w:tplc="FFFFFFFF">
      <w:start w:val="1"/>
      <w:numFmt w:val="bullet"/>
      <w:lvlText w:val="o"/>
      <w:lvlJc w:val="left"/>
      <w:pPr>
        <w:ind w:left="709" w:hanging="360"/>
      </w:pPr>
      <w:rPr>
        <w:rFonts w:ascii="Courier New" w:hAnsi="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710E7D"/>
    <w:multiLevelType w:val="hybridMultilevel"/>
    <w:tmpl w:val="678821E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71BFA6"/>
    <w:multiLevelType w:val="hybridMultilevel"/>
    <w:tmpl w:val="2F785AC4"/>
    <w:lvl w:ilvl="0" w:tplc="8E92E2AC">
      <w:start w:val="1"/>
      <w:numFmt w:val="bullet"/>
      <w:lvlText w:val="-"/>
      <w:lvlJc w:val="left"/>
      <w:pPr>
        <w:ind w:left="141" w:hanging="360"/>
      </w:pPr>
      <w:rPr>
        <w:rFonts w:ascii="Aptos" w:hAnsi="Aptos" w:hint="default"/>
      </w:rPr>
    </w:lvl>
    <w:lvl w:ilvl="1" w:tplc="9394FD32">
      <w:start w:val="1"/>
      <w:numFmt w:val="bullet"/>
      <w:lvlText w:val="o"/>
      <w:lvlJc w:val="left"/>
      <w:pPr>
        <w:ind w:left="861" w:hanging="360"/>
      </w:pPr>
      <w:rPr>
        <w:rFonts w:ascii="Courier New" w:hAnsi="Courier New" w:hint="default"/>
      </w:rPr>
    </w:lvl>
    <w:lvl w:ilvl="2" w:tplc="25F6B852">
      <w:start w:val="1"/>
      <w:numFmt w:val="bullet"/>
      <w:lvlText w:val=""/>
      <w:lvlJc w:val="left"/>
      <w:pPr>
        <w:ind w:left="1581" w:hanging="360"/>
      </w:pPr>
      <w:rPr>
        <w:rFonts w:ascii="Wingdings" w:hAnsi="Wingdings" w:hint="default"/>
      </w:rPr>
    </w:lvl>
    <w:lvl w:ilvl="3" w:tplc="BE100C0C">
      <w:start w:val="1"/>
      <w:numFmt w:val="bullet"/>
      <w:lvlText w:val=""/>
      <w:lvlJc w:val="left"/>
      <w:pPr>
        <w:ind w:left="2301" w:hanging="360"/>
      </w:pPr>
      <w:rPr>
        <w:rFonts w:ascii="Symbol" w:hAnsi="Symbol" w:hint="default"/>
      </w:rPr>
    </w:lvl>
    <w:lvl w:ilvl="4" w:tplc="9A924B70">
      <w:start w:val="1"/>
      <w:numFmt w:val="bullet"/>
      <w:lvlText w:val="o"/>
      <w:lvlJc w:val="left"/>
      <w:pPr>
        <w:ind w:left="3021" w:hanging="360"/>
      </w:pPr>
      <w:rPr>
        <w:rFonts w:ascii="Courier New" w:hAnsi="Courier New" w:hint="default"/>
      </w:rPr>
    </w:lvl>
    <w:lvl w:ilvl="5" w:tplc="98F68634">
      <w:start w:val="1"/>
      <w:numFmt w:val="bullet"/>
      <w:lvlText w:val=""/>
      <w:lvlJc w:val="left"/>
      <w:pPr>
        <w:ind w:left="3741" w:hanging="360"/>
      </w:pPr>
      <w:rPr>
        <w:rFonts w:ascii="Wingdings" w:hAnsi="Wingdings" w:hint="default"/>
      </w:rPr>
    </w:lvl>
    <w:lvl w:ilvl="6" w:tplc="D946F24E">
      <w:start w:val="1"/>
      <w:numFmt w:val="bullet"/>
      <w:lvlText w:val=""/>
      <w:lvlJc w:val="left"/>
      <w:pPr>
        <w:ind w:left="4461" w:hanging="360"/>
      </w:pPr>
      <w:rPr>
        <w:rFonts w:ascii="Symbol" w:hAnsi="Symbol" w:hint="default"/>
      </w:rPr>
    </w:lvl>
    <w:lvl w:ilvl="7" w:tplc="452C3DF2">
      <w:start w:val="1"/>
      <w:numFmt w:val="bullet"/>
      <w:lvlText w:val="o"/>
      <w:lvlJc w:val="left"/>
      <w:pPr>
        <w:ind w:left="5181" w:hanging="360"/>
      </w:pPr>
      <w:rPr>
        <w:rFonts w:ascii="Courier New" w:hAnsi="Courier New" w:hint="default"/>
      </w:rPr>
    </w:lvl>
    <w:lvl w:ilvl="8" w:tplc="D56E5B72">
      <w:start w:val="1"/>
      <w:numFmt w:val="bullet"/>
      <w:lvlText w:val=""/>
      <w:lvlJc w:val="left"/>
      <w:pPr>
        <w:ind w:left="5901" w:hanging="360"/>
      </w:pPr>
      <w:rPr>
        <w:rFonts w:ascii="Wingdings" w:hAnsi="Wingdings" w:hint="default"/>
      </w:rPr>
    </w:lvl>
  </w:abstractNum>
  <w:abstractNum w:abstractNumId="9" w15:restartNumberingAfterBreak="0">
    <w:nsid w:val="1E7475FA"/>
    <w:multiLevelType w:val="hybridMultilevel"/>
    <w:tmpl w:val="B3BE0B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92FA77"/>
    <w:multiLevelType w:val="hybridMultilevel"/>
    <w:tmpl w:val="AA54D3FE"/>
    <w:lvl w:ilvl="0" w:tplc="57722AAA">
      <w:start w:val="1"/>
      <w:numFmt w:val="bullet"/>
      <w:lvlText w:val=""/>
      <w:lvlJc w:val="left"/>
      <w:pPr>
        <w:ind w:left="720" w:hanging="360"/>
      </w:pPr>
      <w:rPr>
        <w:rFonts w:ascii="Symbol" w:hAnsi="Symbol" w:hint="default"/>
      </w:rPr>
    </w:lvl>
    <w:lvl w:ilvl="1" w:tplc="0DF835D6">
      <w:start w:val="1"/>
      <w:numFmt w:val="bullet"/>
      <w:lvlText w:val="o"/>
      <w:lvlJc w:val="left"/>
      <w:pPr>
        <w:ind w:left="1440" w:hanging="360"/>
      </w:pPr>
      <w:rPr>
        <w:rFonts w:ascii="Courier New" w:hAnsi="Courier New" w:hint="default"/>
      </w:rPr>
    </w:lvl>
    <w:lvl w:ilvl="2" w:tplc="BF7EBEBC">
      <w:start w:val="1"/>
      <w:numFmt w:val="bullet"/>
      <w:lvlText w:val=""/>
      <w:lvlJc w:val="left"/>
      <w:pPr>
        <w:ind w:left="2160" w:hanging="360"/>
      </w:pPr>
      <w:rPr>
        <w:rFonts w:ascii="Wingdings" w:hAnsi="Wingdings" w:hint="default"/>
      </w:rPr>
    </w:lvl>
    <w:lvl w:ilvl="3" w:tplc="D1CE4E5E">
      <w:start w:val="1"/>
      <w:numFmt w:val="bullet"/>
      <w:lvlText w:val=""/>
      <w:lvlJc w:val="left"/>
      <w:pPr>
        <w:ind w:left="2880" w:hanging="360"/>
      </w:pPr>
      <w:rPr>
        <w:rFonts w:ascii="Symbol" w:hAnsi="Symbol" w:hint="default"/>
      </w:rPr>
    </w:lvl>
    <w:lvl w:ilvl="4" w:tplc="F9ACF69A">
      <w:start w:val="1"/>
      <w:numFmt w:val="bullet"/>
      <w:lvlText w:val="o"/>
      <w:lvlJc w:val="left"/>
      <w:pPr>
        <w:ind w:left="3600" w:hanging="360"/>
      </w:pPr>
      <w:rPr>
        <w:rFonts w:ascii="Courier New" w:hAnsi="Courier New" w:hint="default"/>
      </w:rPr>
    </w:lvl>
    <w:lvl w:ilvl="5" w:tplc="369443E2">
      <w:start w:val="1"/>
      <w:numFmt w:val="bullet"/>
      <w:lvlText w:val=""/>
      <w:lvlJc w:val="left"/>
      <w:pPr>
        <w:ind w:left="4320" w:hanging="360"/>
      </w:pPr>
      <w:rPr>
        <w:rFonts w:ascii="Wingdings" w:hAnsi="Wingdings" w:hint="default"/>
      </w:rPr>
    </w:lvl>
    <w:lvl w:ilvl="6" w:tplc="AA12E71A">
      <w:start w:val="1"/>
      <w:numFmt w:val="bullet"/>
      <w:lvlText w:val=""/>
      <w:lvlJc w:val="left"/>
      <w:pPr>
        <w:ind w:left="5040" w:hanging="360"/>
      </w:pPr>
      <w:rPr>
        <w:rFonts w:ascii="Symbol" w:hAnsi="Symbol" w:hint="default"/>
      </w:rPr>
    </w:lvl>
    <w:lvl w:ilvl="7" w:tplc="569654F8">
      <w:start w:val="1"/>
      <w:numFmt w:val="bullet"/>
      <w:lvlText w:val="o"/>
      <w:lvlJc w:val="left"/>
      <w:pPr>
        <w:ind w:left="5760" w:hanging="360"/>
      </w:pPr>
      <w:rPr>
        <w:rFonts w:ascii="Courier New" w:hAnsi="Courier New" w:hint="default"/>
      </w:rPr>
    </w:lvl>
    <w:lvl w:ilvl="8" w:tplc="399C8536">
      <w:start w:val="1"/>
      <w:numFmt w:val="bullet"/>
      <w:lvlText w:val=""/>
      <w:lvlJc w:val="left"/>
      <w:pPr>
        <w:ind w:left="6480" w:hanging="360"/>
      </w:pPr>
      <w:rPr>
        <w:rFonts w:ascii="Wingdings" w:hAnsi="Wingdings" w:hint="default"/>
      </w:rPr>
    </w:lvl>
  </w:abstractNum>
  <w:abstractNum w:abstractNumId="11" w15:restartNumberingAfterBreak="0">
    <w:nsid w:val="1EC528E0"/>
    <w:multiLevelType w:val="hybridMultilevel"/>
    <w:tmpl w:val="91F00CCE"/>
    <w:lvl w:ilvl="0" w:tplc="C900B190">
      <w:start w:val="1"/>
      <w:numFmt w:val="decimal"/>
      <w:lvlText w:val="D%1."/>
      <w:lvlJc w:val="left"/>
      <w:pPr>
        <w:ind w:left="360" w:hanging="360"/>
      </w:pPr>
      <w:rPr>
        <w:rFonts w:hint="default"/>
        <w:b/>
        <w:bCs/>
      </w:rPr>
    </w:lvl>
    <w:lvl w:ilvl="1" w:tplc="FFFFFFFF">
      <w:start w:val="1"/>
      <w:numFmt w:val="bullet"/>
      <w:lvlText w:val="o"/>
      <w:lvlJc w:val="left"/>
      <w:pPr>
        <w:ind w:left="709" w:hanging="360"/>
      </w:pPr>
      <w:rPr>
        <w:rFonts w:ascii="Courier New" w:hAnsi="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034307D"/>
    <w:multiLevelType w:val="hybridMultilevel"/>
    <w:tmpl w:val="4B66F618"/>
    <w:lvl w:ilvl="0" w:tplc="7E0CF16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6A048B"/>
    <w:multiLevelType w:val="multilevel"/>
    <w:tmpl w:val="153288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DA3405"/>
    <w:multiLevelType w:val="hybridMultilevel"/>
    <w:tmpl w:val="A6C665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441C29"/>
    <w:multiLevelType w:val="hybridMultilevel"/>
    <w:tmpl w:val="14E60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C97857"/>
    <w:multiLevelType w:val="hybridMultilevel"/>
    <w:tmpl w:val="C764C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9E27FF3"/>
    <w:multiLevelType w:val="hybridMultilevel"/>
    <w:tmpl w:val="A7026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F845B9"/>
    <w:multiLevelType w:val="hybridMultilevel"/>
    <w:tmpl w:val="034A7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EF9104"/>
    <w:multiLevelType w:val="hybridMultilevel"/>
    <w:tmpl w:val="25B627BC"/>
    <w:lvl w:ilvl="0" w:tplc="DD2EC2CC">
      <w:start w:val="1"/>
      <w:numFmt w:val="bullet"/>
      <w:lvlText w:val="-"/>
      <w:lvlJc w:val="left"/>
      <w:pPr>
        <w:ind w:left="720" w:hanging="360"/>
      </w:pPr>
      <w:rPr>
        <w:rFonts w:ascii="Aptos" w:hAnsi="Aptos" w:hint="default"/>
      </w:rPr>
    </w:lvl>
    <w:lvl w:ilvl="1" w:tplc="84542824">
      <w:start w:val="1"/>
      <w:numFmt w:val="bullet"/>
      <w:lvlText w:val="o"/>
      <w:lvlJc w:val="left"/>
      <w:pPr>
        <w:ind w:left="1440" w:hanging="360"/>
      </w:pPr>
      <w:rPr>
        <w:rFonts w:ascii="Courier New" w:hAnsi="Courier New" w:hint="default"/>
      </w:rPr>
    </w:lvl>
    <w:lvl w:ilvl="2" w:tplc="316C6C24">
      <w:start w:val="1"/>
      <w:numFmt w:val="bullet"/>
      <w:lvlText w:val=""/>
      <w:lvlJc w:val="left"/>
      <w:pPr>
        <w:ind w:left="2160" w:hanging="360"/>
      </w:pPr>
      <w:rPr>
        <w:rFonts w:ascii="Wingdings" w:hAnsi="Wingdings" w:hint="default"/>
      </w:rPr>
    </w:lvl>
    <w:lvl w:ilvl="3" w:tplc="0324CDC2">
      <w:start w:val="1"/>
      <w:numFmt w:val="bullet"/>
      <w:lvlText w:val=""/>
      <w:lvlJc w:val="left"/>
      <w:pPr>
        <w:ind w:left="2880" w:hanging="360"/>
      </w:pPr>
      <w:rPr>
        <w:rFonts w:ascii="Symbol" w:hAnsi="Symbol" w:hint="default"/>
      </w:rPr>
    </w:lvl>
    <w:lvl w:ilvl="4" w:tplc="2698012C">
      <w:start w:val="1"/>
      <w:numFmt w:val="bullet"/>
      <w:lvlText w:val="o"/>
      <w:lvlJc w:val="left"/>
      <w:pPr>
        <w:ind w:left="3600" w:hanging="360"/>
      </w:pPr>
      <w:rPr>
        <w:rFonts w:ascii="Courier New" w:hAnsi="Courier New" w:hint="default"/>
      </w:rPr>
    </w:lvl>
    <w:lvl w:ilvl="5" w:tplc="5754BA9C">
      <w:start w:val="1"/>
      <w:numFmt w:val="bullet"/>
      <w:lvlText w:val=""/>
      <w:lvlJc w:val="left"/>
      <w:pPr>
        <w:ind w:left="4320" w:hanging="360"/>
      </w:pPr>
      <w:rPr>
        <w:rFonts w:ascii="Wingdings" w:hAnsi="Wingdings" w:hint="default"/>
      </w:rPr>
    </w:lvl>
    <w:lvl w:ilvl="6" w:tplc="66DEB014">
      <w:start w:val="1"/>
      <w:numFmt w:val="bullet"/>
      <w:lvlText w:val=""/>
      <w:lvlJc w:val="left"/>
      <w:pPr>
        <w:ind w:left="5040" w:hanging="360"/>
      </w:pPr>
      <w:rPr>
        <w:rFonts w:ascii="Symbol" w:hAnsi="Symbol" w:hint="default"/>
      </w:rPr>
    </w:lvl>
    <w:lvl w:ilvl="7" w:tplc="6E9A9A90">
      <w:start w:val="1"/>
      <w:numFmt w:val="bullet"/>
      <w:lvlText w:val="o"/>
      <w:lvlJc w:val="left"/>
      <w:pPr>
        <w:ind w:left="5760" w:hanging="360"/>
      </w:pPr>
      <w:rPr>
        <w:rFonts w:ascii="Courier New" w:hAnsi="Courier New" w:hint="default"/>
      </w:rPr>
    </w:lvl>
    <w:lvl w:ilvl="8" w:tplc="1088B172">
      <w:start w:val="1"/>
      <w:numFmt w:val="bullet"/>
      <w:lvlText w:val=""/>
      <w:lvlJc w:val="left"/>
      <w:pPr>
        <w:ind w:left="6480" w:hanging="360"/>
      </w:pPr>
      <w:rPr>
        <w:rFonts w:ascii="Wingdings" w:hAnsi="Wingdings" w:hint="default"/>
      </w:rPr>
    </w:lvl>
  </w:abstractNum>
  <w:abstractNum w:abstractNumId="20" w15:restartNumberingAfterBreak="0">
    <w:nsid w:val="303818E3"/>
    <w:multiLevelType w:val="hybridMultilevel"/>
    <w:tmpl w:val="06D45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44BE6"/>
    <w:multiLevelType w:val="multilevel"/>
    <w:tmpl w:val="E108879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2C3E8F"/>
    <w:multiLevelType w:val="hybridMultilevel"/>
    <w:tmpl w:val="82F4691A"/>
    <w:lvl w:ilvl="0" w:tplc="3FB8DD6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490180"/>
    <w:multiLevelType w:val="multilevel"/>
    <w:tmpl w:val="5FB65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7D502D"/>
    <w:multiLevelType w:val="hybridMultilevel"/>
    <w:tmpl w:val="43883314"/>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1069"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36896307"/>
    <w:multiLevelType w:val="hybridMultilevel"/>
    <w:tmpl w:val="7A9C48E6"/>
    <w:lvl w:ilvl="0" w:tplc="B28C2BA2">
      <w:start w:val="1"/>
      <w:numFmt w:val="decimal"/>
      <w:lvlText w:val="B%1.2"/>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A267BEB"/>
    <w:multiLevelType w:val="hybridMultilevel"/>
    <w:tmpl w:val="76226EC0"/>
    <w:lvl w:ilvl="0" w:tplc="C900B190">
      <w:start w:val="1"/>
      <w:numFmt w:val="decimal"/>
      <w:lvlText w:val="D%1."/>
      <w:lvlJc w:val="left"/>
      <w:pPr>
        <w:ind w:left="1429" w:hanging="360"/>
      </w:pPr>
      <w:rPr>
        <w:rFonts w:hint="default"/>
        <w:b/>
        <w:bCs/>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7" w15:restartNumberingAfterBreak="0">
    <w:nsid w:val="3B2719BB"/>
    <w:multiLevelType w:val="hybridMultilevel"/>
    <w:tmpl w:val="36CEC4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1EC8691"/>
    <w:multiLevelType w:val="hybridMultilevel"/>
    <w:tmpl w:val="62D28A2A"/>
    <w:lvl w:ilvl="0" w:tplc="F35E1C10">
      <w:start w:val="1"/>
      <w:numFmt w:val="bullet"/>
      <w:lvlText w:val=""/>
      <w:lvlJc w:val="left"/>
      <w:pPr>
        <w:ind w:left="720" w:hanging="360"/>
      </w:pPr>
      <w:rPr>
        <w:rFonts w:ascii="Symbol" w:hAnsi="Symbol" w:hint="default"/>
      </w:rPr>
    </w:lvl>
    <w:lvl w:ilvl="1" w:tplc="0A70BC82">
      <w:start w:val="1"/>
      <w:numFmt w:val="bullet"/>
      <w:lvlText w:val="o"/>
      <w:lvlJc w:val="left"/>
      <w:pPr>
        <w:ind w:left="1440" w:hanging="360"/>
      </w:pPr>
      <w:rPr>
        <w:rFonts w:ascii="Courier New" w:hAnsi="Courier New" w:hint="default"/>
      </w:rPr>
    </w:lvl>
    <w:lvl w:ilvl="2" w:tplc="54B86EBE">
      <w:start w:val="1"/>
      <w:numFmt w:val="bullet"/>
      <w:lvlText w:val=""/>
      <w:lvlJc w:val="left"/>
      <w:pPr>
        <w:ind w:left="2160" w:hanging="360"/>
      </w:pPr>
      <w:rPr>
        <w:rFonts w:ascii="Wingdings" w:hAnsi="Wingdings" w:hint="default"/>
      </w:rPr>
    </w:lvl>
    <w:lvl w:ilvl="3" w:tplc="D49AAF04">
      <w:start w:val="1"/>
      <w:numFmt w:val="bullet"/>
      <w:lvlText w:val=""/>
      <w:lvlJc w:val="left"/>
      <w:pPr>
        <w:ind w:left="2880" w:hanging="360"/>
      </w:pPr>
      <w:rPr>
        <w:rFonts w:ascii="Symbol" w:hAnsi="Symbol" w:hint="default"/>
      </w:rPr>
    </w:lvl>
    <w:lvl w:ilvl="4" w:tplc="B3B6C50E">
      <w:start w:val="1"/>
      <w:numFmt w:val="bullet"/>
      <w:lvlText w:val="o"/>
      <w:lvlJc w:val="left"/>
      <w:pPr>
        <w:ind w:left="3600" w:hanging="360"/>
      </w:pPr>
      <w:rPr>
        <w:rFonts w:ascii="Courier New" w:hAnsi="Courier New" w:hint="default"/>
      </w:rPr>
    </w:lvl>
    <w:lvl w:ilvl="5" w:tplc="65DC06C8">
      <w:start w:val="1"/>
      <w:numFmt w:val="bullet"/>
      <w:lvlText w:val=""/>
      <w:lvlJc w:val="left"/>
      <w:pPr>
        <w:ind w:left="4320" w:hanging="360"/>
      </w:pPr>
      <w:rPr>
        <w:rFonts w:ascii="Wingdings" w:hAnsi="Wingdings" w:hint="default"/>
      </w:rPr>
    </w:lvl>
    <w:lvl w:ilvl="6" w:tplc="A4C22B70">
      <w:start w:val="1"/>
      <w:numFmt w:val="bullet"/>
      <w:lvlText w:val=""/>
      <w:lvlJc w:val="left"/>
      <w:pPr>
        <w:ind w:left="5040" w:hanging="360"/>
      </w:pPr>
      <w:rPr>
        <w:rFonts w:ascii="Symbol" w:hAnsi="Symbol" w:hint="default"/>
      </w:rPr>
    </w:lvl>
    <w:lvl w:ilvl="7" w:tplc="DC623BCC">
      <w:start w:val="1"/>
      <w:numFmt w:val="bullet"/>
      <w:lvlText w:val="o"/>
      <w:lvlJc w:val="left"/>
      <w:pPr>
        <w:ind w:left="5760" w:hanging="360"/>
      </w:pPr>
      <w:rPr>
        <w:rFonts w:ascii="Courier New" w:hAnsi="Courier New" w:hint="default"/>
      </w:rPr>
    </w:lvl>
    <w:lvl w:ilvl="8" w:tplc="87E4B184">
      <w:start w:val="1"/>
      <w:numFmt w:val="bullet"/>
      <w:lvlText w:val=""/>
      <w:lvlJc w:val="left"/>
      <w:pPr>
        <w:ind w:left="6480" w:hanging="360"/>
      </w:pPr>
      <w:rPr>
        <w:rFonts w:ascii="Wingdings" w:hAnsi="Wingdings" w:hint="default"/>
      </w:rPr>
    </w:lvl>
  </w:abstractNum>
  <w:abstractNum w:abstractNumId="29" w15:restartNumberingAfterBreak="0">
    <w:nsid w:val="4A764920"/>
    <w:multiLevelType w:val="hybridMultilevel"/>
    <w:tmpl w:val="7A9C48E6"/>
    <w:lvl w:ilvl="0" w:tplc="FFFFFFFF">
      <w:start w:val="1"/>
      <w:numFmt w:val="decimal"/>
      <w:lvlText w:val="B%1.2"/>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A85A7B"/>
    <w:multiLevelType w:val="hybridMultilevel"/>
    <w:tmpl w:val="B9BC172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09F29A4"/>
    <w:multiLevelType w:val="multilevel"/>
    <w:tmpl w:val="4F587AC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4923ED"/>
    <w:multiLevelType w:val="multilevel"/>
    <w:tmpl w:val="0952DD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DA4C05"/>
    <w:multiLevelType w:val="hybridMultilevel"/>
    <w:tmpl w:val="D9681AF6"/>
    <w:lvl w:ilvl="0" w:tplc="1A208D1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7C31671"/>
    <w:multiLevelType w:val="hybridMultilevel"/>
    <w:tmpl w:val="5AD8A504"/>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5" w15:restartNumberingAfterBreak="0">
    <w:nsid w:val="589B7C86"/>
    <w:multiLevelType w:val="multilevel"/>
    <w:tmpl w:val="F59E3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000D1E"/>
    <w:multiLevelType w:val="hybridMultilevel"/>
    <w:tmpl w:val="14569AF8"/>
    <w:lvl w:ilvl="0" w:tplc="8C82F8B8">
      <w:start w:val="1"/>
      <w:numFmt w:val="decimal"/>
      <w:lvlText w:val="A%1."/>
      <w:lvlJc w:val="left"/>
      <w:pPr>
        <w:ind w:left="360" w:hanging="360"/>
      </w:pPr>
      <w:rPr>
        <w:rFonts w:hint="default"/>
        <w:b/>
        <w:bCs/>
      </w:rPr>
    </w:lvl>
    <w:lvl w:ilvl="1" w:tplc="0A70BC82">
      <w:start w:val="1"/>
      <w:numFmt w:val="bullet"/>
      <w:lvlText w:val="o"/>
      <w:lvlJc w:val="left"/>
      <w:pPr>
        <w:ind w:left="709" w:hanging="360"/>
      </w:pPr>
      <w:rPr>
        <w:rFonts w:ascii="Courier New" w:hAnsi="Courier New"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E8D1DBC"/>
    <w:multiLevelType w:val="hybridMultilevel"/>
    <w:tmpl w:val="BE8EFD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F37040E"/>
    <w:multiLevelType w:val="hybridMultilevel"/>
    <w:tmpl w:val="BD5C17C6"/>
    <w:lvl w:ilvl="0" w:tplc="4B9874DA">
      <w:start w:val="1"/>
      <w:numFmt w:val="bullet"/>
      <w:lvlText w:val=""/>
      <w:lvlJc w:val="left"/>
      <w:pPr>
        <w:ind w:left="360" w:hanging="360"/>
      </w:pPr>
      <w:rPr>
        <w:rFonts w:ascii="Symbol" w:hAnsi="Symbol" w:hint="default"/>
        <w:b/>
        <w:bCs/>
        <w:color w:val="auto"/>
        <w:sz w:val="24"/>
        <w:szCs w:val="24"/>
      </w:rPr>
    </w:lvl>
    <w:lvl w:ilvl="1" w:tplc="FFFFFFFF">
      <w:start w:val="1"/>
      <w:numFmt w:val="bullet"/>
      <w:lvlText w:val="o"/>
      <w:lvlJc w:val="left"/>
      <w:pPr>
        <w:ind w:left="709" w:hanging="360"/>
      </w:pPr>
      <w:rPr>
        <w:rFonts w:ascii="Courier New" w:hAnsi="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2B46730"/>
    <w:multiLevelType w:val="hybridMultilevel"/>
    <w:tmpl w:val="E3FCF1A2"/>
    <w:lvl w:ilvl="0" w:tplc="FBCC59D0">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A2325A"/>
    <w:multiLevelType w:val="hybridMultilevel"/>
    <w:tmpl w:val="B746A55A"/>
    <w:lvl w:ilvl="0" w:tplc="0C090001">
      <w:start w:val="1"/>
      <w:numFmt w:val="bullet"/>
      <w:lvlText w:val=""/>
      <w:lvlJc w:val="left"/>
      <w:pPr>
        <w:ind w:left="360" w:hanging="360"/>
      </w:pPr>
      <w:rPr>
        <w:rFonts w:ascii="Symbol" w:hAnsi="Symbol" w:hint="default"/>
        <w:b/>
        <w:bCs/>
      </w:rPr>
    </w:lvl>
    <w:lvl w:ilvl="1" w:tplc="FFFFFFFF">
      <w:start w:val="1"/>
      <w:numFmt w:val="bullet"/>
      <w:lvlText w:val="o"/>
      <w:lvlJc w:val="left"/>
      <w:pPr>
        <w:ind w:left="709" w:hanging="360"/>
      </w:pPr>
      <w:rPr>
        <w:rFonts w:ascii="Courier New" w:hAnsi="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6DD01F7"/>
    <w:multiLevelType w:val="hybridMultilevel"/>
    <w:tmpl w:val="31E2F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89111E"/>
    <w:multiLevelType w:val="hybridMultilevel"/>
    <w:tmpl w:val="CA2EB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3150F2"/>
    <w:multiLevelType w:val="hybridMultilevel"/>
    <w:tmpl w:val="C1661880"/>
    <w:lvl w:ilvl="0" w:tplc="31948822">
      <w:start w:val="1"/>
      <w:numFmt w:val="decimal"/>
      <w:lvlText w:val="B%1."/>
      <w:lvlJc w:val="left"/>
      <w:pPr>
        <w:ind w:left="360" w:hanging="360"/>
      </w:pPr>
      <w:rPr>
        <w:rFonts w:hint="default"/>
        <w:b/>
        <w:bCs/>
      </w:rPr>
    </w:lvl>
    <w:lvl w:ilvl="1" w:tplc="FFFFFFFF">
      <w:start w:val="1"/>
      <w:numFmt w:val="bullet"/>
      <w:lvlText w:val="o"/>
      <w:lvlJc w:val="left"/>
      <w:pPr>
        <w:ind w:left="709" w:hanging="360"/>
      </w:pPr>
      <w:rPr>
        <w:rFonts w:ascii="Courier New" w:hAnsi="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3AE2217"/>
    <w:multiLevelType w:val="hybridMultilevel"/>
    <w:tmpl w:val="D9681A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37656851">
    <w:abstractNumId w:val="10"/>
  </w:num>
  <w:num w:numId="2" w16cid:durableId="1510675824">
    <w:abstractNumId w:val="28"/>
  </w:num>
  <w:num w:numId="3" w16cid:durableId="1262449558">
    <w:abstractNumId w:val="19"/>
  </w:num>
  <w:num w:numId="4" w16cid:durableId="2081370272">
    <w:abstractNumId w:val="8"/>
  </w:num>
  <w:num w:numId="5" w16cid:durableId="849416772">
    <w:abstractNumId w:val="39"/>
  </w:num>
  <w:num w:numId="6" w16cid:durableId="947732653">
    <w:abstractNumId w:val="41"/>
  </w:num>
  <w:num w:numId="7" w16cid:durableId="2057896927">
    <w:abstractNumId w:val="17"/>
  </w:num>
  <w:num w:numId="8" w16cid:durableId="2040931130">
    <w:abstractNumId w:val="15"/>
  </w:num>
  <w:num w:numId="9" w16cid:durableId="654341780">
    <w:abstractNumId w:val="42"/>
  </w:num>
  <w:num w:numId="10" w16cid:durableId="900016975">
    <w:abstractNumId w:val="9"/>
  </w:num>
  <w:num w:numId="11" w16cid:durableId="1262491483">
    <w:abstractNumId w:val="35"/>
  </w:num>
  <w:num w:numId="12" w16cid:durableId="1828127839">
    <w:abstractNumId w:val="13"/>
  </w:num>
  <w:num w:numId="13" w16cid:durableId="722026041">
    <w:abstractNumId w:val="23"/>
  </w:num>
  <w:num w:numId="14" w16cid:durableId="2114737338">
    <w:abstractNumId w:val="32"/>
  </w:num>
  <w:num w:numId="15" w16cid:durableId="1271008635">
    <w:abstractNumId w:val="21"/>
  </w:num>
  <w:num w:numId="16" w16cid:durableId="1832911639">
    <w:abstractNumId w:val="31"/>
  </w:num>
  <w:num w:numId="17" w16cid:durableId="1299069466">
    <w:abstractNumId w:val="25"/>
  </w:num>
  <w:num w:numId="18" w16cid:durableId="242763209">
    <w:abstractNumId w:val="29"/>
  </w:num>
  <w:num w:numId="19" w16cid:durableId="1793403084">
    <w:abstractNumId w:val="36"/>
  </w:num>
  <w:num w:numId="20" w16cid:durableId="65417599">
    <w:abstractNumId w:val="7"/>
  </w:num>
  <w:num w:numId="21" w16cid:durableId="2009818957">
    <w:abstractNumId w:val="24"/>
  </w:num>
  <w:num w:numId="22" w16cid:durableId="160782940">
    <w:abstractNumId w:val="30"/>
  </w:num>
  <w:num w:numId="23" w16cid:durableId="1641576191">
    <w:abstractNumId w:val="34"/>
  </w:num>
  <w:num w:numId="24" w16cid:durableId="705328906">
    <w:abstractNumId w:val="33"/>
  </w:num>
  <w:num w:numId="25" w16cid:durableId="1182470782">
    <w:abstractNumId w:val="5"/>
  </w:num>
  <w:num w:numId="26" w16cid:durableId="1597206293">
    <w:abstractNumId w:val="27"/>
  </w:num>
  <w:num w:numId="27" w16cid:durableId="190998661">
    <w:abstractNumId w:val="1"/>
  </w:num>
  <w:num w:numId="28" w16cid:durableId="629630292">
    <w:abstractNumId w:val="43"/>
  </w:num>
  <w:num w:numId="29" w16cid:durableId="2134443610">
    <w:abstractNumId w:val="6"/>
  </w:num>
  <w:num w:numId="30" w16cid:durableId="1680617892">
    <w:abstractNumId w:val="11"/>
  </w:num>
  <w:num w:numId="31" w16cid:durableId="1165974892">
    <w:abstractNumId w:val="26"/>
  </w:num>
  <w:num w:numId="32" w16cid:durableId="1825852047">
    <w:abstractNumId w:val="3"/>
  </w:num>
  <w:num w:numId="33" w16cid:durableId="229771784">
    <w:abstractNumId w:val="44"/>
  </w:num>
  <w:num w:numId="34" w16cid:durableId="576742200">
    <w:abstractNumId w:val="22"/>
  </w:num>
  <w:num w:numId="35" w16cid:durableId="786587201">
    <w:abstractNumId w:val="20"/>
  </w:num>
  <w:num w:numId="36" w16cid:durableId="1192379233">
    <w:abstractNumId w:val="4"/>
  </w:num>
  <w:num w:numId="37" w16cid:durableId="1460415841">
    <w:abstractNumId w:val="16"/>
  </w:num>
  <w:num w:numId="38" w16cid:durableId="234362476">
    <w:abstractNumId w:val="37"/>
  </w:num>
  <w:num w:numId="39" w16cid:durableId="1488088677">
    <w:abstractNumId w:val="40"/>
  </w:num>
  <w:num w:numId="40" w16cid:durableId="1088426223">
    <w:abstractNumId w:val="38"/>
  </w:num>
  <w:num w:numId="41" w16cid:durableId="1769351440">
    <w:abstractNumId w:val="2"/>
  </w:num>
  <w:num w:numId="42" w16cid:durableId="251477820">
    <w:abstractNumId w:val="14"/>
  </w:num>
  <w:num w:numId="43" w16cid:durableId="159925619">
    <w:abstractNumId w:val="12"/>
  </w:num>
  <w:num w:numId="44" w16cid:durableId="587541866">
    <w:abstractNumId w:val="0"/>
  </w:num>
  <w:num w:numId="45" w16cid:durableId="16080755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7E919F"/>
    <w:rsid w:val="00000723"/>
    <w:rsid w:val="00002CEF"/>
    <w:rsid w:val="00002F3B"/>
    <w:rsid w:val="00005C96"/>
    <w:rsid w:val="00006686"/>
    <w:rsid w:val="000078D6"/>
    <w:rsid w:val="000102C0"/>
    <w:rsid w:val="000105C1"/>
    <w:rsid w:val="00010C37"/>
    <w:rsid w:val="0001198F"/>
    <w:rsid w:val="00012E02"/>
    <w:rsid w:val="000141AC"/>
    <w:rsid w:val="00016242"/>
    <w:rsid w:val="00024DA3"/>
    <w:rsid w:val="00026F29"/>
    <w:rsid w:val="00027931"/>
    <w:rsid w:val="00027C55"/>
    <w:rsid w:val="00027D73"/>
    <w:rsid w:val="00030666"/>
    <w:rsid w:val="00032889"/>
    <w:rsid w:val="00032E3E"/>
    <w:rsid w:val="0003375E"/>
    <w:rsid w:val="000338E9"/>
    <w:rsid w:val="00043E30"/>
    <w:rsid w:val="00044D56"/>
    <w:rsid w:val="0005012D"/>
    <w:rsid w:val="000524ED"/>
    <w:rsid w:val="00054F05"/>
    <w:rsid w:val="00056CD9"/>
    <w:rsid w:val="00061167"/>
    <w:rsid w:val="00061B86"/>
    <w:rsid w:val="00064287"/>
    <w:rsid w:val="00064406"/>
    <w:rsid w:val="000650E1"/>
    <w:rsid w:val="000702AB"/>
    <w:rsid w:val="000704FB"/>
    <w:rsid w:val="00075FD7"/>
    <w:rsid w:val="000767C0"/>
    <w:rsid w:val="00076E70"/>
    <w:rsid w:val="000800DF"/>
    <w:rsid w:val="00081763"/>
    <w:rsid w:val="00081A7E"/>
    <w:rsid w:val="00081AA3"/>
    <w:rsid w:val="00081E01"/>
    <w:rsid w:val="000825EC"/>
    <w:rsid w:val="00085A25"/>
    <w:rsid w:val="00085ED5"/>
    <w:rsid w:val="00087358"/>
    <w:rsid w:val="00092728"/>
    <w:rsid w:val="000928FD"/>
    <w:rsid w:val="00093AFB"/>
    <w:rsid w:val="00093F40"/>
    <w:rsid w:val="000A26AA"/>
    <w:rsid w:val="000A3D57"/>
    <w:rsid w:val="000A4A93"/>
    <w:rsid w:val="000A5275"/>
    <w:rsid w:val="000A7056"/>
    <w:rsid w:val="000B051D"/>
    <w:rsid w:val="000B29C7"/>
    <w:rsid w:val="000B5833"/>
    <w:rsid w:val="000C00B1"/>
    <w:rsid w:val="000C0B9E"/>
    <w:rsid w:val="000C138E"/>
    <w:rsid w:val="000C3103"/>
    <w:rsid w:val="000C3814"/>
    <w:rsid w:val="000C385E"/>
    <w:rsid w:val="000C3ABC"/>
    <w:rsid w:val="000C3CAB"/>
    <w:rsid w:val="000C5800"/>
    <w:rsid w:val="000C6DF1"/>
    <w:rsid w:val="000D0838"/>
    <w:rsid w:val="000D151D"/>
    <w:rsid w:val="000D483B"/>
    <w:rsid w:val="000D519E"/>
    <w:rsid w:val="000D7CFC"/>
    <w:rsid w:val="000E0861"/>
    <w:rsid w:val="000E14C4"/>
    <w:rsid w:val="000E2EC0"/>
    <w:rsid w:val="000E65DC"/>
    <w:rsid w:val="000F0324"/>
    <w:rsid w:val="000F5200"/>
    <w:rsid w:val="000F54BE"/>
    <w:rsid w:val="000F5790"/>
    <w:rsid w:val="000F5981"/>
    <w:rsid w:val="000F677B"/>
    <w:rsid w:val="001018FF"/>
    <w:rsid w:val="00101DA1"/>
    <w:rsid w:val="00105219"/>
    <w:rsid w:val="0010757D"/>
    <w:rsid w:val="00110458"/>
    <w:rsid w:val="00113455"/>
    <w:rsid w:val="00115755"/>
    <w:rsid w:val="001161D5"/>
    <w:rsid w:val="00117011"/>
    <w:rsid w:val="00120CE6"/>
    <w:rsid w:val="00123609"/>
    <w:rsid w:val="00124A91"/>
    <w:rsid w:val="00125CFB"/>
    <w:rsid w:val="001311A2"/>
    <w:rsid w:val="001349A9"/>
    <w:rsid w:val="00146925"/>
    <w:rsid w:val="00147F38"/>
    <w:rsid w:val="00152630"/>
    <w:rsid w:val="00153BAA"/>
    <w:rsid w:val="00153FAC"/>
    <w:rsid w:val="001619F3"/>
    <w:rsid w:val="00164320"/>
    <w:rsid w:val="00166DB9"/>
    <w:rsid w:val="00167393"/>
    <w:rsid w:val="00167DA1"/>
    <w:rsid w:val="00174A9B"/>
    <w:rsid w:val="00174B3E"/>
    <w:rsid w:val="001805B4"/>
    <w:rsid w:val="001807C7"/>
    <w:rsid w:val="00182928"/>
    <w:rsid w:val="00185088"/>
    <w:rsid w:val="0018643F"/>
    <w:rsid w:val="0019466E"/>
    <w:rsid w:val="00194EEC"/>
    <w:rsid w:val="00195AA3"/>
    <w:rsid w:val="001973CC"/>
    <w:rsid w:val="001A0D04"/>
    <w:rsid w:val="001A4C71"/>
    <w:rsid w:val="001A694E"/>
    <w:rsid w:val="001A766A"/>
    <w:rsid w:val="001B204F"/>
    <w:rsid w:val="001B2A3D"/>
    <w:rsid w:val="001B314B"/>
    <w:rsid w:val="001B41E9"/>
    <w:rsid w:val="001B4B2D"/>
    <w:rsid w:val="001B7561"/>
    <w:rsid w:val="001B7AC2"/>
    <w:rsid w:val="001C2733"/>
    <w:rsid w:val="001C287A"/>
    <w:rsid w:val="001C398C"/>
    <w:rsid w:val="001D2409"/>
    <w:rsid w:val="001D45F2"/>
    <w:rsid w:val="001D53AD"/>
    <w:rsid w:val="001D635D"/>
    <w:rsid w:val="001D7221"/>
    <w:rsid w:val="001F0DCB"/>
    <w:rsid w:val="001F21A6"/>
    <w:rsid w:val="001F2509"/>
    <w:rsid w:val="001F4669"/>
    <w:rsid w:val="001F4996"/>
    <w:rsid w:val="001F4FC5"/>
    <w:rsid w:val="001F5666"/>
    <w:rsid w:val="001F5683"/>
    <w:rsid w:val="002013D9"/>
    <w:rsid w:val="00203266"/>
    <w:rsid w:val="0020380D"/>
    <w:rsid w:val="00203DD9"/>
    <w:rsid w:val="00204FA4"/>
    <w:rsid w:val="00207239"/>
    <w:rsid w:val="002145CF"/>
    <w:rsid w:val="0021479A"/>
    <w:rsid w:val="002159E2"/>
    <w:rsid w:val="00215C54"/>
    <w:rsid w:val="00217CC5"/>
    <w:rsid w:val="00221092"/>
    <w:rsid w:val="002227EE"/>
    <w:rsid w:val="00223D30"/>
    <w:rsid w:val="0022507D"/>
    <w:rsid w:val="00225790"/>
    <w:rsid w:val="00225F0B"/>
    <w:rsid w:val="00227B00"/>
    <w:rsid w:val="002313F1"/>
    <w:rsid w:val="00231992"/>
    <w:rsid w:val="00233AB9"/>
    <w:rsid w:val="00236369"/>
    <w:rsid w:val="00240869"/>
    <w:rsid w:val="0024198D"/>
    <w:rsid w:val="00242D1F"/>
    <w:rsid w:val="00243B07"/>
    <w:rsid w:val="00244F29"/>
    <w:rsid w:val="00247030"/>
    <w:rsid w:val="0024769E"/>
    <w:rsid w:val="00247C40"/>
    <w:rsid w:val="00251793"/>
    <w:rsid w:val="00252255"/>
    <w:rsid w:val="00253785"/>
    <w:rsid w:val="00255592"/>
    <w:rsid w:val="002618A0"/>
    <w:rsid w:val="00265F0E"/>
    <w:rsid w:val="0027014D"/>
    <w:rsid w:val="002822AC"/>
    <w:rsid w:val="0028235C"/>
    <w:rsid w:val="0028367B"/>
    <w:rsid w:val="0028464F"/>
    <w:rsid w:val="00287DBA"/>
    <w:rsid w:val="0029029E"/>
    <w:rsid w:val="00290976"/>
    <w:rsid w:val="00290E95"/>
    <w:rsid w:val="00291359"/>
    <w:rsid w:val="00292E67"/>
    <w:rsid w:val="00293C1A"/>
    <w:rsid w:val="00293FD6"/>
    <w:rsid w:val="002941D7"/>
    <w:rsid w:val="0029574E"/>
    <w:rsid w:val="002972AD"/>
    <w:rsid w:val="00297CDB"/>
    <w:rsid w:val="00297DFC"/>
    <w:rsid w:val="002A01CD"/>
    <w:rsid w:val="002A0E2A"/>
    <w:rsid w:val="002A4BFE"/>
    <w:rsid w:val="002A50DA"/>
    <w:rsid w:val="002A590D"/>
    <w:rsid w:val="002A64DE"/>
    <w:rsid w:val="002A773F"/>
    <w:rsid w:val="002B031B"/>
    <w:rsid w:val="002B077A"/>
    <w:rsid w:val="002B558D"/>
    <w:rsid w:val="002C08AF"/>
    <w:rsid w:val="002C1E56"/>
    <w:rsid w:val="002C3542"/>
    <w:rsid w:val="002C3A60"/>
    <w:rsid w:val="002C3FE7"/>
    <w:rsid w:val="002C4A78"/>
    <w:rsid w:val="002C7092"/>
    <w:rsid w:val="002D1D3B"/>
    <w:rsid w:val="002D2467"/>
    <w:rsid w:val="002D32EC"/>
    <w:rsid w:val="002D3F1F"/>
    <w:rsid w:val="002D5739"/>
    <w:rsid w:val="002D5CF4"/>
    <w:rsid w:val="002D6173"/>
    <w:rsid w:val="002E2140"/>
    <w:rsid w:val="002E44B6"/>
    <w:rsid w:val="002E4AC2"/>
    <w:rsid w:val="002F1139"/>
    <w:rsid w:val="002F1235"/>
    <w:rsid w:val="002F456F"/>
    <w:rsid w:val="002F5869"/>
    <w:rsid w:val="002F6A3F"/>
    <w:rsid w:val="002F7549"/>
    <w:rsid w:val="00300159"/>
    <w:rsid w:val="003023F6"/>
    <w:rsid w:val="00302BBB"/>
    <w:rsid w:val="00305221"/>
    <w:rsid w:val="00305EF5"/>
    <w:rsid w:val="0031269E"/>
    <w:rsid w:val="00313F1E"/>
    <w:rsid w:val="00314096"/>
    <w:rsid w:val="00314366"/>
    <w:rsid w:val="003143B1"/>
    <w:rsid w:val="003161EF"/>
    <w:rsid w:val="003164E1"/>
    <w:rsid w:val="00317E47"/>
    <w:rsid w:val="00321E42"/>
    <w:rsid w:val="003261D7"/>
    <w:rsid w:val="003264EE"/>
    <w:rsid w:val="0032761A"/>
    <w:rsid w:val="003277ED"/>
    <w:rsid w:val="0033026A"/>
    <w:rsid w:val="0033702A"/>
    <w:rsid w:val="00337EFE"/>
    <w:rsid w:val="003423B9"/>
    <w:rsid w:val="00342C55"/>
    <w:rsid w:val="00343CE8"/>
    <w:rsid w:val="00350DBD"/>
    <w:rsid w:val="00351771"/>
    <w:rsid w:val="00352323"/>
    <w:rsid w:val="003536FA"/>
    <w:rsid w:val="003569A2"/>
    <w:rsid w:val="0035785A"/>
    <w:rsid w:val="00360FE8"/>
    <w:rsid w:val="003636BA"/>
    <w:rsid w:val="00364671"/>
    <w:rsid w:val="00366066"/>
    <w:rsid w:val="00366752"/>
    <w:rsid w:val="0036707E"/>
    <w:rsid w:val="00367137"/>
    <w:rsid w:val="00374053"/>
    <w:rsid w:val="00374BC3"/>
    <w:rsid w:val="003764F4"/>
    <w:rsid w:val="00381B0D"/>
    <w:rsid w:val="00383D97"/>
    <w:rsid w:val="00391904"/>
    <w:rsid w:val="00391B31"/>
    <w:rsid w:val="00391E80"/>
    <w:rsid w:val="003957B6"/>
    <w:rsid w:val="003A016E"/>
    <w:rsid w:val="003A08FA"/>
    <w:rsid w:val="003A109D"/>
    <w:rsid w:val="003A13E5"/>
    <w:rsid w:val="003A25F6"/>
    <w:rsid w:val="003A2E23"/>
    <w:rsid w:val="003A367C"/>
    <w:rsid w:val="003A44E2"/>
    <w:rsid w:val="003A48A7"/>
    <w:rsid w:val="003A7453"/>
    <w:rsid w:val="003A7521"/>
    <w:rsid w:val="003A7ED1"/>
    <w:rsid w:val="003B0EC7"/>
    <w:rsid w:val="003B14C0"/>
    <w:rsid w:val="003B2321"/>
    <w:rsid w:val="003B39E0"/>
    <w:rsid w:val="003B4A2A"/>
    <w:rsid w:val="003B4DFD"/>
    <w:rsid w:val="003B5C60"/>
    <w:rsid w:val="003B602E"/>
    <w:rsid w:val="003B6D6F"/>
    <w:rsid w:val="003C31EC"/>
    <w:rsid w:val="003C4CF2"/>
    <w:rsid w:val="003C5181"/>
    <w:rsid w:val="003C5E67"/>
    <w:rsid w:val="003C6AFA"/>
    <w:rsid w:val="003C6E08"/>
    <w:rsid w:val="003D0496"/>
    <w:rsid w:val="003D3A6B"/>
    <w:rsid w:val="003D3D6B"/>
    <w:rsid w:val="003D596C"/>
    <w:rsid w:val="003D5CA1"/>
    <w:rsid w:val="003D6B8E"/>
    <w:rsid w:val="003D6DDE"/>
    <w:rsid w:val="003D7B6D"/>
    <w:rsid w:val="003D7B7A"/>
    <w:rsid w:val="003E1098"/>
    <w:rsid w:val="003E2469"/>
    <w:rsid w:val="003E2C15"/>
    <w:rsid w:val="003E3DAA"/>
    <w:rsid w:val="003E54F1"/>
    <w:rsid w:val="003E58E3"/>
    <w:rsid w:val="003E5D43"/>
    <w:rsid w:val="003E6379"/>
    <w:rsid w:val="003E6E83"/>
    <w:rsid w:val="003E7261"/>
    <w:rsid w:val="003E778D"/>
    <w:rsid w:val="003E78D2"/>
    <w:rsid w:val="003F158B"/>
    <w:rsid w:val="003F6CF8"/>
    <w:rsid w:val="003F70C4"/>
    <w:rsid w:val="0040011E"/>
    <w:rsid w:val="0040185A"/>
    <w:rsid w:val="00406553"/>
    <w:rsid w:val="00406BA7"/>
    <w:rsid w:val="004072B8"/>
    <w:rsid w:val="004072E9"/>
    <w:rsid w:val="00410BBE"/>
    <w:rsid w:val="00412419"/>
    <w:rsid w:val="004124F5"/>
    <w:rsid w:val="0041257E"/>
    <w:rsid w:val="004134B9"/>
    <w:rsid w:val="0041381A"/>
    <w:rsid w:val="00420098"/>
    <w:rsid w:val="00420DB0"/>
    <w:rsid w:val="00420E41"/>
    <w:rsid w:val="00422F77"/>
    <w:rsid w:val="00424528"/>
    <w:rsid w:val="0042488A"/>
    <w:rsid w:val="00424F02"/>
    <w:rsid w:val="00426FE9"/>
    <w:rsid w:val="00431BFC"/>
    <w:rsid w:val="004325F0"/>
    <w:rsid w:val="00443259"/>
    <w:rsid w:val="004432AF"/>
    <w:rsid w:val="00443551"/>
    <w:rsid w:val="00444571"/>
    <w:rsid w:val="00445DB0"/>
    <w:rsid w:val="00446322"/>
    <w:rsid w:val="004501EC"/>
    <w:rsid w:val="00450C25"/>
    <w:rsid w:val="00451C2C"/>
    <w:rsid w:val="00452A07"/>
    <w:rsid w:val="0045322B"/>
    <w:rsid w:val="0045331F"/>
    <w:rsid w:val="0045379B"/>
    <w:rsid w:val="00455498"/>
    <w:rsid w:val="0045690D"/>
    <w:rsid w:val="00460067"/>
    <w:rsid w:val="00460E0E"/>
    <w:rsid w:val="00462070"/>
    <w:rsid w:val="0046357A"/>
    <w:rsid w:val="00465518"/>
    <w:rsid w:val="00470698"/>
    <w:rsid w:val="00471B06"/>
    <w:rsid w:val="00472F7A"/>
    <w:rsid w:val="0047382F"/>
    <w:rsid w:val="004766D4"/>
    <w:rsid w:val="00480726"/>
    <w:rsid w:val="00481404"/>
    <w:rsid w:val="004821CB"/>
    <w:rsid w:val="004830A0"/>
    <w:rsid w:val="004834F7"/>
    <w:rsid w:val="0048520D"/>
    <w:rsid w:val="00486B83"/>
    <w:rsid w:val="004872E5"/>
    <w:rsid w:val="00492969"/>
    <w:rsid w:val="004A30CF"/>
    <w:rsid w:val="004A59FB"/>
    <w:rsid w:val="004B2FA1"/>
    <w:rsid w:val="004B67F2"/>
    <w:rsid w:val="004B6858"/>
    <w:rsid w:val="004B6C59"/>
    <w:rsid w:val="004C1406"/>
    <w:rsid w:val="004C37F9"/>
    <w:rsid w:val="004D5D2C"/>
    <w:rsid w:val="004E1C1A"/>
    <w:rsid w:val="004E2C0B"/>
    <w:rsid w:val="004E31D8"/>
    <w:rsid w:val="004E4723"/>
    <w:rsid w:val="004E642A"/>
    <w:rsid w:val="004E6B13"/>
    <w:rsid w:val="004E6BC7"/>
    <w:rsid w:val="004E733B"/>
    <w:rsid w:val="004F00BF"/>
    <w:rsid w:val="004F62BC"/>
    <w:rsid w:val="004F63E3"/>
    <w:rsid w:val="005028F2"/>
    <w:rsid w:val="0050308A"/>
    <w:rsid w:val="005051D1"/>
    <w:rsid w:val="00505567"/>
    <w:rsid w:val="00506858"/>
    <w:rsid w:val="0050739A"/>
    <w:rsid w:val="005124E7"/>
    <w:rsid w:val="005132D7"/>
    <w:rsid w:val="00515866"/>
    <w:rsid w:val="00516BC0"/>
    <w:rsid w:val="00525439"/>
    <w:rsid w:val="00525E90"/>
    <w:rsid w:val="0052756C"/>
    <w:rsid w:val="00527E7F"/>
    <w:rsid w:val="00527F66"/>
    <w:rsid w:val="0054250E"/>
    <w:rsid w:val="0054481A"/>
    <w:rsid w:val="005478E2"/>
    <w:rsid w:val="005528F1"/>
    <w:rsid w:val="0055290A"/>
    <w:rsid w:val="0055348F"/>
    <w:rsid w:val="00553C94"/>
    <w:rsid w:val="00555487"/>
    <w:rsid w:val="005563B0"/>
    <w:rsid w:val="00556E89"/>
    <w:rsid w:val="005605B3"/>
    <w:rsid w:val="00561100"/>
    <w:rsid w:val="0056247D"/>
    <w:rsid w:val="0056500D"/>
    <w:rsid w:val="00565B3C"/>
    <w:rsid w:val="0056665E"/>
    <w:rsid w:val="00570A7F"/>
    <w:rsid w:val="00572073"/>
    <w:rsid w:val="005722C9"/>
    <w:rsid w:val="00573462"/>
    <w:rsid w:val="00577132"/>
    <w:rsid w:val="00581EE1"/>
    <w:rsid w:val="00582A60"/>
    <w:rsid w:val="00584E51"/>
    <w:rsid w:val="005851FF"/>
    <w:rsid w:val="0058546B"/>
    <w:rsid w:val="0058664D"/>
    <w:rsid w:val="00586822"/>
    <w:rsid w:val="00587294"/>
    <w:rsid w:val="005934BC"/>
    <w:rsid w:val="0059393C"/>
    <w:rsid w:val="00593E74"/>
    <w:rsid w:val="00594D2A"/>
    <w:rsid w:val="00594E14"/>
    <w:rsid w:val="005A0836"/>
    <w:rsid w:val="005A0D3A"/>
    <w:rsid w:val="005A1E54"/>
    <w:rsid w:val="005A29CC"/>
    <w:rsid w:val="005A4DAB"/>
    <w:rsid w:val="005A5809"/>
    <w:rsid w:val="005A6520"/>
    <w:rsid w:val="005A65E4"/>
    <w:rsid w:val="005B1C1A"/>
    <w:rsid w:val="005B3387"/>
    <w:rsid w:val="005B3865"/>
    <w:rsid w:val="005B505F"/>
    <w:rsid w:val="005B70AF"/>
    <w:rsid w:val="005C09D3"/>
    <w:rsid w:val="005C0E35"/>
    <w:rsid w:val="005C16A2"/>
    <w:rsid w:val="005C3DDA"/>
    <w:rsid w:val="005C6F3E"/>
    <w:rsid w:val="005D194C"/>
    <w:rsid w:val="005D57E9"/>
    <w:rsid w:val="005D69F3"/>
    <w:rsid w:val="005E1449"/>
    <w:rsid w:val="005E284C"/>
    <w:rsid w:val="005E368A"/>
    <w:rsid w:val="005E376A"/>
    <w:rsid w:val="005E5BC7"/>
    <w:rsid w:val="005E66D7"/>
    <w:rsid w:val="005E7F94"/>
    <w:rsid w:val="005F061E"/>
    <w:rsid w:val="005F23CE"/>
    <w:rsid w:val="005F2C4D"/>
    <w:rsid w:val="005F3659"/>
    <w:rsid w:val="005F3A08"/>
    <w:rsid w:val="005F44A8"/>
    <w:rsid w:val="005F4915"/>
    <w:rsid w:val="005F61AC"/>
    <w:rsid w:val="005F7553"/>
    <w:rsid w:val="005F7F7D"/>
    <w:rsid w:val="00604008"/>
    <w:rsid w:val="00605C90"/>
    <w:rsid w:val="00610CF3"/>
    <w:rsid w:val="006159D9"/>
    <w:rsid w:val="00616E4D"/>
    <w:rsid w:val="00616F3E"/>
    <w:rsid w:val="00621D29"/>
    <w:rsid w:val="006271B2"/>
    <w:rsid w:val="00627339"/>
    <w:rsid w:val="00627C20"/>
    <w:rsid w:val="00627DA3"/>
    <w:rsid w:val="006313FB"/>
    <w:rsid w:val="006316F7"/>
    <w:rsid w:val="0063405F"/>
    <w:rsid w:val="0064025F"/>
    <w:rsid w:val="00640C45"/>
    <w:rsid w:val="0064322C"/>
    <w:rsid w:val="00643DC2"/>
    <w:rsid w:val="00645578"/>
    <w:rsid w:val="006505F4"/>
    <w:rsid w:val="006509D7"/>
    <w:rsid w:val="006528DC"/>
    <w:rsid w:val="00653B2E"/>
    <w:rsid w:val="00656516"/>
    <w:rsid w:val="00656934"/>
    <w:rsid w:val="00657258"/>
    <w:rsid w:val="00660274"/>
    <w:rsid w:val="00660480"/>
    <w:rsid w:val="00661265"/>
    <w:rsid w:val="00664608"/>
    <w:rsid w:val="006650A8"/>
    <w:rsid w:val="00666460"/>
    <w:rsid w:val="006707B4"/>
    <w:rsid w:val="006709C0"/>
    <w:rsid w:val="00671162"/>
    <w:rsid w:val="00672393"/>
    <w:rsid w:val="00677448"/>
    <w:rsid w:val="00677ECD"/>
    <w:rsid w:val="00677F26"/>
    <w:rsid w:val="006811F2"/>
    <w:rsid w:val="006819BD"/>
    <w:rsid w:val="006834BE"/>
    <w:rsid w:val="006842C4"/>
    <w:rsid w:val="00684A5C"/>
    <w:rsid w:val="006850FF"/>
    <w:rsid w:val="00685EEC"/>
    <w:rsid w:val="00686174"/>
    <w:rsid w:val="006862DF"/>
    <w:rsid w:val="00686CF3"/>
    <w:rsid w:val="00690049"/>
    <w:rsid w:val="00692FC4"/>
    <w:rsid w:val="00693E7B"/>
    <w:rsid w:val="00696567"/>
    <w:rsid w:val="00696F16"/>
    <w:rsid w:val="006A391F"/>
    <w:rsid w:val="006A39E3"/>
    <w:rsid w:val="006A5393"/>
    <w:rsid w:val="006A5915"/>
    <w:rsid w:val="006A5CBB"/>
    <w:rsid w:val="006A6250"/>
    <w:rsid w:val="006A6A54"/>
    <w:rsid w:val="006A6BFE"/>
    <w:rsid w:val="006B0426"/>
    <w:rsid w:val="006B13E6"/>
    <w:rsid w:val="006B1DD0"/>
    <w:rsid w:val="006B1F92"/>
    <w:rsid w:val="006B2937"/>
    <w:rsid w:val="006B2BE7"/>
    <w:rsid w:val="006B471B"/>
    <w:rsid w:val="006B6580"/>
    <w:rsid w:val="006B7BF6"/>
    <w:rsid w:val="006C1BB8"/>
    <w:rsid w:val="006D1C15"/>
    <w:rsid w:val="006D426B"/>
    <w:rsid w:val="006D48FB"/>
    <w:rsid w:val="006D644C"/>
    <w:rsid w:val="006D7A38"/>
    <w:rsid w:val="006E14B6"/>
    <w:rsid w:val="006E2C67"/>
    <w:rsid w:val="006E389D"/>
    <w:rsid w:val="006E39C0"/>
    <w:rsid w:val="006E5EEB"/>
    <w:rsid w:val="006E6183"/>
    <w:rsid w:val="006E6747"/>
    <w:rsid w:val="006E7B9F"/>
    <w:rsid w:val="006F25D8"/>
    <w:rsid w:val="006F3B6D"/>
    <w:rsid w:val="006F433F"/>
    <w:rsid w:val="006F604B"/>
    <w:rsid w:val="006F690C"/>
    <w:rsid w:val="00701470"/>
    <w:rsid w:val="00702F84"/>
    <w:rsid w:val="00703873"/>
    <w:rsid w:val="00704A7E"/>
    <w:rsid w:val="00704BC6"/>
    <w:rsid w:val="007058B4"/>
    <w:rsid w:val="0070770A"/>
    <w:rsid w:val="0071287E"/>
    <w:rsid w:val="00715F74"/>
    <w:rsid w:val="00716D7D"/>
    <w:rsid w:val="00717DF9"/>
    <w:rsid w:val="0072036E"/>
    <w:rsid w:val="007230AF"/>
    <w:rsid w:val="00724B26"/>
    <w:rsid w:val="00727EF5"/>
    <w:rsid w:val="0073011C"/>
    <w:rsid w:val="007311FB"/>
    <w:rsid w:val="007313C0"/>
    <w:rsid w:val="0073267F"/>
    <w:rsid w:val="00732F95"/>
    <w:rsid w:val="00733C67"/>
    <w:rsid w:val="00734511"/>
    <w:rsid w:val="007368BA"/>
    <w:rsid w:val="00740371"/>
    <w:rsid w:val="00741649"/>
    <w:rsid w:val="00742043"/>
    <w:rsid w:val="0074206C"/>
    <w:rsid w:val="00743D69"/>
    <w:rsid w:val="0074423D"/>
    <w:rsid w:val="00746F7B"/>
    <w:rsid w:val="00753FEC"/>
    <w:rsid w:val="00755B0C"/>
    <w:rsid w:val="00755D2B"/>
    <w:rsid w:val="00756E1B"/>
    <w:rsid w:val="00757055"/>
    <w:rsid w:val="007624E9"/>
    <w:rsid w:val="0076348F"/>
    <w:rsid w:val="007669C7"/>
    <w:rsid w:val="00766DA2"/>
    <w:rsid w:val="0077048D"/>
    <w:rsid w:val="007722F1"/>
    <w:rsid w:val="00773380"/>
    <w:rsid w:val="00777B96"/>
    <w:rsid w:val="00780B0B"/>
    <w:rsid w:val="00783499"/>
    <w:rsid w:val="00785404"/>
    <w:rsid w:val="00792307"/>
    <w:rsid w:val="00793E8E"/>
    <w:rsid w:val="007951FC"/>
    <w:rsid w:val="00797788"/>
    <w:rsid w:val="007A08CE"/>
    <w:rsid w:val="007A1877"/>
    <w:rsid w:val="007A4C75"/>
    <w:rsid w:val="007A737C"/>
    <w:rsid w:val="007A7D30"/>
    <w:rsid w:val="007A7EBE"/>
    <w:rsid w:val="007B0006"/>
    <w:rsid w:val="007B02B1"/>
    <w:rsid w:val="007B11EB"/>
    <w:rsid w:val="007B43B7"/>
    <w:rsid w:val="007B5D78"/>
    <w:rsid w:val="007B6EE7"/>
    <w:rsid w:val="007B7EB3"/>
    <w:rsid w:val="007C1434"/>
    <w:rsid w:val="007C1A35"/>
    <w:rsid w:val="007C2284"/>
    <w:rsid w:val="007C256F"/>
    <w:rsid w:val="007C5E29"/>
    <w:rsid w:val="007C5F31"/>
    <w:rsid w:val="007C6516"/>
    <w:rsid w:val="007C7C5B"/>
    <w:rsid w:val="007C7FDA"/>
    <w:rsid w:val="007D451B"/>
    <w:rsid w:val="007E061A"/>
    <w:rsid w:val="007E232B"/>
    <w:rsid w:val="007E41D4"/>
    <w:rsid w:val="007E7DC2"/>
    <w:rsid w:val="007F0473"/>
    <w:rsid w:val="007F18A0"/>
    <w:rsid w:val="007F2B5C"/>
    <w:rsid w:val="007F2EEE"/>
    <w:rsid w:val="007F3B97"/>
    <w:rsid w:val="007F4EE0"/>
    <w:rsid w:val="007F777D"/>
    <w:rsid w:val="007F7C82"/>
    <w:rsid w:val="007F7F6F"/>
    <w:rsid w:val="008018A6"/>
    <w:rsid w:val="008023D8"/>
    <w:rsid w:val="00803EFA"/>
    <w:rsid w:val="00805571"/>
    <w:rsid w:val="00810781"/>
    <w:rsid w:val="00810EF1"/>
    <w:rsid w:val="00811BF1"/>
    <w:rsid w:val="008145E3"/>
    <w:rsid w:val="00815E22"/>
    <w:rsid w:val="008160AE"/>
    <w:rsid w:val="00816E36"/>
    <w:rsid w:val="00823A3B"/>
    <w:rsid w:val="00825A88"/>
    <w:rsid w:val="00825E0A"/>
    <w:rsid w:val="0082617C"/>
    <w:rsid w:val="00826B07"/>
    <w:rsid w:val="00831385"/>
    <w:rsid w:val="00832997"/>
    <w:rsid w:val="00833AAE"/>
    <w:rsid w:val="00834130"/>
    <w:rsid w:val="00836C92"/>
    <w:rsid w:val="008374C3"/>
    <w:rsid w:val="008412F9"/>
    <w:rsid w:val="0084139F"/>
    <w:rsid w:val="00846107"/>
    <w:rsid w:val="00850084"/>
    <w:rsid w:val="0085092B"/>
    <w:rsid w:val="00854139"/>
    <w:rsid w:val="00854620"/>
    <w:rsid w:val="0085482E"/>
    <w:rsid w:val="00856BBC"/>
    <w:rsid w:val="00860398"/>
    <w:rsid w:val="00862492"/>
    <w:rsid w:val="008642D1"/>
    <w:rsid w:val="00866B11"/>
    <w:rsid w:val="008705DF"/>
    <w:rsid w:val="00871A26"/>
    <w:rsid w:val="008734CB"/>
    <w:rsid w:val="008755C8"/>
    <w:rsid w:val="00877BCB"/>
    <w:rsid w:val="00881251"/>
    <w:rsid w:val="008823AE"/>
    <w:rsid w:val="00884B75"/>
    <w:rsid w:val="00884DC0"/>
    <w:rsid w:val="008851A0"/>
    <w:rsid w:val="00886986"/>
    <w:rsid w:val="008879BA"/>
    <w:rsid w:val="00887D1D"/>
    <w:rsid w:val="00893732"/>
    <w:rsid w:val="00894E22"/>
    <w:rsid w:val="0089720D"/>
    <w:rsid w:val="008A0967"/>
    <w:rsid w:val="008A0B13"/>
    <w:rsid w:val="008A5466"/>
    <w:rsid w:val="008A7439"/>
    <w:rsid w:val="008B0BC2"/>
    <w:rsid w:val="008B1157"/>
    <w:rsid w:val="008B2822"/>
    <w:rsid w:val="008B2C71"/>
    <w:rsid w:val="008B489B"/>
    <w:rsid w:val="008B5E82"/>
    <w:rsid w:val="008B5E92"/>
    <w:rsid w:val="008B741E"/>
    <w:rsid w:val="008C1113"/>
    <w:rsid w:val="008C365D"/>
    <w:rsid w:val="008C398C"/>
    <w:rsid w:val="008C5234"/>
    <w:rsid w:val="008D05CA"/>
    <w:rsid w:val="008D18B3"/>
    <w:rsid w:val="008D2ED0"/>
    <w:rsid w:val="008D422F"/>
    <w:rsid w:val="008D439D"/>
    <w:rsid w:val="008E06CE"/>
    <w:rsid w:val="008E4C6C"/>
    <w:rsid w:val="008E6723"/>
    <w:rsid w:val="008F0A54"/>
    <w:rsid w:val="008F1714"/>
    <w:rsid w:val="008F1810"/>
    <w:rsid w:val="008F55AE"/>
    <w:rsid w:val="008F59B4"/>
    <w:rsid w:val="008F6C02"/>
    <w:rsid w:val="008F71CC"/>
    <w:rsid w:val="008F7340"/>
    <w:rsid w:val="0090077A"/>
    <w:rsid w:val="00901F3B"/>
    <w:rsid w:val="00902AC5"/>
    <w:rsid w:val="00902CD3"/>
    <w:rsid w:val="00902FAD"/>
    <w:rsid w:val="009037AA"/>
    <w:rsid w:val="00903A81"/>
    <w:rsid w:val="009061B2"/>
    <w:rsid w:val="00906D98"/>
    <w:rsid w:val="00907640"/>
    <w:rsid w:val="009076E7"/>
    <w:rsid w:val="00907BF1"/>
    <w:rsid w:val="009105D7"/>
    <w:rsid w:val="00910C1E"/>
    <w:rsid w:val="009128C3"/>
    <w:rsid w:val="00914B1C"/>
    <w:rsid w:val="00915AD9"/>
    <w:rsid w:val="00917462"/>
    <w:rsid w:val="00917AE4"/>
    <w:rsid w:val="00920C7D"/>
    <w:rsid w:val="00921079"/>
    <w:rsid w:val="00922142"/>
    <w:rsid w:val="00926064"/>
    <w:rsid w:val="00926B73"/>
    <w:rsid w:val="00931687"/>
    <w:rsid w:val="00932131"/>
    <w:rsid w:val="00932364"/>
    <w:rsid w:val="009335EF"/>
    <w:rsid w:val="00935548"/>
    <w:rsid w:val="009357EC"/>
    <w:rsid w:val="00937445"/>
    <w:rsid w:val="00946FB0"/>
    <w:rsid w:val="009476B0"/>
    <w:rsid w:val="00952974"/>
    <w:rsid w:val="00952A0C"/>
    <w:rsid w:val="009546AE"/>
    <w:rsid w:val="00954AC4"/>
    <w:rsid w:val="00956BDF"/>
    <w:rsid w:val="009575CF"/>
    <w:rsid w:val="0096153C"/>
    <w:rsid w:val="009624AE"/>
    <w:rsid w:val="00962D9E"/>
    <w:rsid w:val="00962DE9"/>
    <w:rsid w:val="00964F67"/>
    <w:rsid w:val="00966501"/>
    <w:rsid w:val="009665EA"/>
    <w:rsid w:val="00970599"/>
    <w:rsid w:val="00972321"/>
    <w:rsid w:val="00972392"/>
    <w:rsid w:val="00972982"/>
    <w:rsid w:val="00972DC3"/>
    <w:rsid w:val="009776F3"/>
    <w:rsid w:val="0097781A"/>
    <w:rsid w:val="00980AEE"/>
    <w:rsid w:val="00984E4E"/>
    <w:rsid w:val="00990AE3"/>
    <w:rsid w:val="00993F93"/>
    <w:rsid w:val="0099488D"/>
    <w:rsid w:val="009A117D"/>
    <w:rsid w:val="009A160C"/>
    <w:rsid w:val="009A48C1"/>
    <w:rsid w:val="009A522A"/>
    <w:rsid w:val="009B12AB"/>
    <w:rsid w:val="009B4168"/>
    <w:rsid w:val="009C439F"/>
    <w:rsid w:val="009C5F5A"/>
    <w:rsid w:val="009C6AFA"/>
    <w:rsid w:val="009D1A2F"/>
    <w:rsid w:val="009D1A78"/>
    <w:rsid w:val="009D320E"/>
    <w:rsid w:val="009D6E85"/>
    <w:rsid w:val="009E4FD4"/>
    <w:rsid w:val="009E75A6"/>
    <w:rsid w:val="009E7A26"/>
    <w:rsid w:val="009F02C5"/>
    <w:rsid w:val="009F03AD"/>
    <w:rsid w:val="009F1873"/>
    <w:rsid w:val="009F3912"/>
    <w:rsid w:val="009F505F"/>
    <w:rsid w:val="009F6899"/>
    <w:rsid w:val="009F7581"/>
    <w:rsid w:val="00A023BA"/>
    <w:rsid w:val="00A03F80"/>
    <w:rsid w:val="00A0580F"/>
    <w:rsid w:val="00A12112"/>
    <w:rsid w:val="00A125AF"/>
    <w:rsid w:val="00A14394"/>
    <w:rsid w:val="00A14D99"/>
    <w:rsid w:val="00A155E0"/>
    <w:rsid w:val="00A16008"/>
    <w:rsid w:val="00A16887"/>
    <w:rsid w:val="00A16981"/>
    <w:rsid w:val="00A24943"/>
    <w:rsid w:val="00A26567"/>
    <w:rsid w:val="00A3131A"/>
    <w:rsid w:val="00A31E63"/>
    <w:rsid w:val="00A37676"/>
    <w:rsid w:val="00A410C9"/>
    <w:rsid w:val="00A4135B"/>
    <w:rsid w:val="00A42A4F"/>
    <w:rsid w:val="00A42D94"/>
    <w:rsid w:val="00A435F7"/>
    <w:rsid w:val="00A436CB"/>
    <w:rsid w:val="00A4461D"/>
    <w:rsid w:val="00A44AD3"/>
    <w:rsid w:val="00A520FB"/>
    <w:rsid w:val="00A524CC"/>
    <w:rsid w:val="00A535BF"/>
    <w:rsid w:val="00A53F4F"/>
    <w:rsid w:val="00A549F8"/>
    <w:rsid w:val="00A552FD"/>
    <w:rsid w:val="00A60365"/>
    <w:rsid w:val="00A63752"/>
    <w:rsid w:val="00A64AB2"/>
    <w:rsid w:val="00A65B3A"/>
    <w:rsid w:val="00A714ED"/>
    <w:rsid w:val="00A7366D"/>
    <w:rsid w:val="00A73A86"/>
    <w:rsid w:val="00A7406B"/>
    <w:rsid w:val="00A76CF3"/>
    <w:rsid w:val="00A82E2E"/>
    <w:rsid w:val="00A85563"/>
    <w:rsid w:val="00A860F1"/>
    <w:rsid w:val="00A8698B"/>
    <w:rsid w:val="00A91673"/>
    <w:rsid w:val="00A94155"/>
    <w:rsid w:val="00A94556"/>
    <w:rsid w:val="00A94B3E"/>
    <w:rsid w:val="00A94F74"/>
    <w:rsid w:val="00A95155"/>
    <w:rsid w:val="00A95864"/>
    <w:rsid w:val="00A97086"/>
    <w:rsid w:val="00A97427"/>
    <w:rsid w:val="00A97D0E"/>
    <w:rsid w:val="00AA0420"/>
    <w:rsid w:val="00AA1F18"/>
    <w:rsid w:val="00AA229A"/>
    <w:rsid w:val="00AA2AFE"/>
    <w:rsid w:val="00AA2D35"/>
    <w:rsid w:val="00AB4C9E"/>
    <w:rsid w:val="00AB5156"/>
    <w:rsid w:val="00AB56BC"/>
    <w:rsid w:val="00AB645B"/>
    <w:rsid w:val="00AB73B6"/>
    <w:rsid w:val="00AC0D3F"/>
    <w:rsid w:val="00AC1A7E"/>
    <w:rsid w:val="00AC37C6"/>
    <w:rsid w:val="00AC4E0F"/>
    <w:rsid w:val="00AC5339"/>
    <w:rsid w:val="00AC6BDD"/>
    <w:rsid w:val="00AC6E1F"/>
    <w:rsid w:val="00AC7FF1"/>
    <w:rsid w:val="00AD1853"/>
    <w:rsid w:val="00AD1EA1"/>
    <w:rsid w:val="00AD414C"/>
    <w:rsid w:val="00AD4200"/>
    <w:rsid w:val="00AD4528"/>
    <w:rsid w:val="00AD5C43"/>
    <w:rsid w:val="00AD6365"/>
    <w:rsid w:val="00AE1B5F"/>
    <w:rsid w:val="00AE1FDD"/>
    <w:rsid w:val="00AE2529"/>
    <w:rsid w:val="00AE368D"/>
    <w:rsid w:val="00AE4FB5"/>
    <w:rsid w:val="00AE53AD"/>
    <w:rsid w:val="00AF0F91"/>
    <w:rsid w:val="00AF39E0"/>
    <w:rsid w:val="00AF4230"/>
    <w:rsid w:val="00AF434F"/>
    <w:rsid w:val="00AF5A31"/>
    <w:rsid w:val="00AF678E"/>
    <w:rsid w:val="00B011F3"/>
    <w:rsid w:val="00B02DD7"/>
    <w:rsid w:val="00B03F50"/>
    <w:rsid w:val="00B0579B"/>
    <w:rsid w:val="00B07092"/>
    <w:rsid w:val="00B1092A"/>
    <w:rsid w:val="00B15363"/>
    <w:rsid w:val="00B178A6"/>
    <w:rsid w:val="00B200EC"/>
    <w:rsid w:val="00B22BAA"/>
    <w:rsid w:val="00B236BC"/>
    <w:rsid w:val="00B23855"/>
    <w:rsid w:val="00B24B16"/>
    <w:rsid w:val="00B25EF3"/>
    <w:rsid w:val="00B270E0"/>
    <w:rsid w:val="00B31B10"/>
    <w:rsid w:val="00B31B60"/>
    <w:rsid w:val="00B32570"/>
    <w:rsid w:val="00B35D87"/>
    <w:rsid w:val="00B36073"/>
    <w:rsid w:val="00B362CE"/>
    <w:rsid w:val="00B37DF1"/>
    <w:rsid w:val="00B41AC9"/>
    <w:rsid w:val="00B42C32"/>
    <w:rsid w:val="00B44F6C"/>
    <w:rsid w:val="00B47FFD"/>
    <w:rsid w:val="00B525C0"/>
    <w:rsid w:val="00B54558"/>
    <w:rsid w:val="00B54830"/>
    <w:rsid w:val="00B57602"/>
    <w:rsid w:val="00B601A2"/>
    <w:rsid w:val="00B606C1"/>
    <w:rsid w:val="00B619E9"/>
    <w:rsid w:val="00B64F7A"/>
    <w:rsid w:val="00B6603E"/>
    <w:rsid w:val="00B66076"/>
    <w:rsid w:val="00B662BE"/>
    <w:rsid w:val="00B70072"/>
    <w:rsid w:val="00B7412D"/>
    <w:rsid w:val="00B747EF"/>
    <w:rsid w:val="00B765D4"/>
    <w:rsid w:val="00B77391"/>
    <w:rsid w:val="00B81681"/>
    <w:rsid w:val="00B81F41"/>
    <w:rsid w:val="00B82812"/>
    <w:rsid w:val="00B82A5D"/>
    <w:rsid w:val="00B85038"/>
    <w:rsid w:val="00B85257"/>
    <w:rsid w:val="00B86D47"/>
    <w:rsid w:val="00B87DB7"/>
    <w:rsid w:val="00B91271"/>
    <w:rsid w:val="00B91418"/>
    <w:rsid w:val="00B918D9"/>
    <w:rsid w:val="00B9270B"/>
    <w:rsid w:val="00B94154"/>
    <w:rsid w:val="00B95098"/>
    <w:rsid w:val="00B95BDA"/>
    <w:rsid w:val="00B95BDB"/>
    <w:rsid w:val="00B95D5C"/>
    <w:rsid w:val="00B978A0"/>
    <w:rsid w:val="00B978AA"/>
    <w:rsid w:val="00BA0482"/>
    <w:rsid w:val="00BA1796"/>
    <w:rsid w:val="00BA27CC"/>
    <w:rsid w:val="00BA79C4"/>
    <w:rsid w:val="00BB0B72"/>
    <w:rsid w:val="00BB11C9"/>
    <w:rsid w:val="00BB134B"/>
    <w:rsid w:val="00BB1BE4"/>
    <w:rsid w:val="00BB2616"/>
    <w:rsid w:val="00BB26FA"/>
    <w:rsid w:val="00BB419B"/>
    <w:rsid w:val="00BB4974"/>
    <w:rsid w:val="00BB4D73"/>
    <w:rsid w:val="00BB54F9"/>
    <w:rsid w:val="00BB6B2B"/>
    <w:rsid w:val="00BC016D"/>
    <w:rsid w:val="00BC1DC1"/>
    <w:rsid w:val="00BC35E8"/>
    <w:rsid w:val="00BC6DC2"/>
    <w:rsid w:val="00BD08A5"/>
    <w:rsid w:val="00BD1BF5"/>
    <w:rsid w:val="00BD2230"/>
    <w:rsid w:val="00BD3CA9"/>
    <w:rsid w:val="00BD57AD"/>
    <w:rsid w:val="00BD718C"/>
    <w:rsid w:val="00BE0C16"/>
    <w:rsid w:val="00BE0DF1"/>
    <w:rsid w:val="00BE1B04"/>
    <w:rsid w:val="00BE3158"/>
    <w:rsid w:val="00BE4218"/>
    <w:rsid w:val="00BF08BC"/>
    <w:rsid w:val="00BF1965"/>
    <w:rsid w:val="00BF25C3"/>
    <w:rsid w:val="00BF4197"/>
    <w:rsid w:val="00BF5D6B"/>
    <w:rsid w:val="00BF6728"/>
    <w:rsid w:val="00C0202D"/>
    <w:rsid w:val="00C02325"/>
    <w:rsid w:val="00C02E1F"/>
    <w:rsid w:val="00C033EB"/>
    <w:rsid w:val="00C041DB"/>
    <w:rsid w:val="00C04437"/>
    <w:rsid w:val="00C0474D"/>
    <w:rsid w:val="00C04FC6"/>
    <w:rsid w:val="00C051B1"/>
    <w:rsid w:val="00C0523C"/>
    <w:rsid w:val="00C072E4"/>
    <w:rsid w:val="00C11771"/>
    <w:rsid w:val="00C137E0"/>
    <w:rsid w:val="00C14B61"/>
    <w:rsid w:val="00C156B5"/>
    <w:rsid w:val="00C16CEA"/>
    <w:rsid w:val="00C2121C"/>
    <w:rsid w:val="00C21C5E"/>
    <w:rsid w:val="00C225D9"/>
    <w:rsid w:val="00C225E6"/>
    <w:rsid w:val="00C2303D"/>
    <w:rsid w:val="00C242A6"/>
    <w:rsid w:val="00C25CD4"/>
    <w:rsid w:val="00C27B7B"/>
    <w:rsid w:val="00C32A0F"/>
    <w:rsid w:val="00C344F2"/>
    <w:rsid w:val="00C3750A"/>
    <w:rsid w:val="00C414E6"/>
    <w:rsid w:val="00C52141"/>
    <w:rsid w:val="00C54149"/>
    <w:rsid w:val="00C56A87"/>
    <w:rsid w:val="00C57790"/>
    <w:rsid w:val="00C57861"/>
    <w:rsid w:val="00C60DCD"/>
    <w:rsid w:val="00C61213"/>
    <w:rsid w:val="00C61465"/>
    <w:rsid w:val="00C619D4"/>
    <w:rsid w:val="00C6242C"/>
    <w:rsid w:val="00C65530"/>
    <w:rsid w:val="00C65876"/>
    <w:rsid w:val="00C65F41"/>
    <w:rsid w:val="00C67B1D"/>
    <w:rsid w:val="00C700BE"/>
    <w:rsid w:val="00C738DC"/>
    <w:rsid w:val="00C7611C"/>
    <w:rsid w:val="00C83754"/>
    <w:rsid w:val="00C83885"/>
    <w:rsid w:val="00C85241"/>
    <w:rsid w:val="00C86C3C"/>
    <w:rsid w:val="00C876BE"/>
    <w:rsid w:val="00C90D5A"/>
    <w:rsid w:val="00C93D2D"/>
    <w:rsid w:val="00C93E6E"/>
    <w:rsid w:val="00C94D6F"/>
    <w:rsid w:val="00C95AC7"/>
    <w:rsid w:val="00C96058"/>
    <w:rsid w:val="00CA1D53"/>
    <w:rsid w:val="00CA332F"/>
    <w:rsid w:val="00CA556F"/>
    <w:rsid w:val="00CA6261"/>
    <w:rsid w:val="00CA63E8"/>
    <w:rsid w:val="00CA7372"/>
    <w:rsid w:val="00CA7A2B"/>
    <w:rsid w:val="00CB0770"/>
    <w:rsid w:val="00CB15D0"/>
    <w:rsid w:val="00CB41A8"/>
    <w:rsid w:val="00CB6875"/>
    <w:rsid w:val="00CC00F7"/>
    <w:rsid w:val="00CC25AA"/>
    <w:rsid w:val="00CC74E6"/>
    <w:rsid w:val="00CC79F2"/>
    <w:rsid w:val="00CD0152"/>
    <w:rsid w:val="00CD3969"/>
    <w:rsid w:val="00CD6410"/>
    <w:rsid w:val="00CD648F"/>
    <w:rsid w:val="00CE1A15"/>
    <w:rsid w:val="00CE207B"/>
    <w:rsid w:val="00CE27F3"/>
    <w:rsid w:val="00CE419F"/>
    <w:rsid w:val="00CE5001"/>
    <w:rsid w:val="00CE51B1"/>
    <w:rsid w:val="00CE671E"/>
    <w:rsid w:val="00CE74ED"/>
    <w:rsid w:val="00CF1204"/>
    <w:rsid w:val="00CF27E4"/>
    <w:rsid w:val="00CF3CCD"/>
    <w:rsid w:val="00CF4077"/>
    <w:rsid w:val="00CF5374"/>
    <w:rsid w:val="00CF7547"/>
    <w:rsid w:val="00D028F3"/>
    <w:rsid w:val="00D0615C"/>
    <w:rsid w:val="00D06D53"/>
    <w:rsid w:val="00D11991"/>
    <w:rsid w:val="00D12C73"/>
    <w:rsid w:val="00D12E9F"/>
    <w:rsid w:val="00D15314"/>
    <w:rsid w:val="00D15A24"/>
    <w:rsid w:val="00D15BAA"/>
    <w:rsid w:val="00D254D9"/>
    <w:rsid w:val="00D30365"/>
    <w:rsid w:val="00D30A7A"/>
    <w:rsid w:val="00D30DF7"/>
    <w:rsid w:val="00D330A3"/>
    <w:rsid w:val="00D337DA"/>
    <w:rsid w:val="00D35E73"/>
    <w:rsid w:val="00D37824"/>
    <w:rsid w:val="00D37B7C"/>
    <w:rsid w:val="00D40866"/>
    <w:rsid w:val="00D4091B"/>
    <w:rsid w:val="00D40C9A"/>
    <w:rsid w:val="00D40CEC"/>
    <w:rsid w:val="00D41FCB"/>
    <w:rsid w:val="00D421C4"/>
    <w:rsid w:val="00D42628"/>
    <w:rsid w:val="00D428BB"/>
    <w:rsid w:val="00D45797"/>
    <w:rsid w:val="00D45CB6"/>
    <w:rsid w:val="00D5004C"/>
    <w:rsid w:val="00D50D75"/>
    <w:rsid w:val="00D50D9B"/>
    <w:rsid w:val="00D531C1"/>
    <w:rsid w:val="00D53467"/>
    <w:rsid w:val="00D611E0"/>
    <w:rsid w:val="00D61D26"/>
    <w:rsid w:val="00D6622A"/>
    <w:rsid w:val="00D67027"/>
    <w:rsid w:val="00D729F5"/>
    <w:rsid w:val="00D73926"/>
    <w:rsid w:val="00D74482"/>
    <w:rsid w:val="00D759D5"/>
    <w:rsid w:val="00D76DA1"/>
    <w:rsid w:val="00D77917"/>
    <w:rsid w:val="00D80729"/>
    <w:rsid w:val="00D8192D"/>
    <w:rsid w:val="00D81B63"/>
    <w:rsid w:val="00D8223A"/>
    <w:rsid w:val="00D8268B"/>
    <w:rsid w:val="00D829F8"/>
    <w:rsid w:val="00D8411C"/>
    <w:rsid w:val="00D842DF"/>
    <w:rsid w:val="00D8476C"/>
    <w:rsid w:val="00D84E24"/>
    <w:rsid w:val="00D8501D"/>
    <w:rsid w:val="00D873F1"/>
    <w:rsid w:val="00D879DF"/>
    <w:rsid w:val="00D87F4C"/>
    <w:rsid w:val="00D92875"/>
    <w:rsid w:val="00D94ADF"/>
    <w:rsid w:val="00D95630"/>
    <w:rsid w:val="00DA2DB9"/>
    <w:rsid w:val="00DA60CD"/>
    <w:rsid w:val="00DA66D9"/>
    <w:rsid w:val="00DB01B6"/>
    <w:rsid w:val="00DB1B3D"/>
    <w:rsid w:val="00DB4CED"/>
    <w:rsid w:val="00DB504E"/>
    <w:rsid w:val="00DB69E1"/>
    <w:rsid w:val="00DB71D5"/>
    <w:rsid w:val="00DB7957"/>
    <w:rsid w:val="00DC1580"/>
    <w:rsid w:val="00DC2CF0"/>
    <w:rsid w:val="00DC475A"/>
    <w:rsid w:val="00DD1B61"/>
    <w:rsid w:val="00DD1E3D"/>
    <w:rsid w:val="00DD4194"/>
    <w:rsid w:val="00DE078F"/>
    <w:rsid w:val="00DE18FA"/>
    <w:rsid w:val="00DE3961"/>
    <w:rsid w:val="00DE3C49"/>
    <w:rsid w:val="00DE6699"/>
    <w:rsid w:val="00DE6D19"/>
    <w:rsid w:val="00DF3C9A"/>
    <w:rsid w:val="00DF3F25"/>
    <w:rsid w:val="00E02D72"/>
    <w:rsid w:val="00E03F47"/>
    <w:rsid w:val="00E049DA"/>
    <w:rsid w:val="00E050DC"/>
    <w:rsid w:val="00E0591C"/>
    <w:rsid w:val="00E06564"/>
    <w:rsid w:val="00E12F8D"/>
    <w:rsid w:val="00E14CC5"/>
    <w:rsid w:val="00E21762"/>
    <w:rsid w:val="00E241BA"/>
    <w:rsid w:val="00E25F2A"/>
    <w:rsid w:val="00E26A6C"/>
    <w:rsid w:val="00E27A6E"/>
    <w:rsid w:val="00E35CB7"/>
    <w:rsid w:val="00E35D12"/>
    <w:rsid w:val="00E44165"/>
    <w:rsid w:val="00E4444F"/>
    <w:rsid w:val="00E453F7"/>
    <w:rsid w:val="00E45D1B"/>
    <w:rsid w:val="00E460AC"/>
    <w:rsid w:val="00E50821"/>
    <w:rsid w:val="00E51A91"/>
    <w:rsid w:val="00E536E6"/>
    <w:rsid w:val="00E5494F"/>
    <w:rsid w:val="00E7065D"/>
    <w:rsid w:val="00E711CC"/>
    <w:rsid w:val="00E714DD"/>
    <w:rsid w:val="00E72829"/>
    <w:rsid w:val="00E730B3"/>
    <w:rsid w:val="00E76CE3"/>
    <w:rsid w:val="00E7739E"/>
    <w:rsid w:val="00E77BBB"/>
    <w:rsid w:val="00E815AE"/>
    <w:rsid w:val="00E82609"/>
    <w:rsid w:val="00E84591"/>
    <w:rsid w:val="00E84F0A"/>
    <w:rsid w:val="00E858A8"/>
    <w:rsid w:val="00E86750"/>
    <w:rsid w:val="00E871BB"/>
    <w:rsid w:val="00E87A06"/>
    <w:rsid w:val="00E91269"/>
    <w:rsid w:val="00E93535"/>
    <w:rsid w:val="00E942EC"/>
    <w:rsid w:val="00E94B68"/>
    <w:rsid w:val="00E94F10"/>
    <w:rsid w:val="00E9588D"/>
    <w:rsid w:val="00EA1996"/>
    <w:rsid w:val="00EA2496"/>
    <w:rsid w:val="00EA3543"/>
    <w:rsid w:val="00EA3FBB"/>
    <w:rsid w:val="00EA5711"/>
    <w:rsid w:val="00EA5C83"/>
    <w:rsid w:val="00EB0C77"/>
    <w:rsid w:val="00EB18F4"/>
    <w:rsid w:val="00EB5D5F"/>
    <w:rsid w:val="00EB7287"/>
    <w:rsid w:val="00EC126E"/>
    <w:rsid w:val="00EC4A5D"/>
    <w:rsid w:val="00EC5443"/>
    <w:rsid w:val="00EC671C"/>
    <w:rsid w:val="00ED0AD4"/>
    <w:rsid w:val="00ED1B54"/>
    <w:rsid w:val="00ED2C5E"/>
    <w:rsid w:val="00ED2EAF"/>
    <w:rsid w:val="00ED3997"/>
    <w:rsid w:val="00ED4A15"/>
    <w:rsid w:val="00ED5492"/>
    <w:rsid w:val="00ED6A03"/>
    <w:rsid w:val="00ED71E3"/>
    <w:rsid w:val="00EE0B39"/>
    <w:rsid w:val="00EE0CF5"/>
    <w:rsid w:val="00EE1127"/>
    <w:rsid w:val="00EE12AA"/>
    <w:rsid w:val="00EE24F4"/>
    <w:rsid w:val="00EE2FEE"/>
    <w:rsid w:val="00EE3AB5"/>
    <w:rsid w:val="00EE4CB5"/>
    <w:rsid w:val="00EE4EE9"/>
    <w:rsid w:val="00EE69D1"/>
    <w:rsid w:val="00EF0C3C"/>
    <w:rsid w:val="00EF0DDD"/>
    <w:rsid w:val="00EF117B"/>
    <w:rsid w:val="00EF2683"/>
    <w:rsid w:val="00EF5976"/>
    <w:rsid w:val="00F0332B"/>
    <w:rsid w:val="00F05106"/>
    <w:rsid w:val="00F06318"/>
    <w:rsid w:val="00F06972"/>
    <w:rsid w:val="00F1020C"/>
    <w:rsid w:val="00F10554"/>
    <w:rsid w:val="00F1288E"/>
    <w:rsid w:val="00F134AD"/>
    <w:rsid w:val="00F14DF8"/>
    <w:rsid w:val="00F153D1"/>
    <w:rsid w:val="00F20906"/>
    <w:rsid w:val="00F21B93"/>
    <w:rsid w:val="00F23039"/>
    <w:rsid w:val="00F302A4"/>
    <w:rsid w:val="00F308E5"/>
    <w:rsid w:val="00F30C70"/>
    <w:rsid w:val="00F3428B"/>
    <w:rsid w:val="00F3466B"/>
    <w:rsid w:val="00F36164"/>
    <w:rsid w:val="00F408CE"/>
    <w:rsid w:val="00F42231"/>
    <w:rsid w:val="00F43B12"/>
    <w:rsid w:val="00F44C4D"/>
    <w:rsid w:val="00F45C78"/>
    <w:rsid w:val="00F515C3"/>
    <w:rsid w:val="00F52EA2"/>
    <w:rsid w:val="00F54256"/>
    <w:rsid w:val="00F643CF"/>
    <w:rsid w:val="00F663EE"/>
    <w:rsid w:val="00F67096"/>
    <w:rsid w:val="00F7005D"/>
    <w:rsid w:val="00F71D38"/>
    <w:rsid w:val="00F72597"/>
    <w:rsid w:val="00F72DA1"/>
    <w:rsid w:val="00F758B6"/>
    <w:rsid w:val="00F76DBB"/>
    <w:rsid w:val="00F82D2F"/>
    <w:rsid w:val="00F836A2"/>
    <w:rsid w:val="00F83966"/>
    <w:rsid w:val="00F83F25"/>
    <w:rsid w:val="00F86473"/>
    <w:rsid w:val="00F86730"/>
    <w:rsid w:val="00F8695E"/>
    <w:rsid w:val="00F8762C"/>
    <w:rsid w:val="00F90BA7"/>
    <w:rsid w:val="00F91546"/>
    <w:rsid w:val="00F930C2"/>
    <w:rsid w:val="00F931CD"/>
    <w:rsid w:val="00F93CAC"/>
    <w:rsid w:val="00F96F1F"/>
    <w:rsid w:val="00FA2289"/>
    <w:rsid w:val="00FA273E"/>
    <w:rsid w:val="00FA6CED"/>
    <w:rsid w:val="00FB002C"/>
    <w:rsid w:val="00FB1142"/>
    <w:rsid w:val="00FB1A6F"/>
    <w:rsid w:val="00FB234F"/>
    <w:rsid w:val="00FB34F1"/>
    <w:rsid w:val="00FB38A5"/>
    <w:rsid w:val="00FB3D1F"/>
    <w:rsid w:val="00FB58BC"/>
    <w:rsid w:val="00FB6BBA"/>
    <w:rsid w:val="00FC0B7E"/>
    <w:rsid w:val="00FC2FD0"/>
    <w:rsid w:val="00FC37A4"/>
    <w:rsid w:val="00FC3B4E"/>
    <w:rsid w:val="00FC51E8"/>
    <w:rsid w:val="00FC5B78"/>
    <w:rsid w:val="00FC6C5F"/>
    <w:rsid w:val="00FC6D96"/>
    <w:rsid w:val="00FC6E73"/>
    <w:rsid w:val="00FD000F"/>
    <w:rsid w:val="00FD08E6"/>
    <w:rsid w:val="00FD26C7"/>
    <w:rsid w:val="00FD3602"/>
    <w:rsid w:val="00FD3DF5"/>
    <w:rsid w:val="00FD4645"/>
    <w:rsid w:val="00FD546A"/>
    <w:rsid w:val="00FD5AE2"/>
    <w:rsid w:val="00FD7836"/>
    <w:rsid w:val="00FD7B66"/>
    <w:rsid w:val="00FE207B"/>
    <w:rsid w:val="00FE3023"/>
    <w:rsid w:val="00FE4EE3"/>
    <w:rsid w:val="00FE5BD6"/>
    <w:rsid w:val="00FE5CDC"/>
    <w:rsid w:val="00FF3E3D"/>
    <w:rsid w:val="00FF4141"/>
    <w:rsid w:val="019B80F7"/>
    <w:rsid w:val="0255881C"/>
    <w:rsid w:val="033D708F"/>
    <w:rsid w:val="03499356"/>
    <w:rsid w:val="071C2368"/>
    <w:rsid w:val="0877FEE8"/>
    <w:rsid w:val="0B4968AD"/>
    <w:rsid w:val="0B80406C"/>
    <w:rsid w:val="0BDAEDD9"/>
    <w:rsid w:val="0CFBE0EB"/>
    <w:rsid w:val="0F55033A"/>
    <w:rsid w:val="0F5CD468"/>
    <w:rsid w:val="0F7623BD"/>
    <w:rsid w:val="0FD6CFDF"/>
    <w:rsid w:val="118C1C83"/>
    <w:rsid w:val="119B5BF1"/>
    <w:rsid w:val="11FB2B2A"/>
    <w:rsid w:val="12227416"/>
    <w:rsid w:val="1290F840"/>
    <w:rsid w:val="12D8CFF3"/>
    <w:rsid w:val="14700BE6"/>
    <w:rsid w:val="152A3D88"/>
    <w:rsid w:val="1535EEE4"/>
    <w:rsid w:val="15DE538B"/>
    <w:rsid w:val="1690192A"/>
    <w:rsid w:val="1700BB13"/>
    <w:rsid w:val="1861B80D"/>
    <w:rsid w:val="190C85C5"/>
    <w:rsid w:val="19B07348"/>
    <w:rsid w:val="1A2AD1DD"/>
    <w:rsid w:val="1A394191"/>
    <w:rsid w:val="1D3E3019"/>
    <w:rsid w:val="1D7B7AF8"/>
    <w:rsid w:val="1DE4A0F5"/>
    <w:rsid w:val="1F5867C3"/>
    <w:rsid w:val="210B6266"/>
    <w:rsid w:val="214B637C"/>
    <w:rsid w:val="21612A4D"/>
    <w:rsid w:val="22964984"/>
    <w:rsid w:val="22D909E9"/>
    <w:rsid w:val="232392FB"/>
    <w:rsid w:val="23884BF2"/>
    <w:rsid w:val="24ABFC55"/>
    <w:rsid w:val="24E37D46"/>
    <w:rsid w:val="260F68BA"/>
    <w:rsid w:val="269DED0F"/>
    <w:rsid w:val="2A2BE2A1"/>
    <w:rsid w:val="2AE16ED0"/>
    <w:rsid w:val="2B6A2B8B"/>
    <w:rsid w:val="2C58DF8A"/>
    <w:rsid w:val="2D91FD79"/>
    <w:rsid w:val="2EF34AA9"/>
    <w:rsid w:val="2F10490C"/>
    <w:rsid w:val="310086C9"/>
    <w:rsid w:val="31507F94"/>
    <w:rsid w:val="33C8CFCA"/>
    <w:rsid w:val="3414DF5E"/>
    <w:rsid w:val="3454F24D"/>
    <w:rsid w:val="357FB5C8"/>
    <w:rsid w:val="367E919F"/>
    <w:rsid w:val="3754E721"/>
    <w:rsid w:val="38110988"/>
    <w:rsid w:val="387182D0"/>
    <w:rsid w:val="3B712AD2"/>
    <w:rsid w:val="3B7BD987"/>
    <w:rsid w:val="3CBCAE71"/>
    <w:rsid w:val="3DA01F7D"/>
    <w:rsid w:val="3DC30387"/>
    <w:rsid w:val="3E3C6D0F"/>
    <w:rsid w:val="3F33B371"/>
    <w:rsid w:val="4067595C"/>
    <w:rsid w:val="40C6F30E"/>
    <w:rsid w:val="418962C7"/>
    <w:rsid w:val="43350638"/>
    <w:rsid w:val="44CDABFC"/>
    <w:rsid w:val="44DD0514"/>
    <w:rsid w:val="45BD43FB"/>
    <w:rsid w:val="46C27E34"/>
    <w:rsid w:val="4720F64B"/>
    <w:rsid w:val="493074E4"/>
    <w:rsid w:val="4935B686"/>
    <w:rsid w:val="49455131"/>
    <w:rsid w:val="49DBC757"/>
    <w:rsid w:val="4A42CA38"/>
    <w:rsid w:val="4B2EE783"/>
    <w:rsid w:val="4C0BDBA6"/>
    <w:rsid w:val="50B05B8B"/>
    <w:rsid w:val="50E568C8"/>
    <w:rsid w:val="527BED42"/>
    <w:rsid w:val="53F62BBD"/>
    <w:rsid w:val="545ED8C1"/>
    <w:rsid w:val="54860ABA"/>
    <w:rsid w:val="5501626B"/>
    <w:rsid w:val="571224A2"/>
    <w:rsid w:val="57FF5321"/>
    <w:rsid w:val="5A2B7E53"/>
    <w:rsid w:val="5CDF570E"/>
    <w:rsid w:val="5D560C3E"/>
    <w:rsid w:val="5D63CE13"/>
    <w:rsid w:val="5D64D678"/>
    <w:rsid w:val="5D937E40"/>
    <w:rsid w:val="5D985C94"/>
    <w:rsid w:val="5E078B33"/>
    <w:rsid w:val="5E2AB9F7"/>
    <w:rsid w:val="5EFBD11C"/>
    <w:rsid w:val="5F1743FB"/>
    <w:rsid w:val="5F86771A"/>
    <w:rsid w:val="6084905C"/>
    <w:rsid w:val="63BB79F3"/>
    <w:rsid w:val="647A2714"/>
    <w:rsid w:val="64FF826E"/>
    <w:rsid w:val="65C4CFB0"/>
    <w:rsid w:val="665A856B"/>
    <w:rsid w:val="6785717C"/>
    <w:rsid w:val="67A7084C"/>
    <w:rsid w:val="68F42C17"/>
    <w:rsid w:val="68F6F6FC"/>
    <w:rsid w:val="6984EB3C"/>
    <w:rsid w:val="69E43DCD"/>
    <w:rsid w:val="6A700D8D"/>
    <w:rsid w:val="6A992F43"/>
    <w:rsid w:val="6BFC8686"/>
    <w:rsid w:val="6DB66224"/>
    <w:rsid w:val="6E15E2AC"/>
    <w:rsid w:val="6E1CC7A0"/>
    <w:rsid w:val="6E3A5F50"/>
    <w:rsid w:val="70FD4EA4"/>
    <w:rsid w:val="717DF545"/>
    <w:rsid w:val="72ADC4F6"/>
    <w:rsid w:val="73738ADD"/>
    <w:rsid w:val="74282B7C"/>
    <w:rsid w:val="742BF851"/>
    <w:rsid w:val="781462EE"/>
    <w:rsid w:val="7AC935AE"/>
    <w:rsid w:val="7ADA29FC"/>
    <w:rsid w:val="7C1BBA1A"/>
    <w:rsid w:val="7C3683B4"/>
    <w:rsid w:val="7D364CC0"/>
    <w:rsid w:val="7EE3A0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E919F"/>
  <w15:chartTrackingRefBased/>
  <w15:docId w15:val="{FA506C3A-BA81-45D0-B878-DB7DDE78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142"/>
    <w:rPr>
      <w:rFonts w:ascii="Arial" w:eastAsiaTheme="minorHAnsi" w:hAnsi="Arial" w:cs="Arial"/>
      <w:kern w:val="2"/>
      <w:lang w:val="en-AU" w:eastAsia="en-US"/>
      <w14:ligatures w14:val="standardContextual"/>
    </w:rPr>
  </w:style>
  <w:style w:type="paragraph" w:styleId="Heading1">
    <w:name w:val="heading 1"/>
    <w:basedOn w:val="Normal"/>
    <w:next w:val="Normal"/>
    <w:link w:val="Heading1Char"/>
    <w:uiPriority w:val="9"/>
    <w:qFormat/>
    <w:rsid w:val="00297DFC"/>
    <w:pPr>
      <w:keepNext/>
      <w:keepLines/>
      <w:spacing w:after="0" w:line="240" w:lineRule="auto"/>
      <w:outlineLvl w:val="0"/>
    </w:pPr>
    <w:rPr>
      <w:rFonts w:ascii="Century Gothic" w:eastAsiaTheme="majorEastAsia" w:hAnsi="Century Gothic" w:cstheme="majorBidi"/>
      <w:color w:val="6C4979"/>
      <w:sz w:val="48"/>
      <w:szCs w:val="48"/>
    </w:rPr>
  </w:style>
  <w:style w:type="paragraph" w:styleId="Heading2">
    <w:name w:val="heading 2"/>
    <w:basedOn w:val="Normal"/>
    <w:next w:val="Normal"/>
    <w:link w:val="Heading2Char"/>
    <w:uiPriority w:val="9"/>
    <w:unhideWhenUsed/>
    <w:qFormat/>
    <w:rsid w:val="00C11771"/>
    <w:pPr>
      <w:keepNext/>
      <w:keepLines/>
      <w:numPr>
        <w:ilvl w:val="1"/>
      </w:numPr>
      <w:spacing w:before="240" w:after="120" w:line="259" w:lineRule="auto"/>
      <w:outlineLvl w:val="1"/>
    </w:pPr>
    <w:rPr>
      <w:rFonts w:ascii="Century Gothic" w:eastAsiaTheme="majorEastAsia" w:hAnsi="Century Gothic" w:cstheme="majorBidi"/>
      <w:sz w:val="32"/>
      <w:szCs w:val="32"/>
    </w:rPr>
  </w:style>
  <w:style w:type="paragraph" w:styleId="Heading3">
    <w:name w:val="heading 3"/>
    <w:basedOn w:val="Normal"/>
    <w:next w:val="Normal"/>
    <w:link w:val="Heading3Char"/>
    <w:uiPriority w:val="9"/>
    <w:unhideWhenUsed/>
    <w:qFormat/>
    <w:rsid w:val="009D320E"/>
    <w:pPr>
      <w:keepNext/>
      <w:keepLines/>
      <w:numPr>
        <w:ilvl w:val="1"/>
      </w:numPr>
      <w:spacing w:before="240" w:after="0" w:line="259" w:lineRule="auto"/>
      <w:outlineLvl w:val="2"/>
    </w:pPr>
    <w:rPr>
      <w:rFonts w:ascii="Century Gothic" w:eastAsiaTheme="majorEastAsia" w:hAnsi="Century Gothic" w:cstheme="majorBidi"/>
      <w:color w:val="6C497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2C67"/>
    <w:pPr>
      <w:shd w:val="clear" w:color="auto" w:fill="EBE4EC"/>
      <w:spacing w:before="240" w:after="120" w:line="259" w:lineRule="auto"/>
    </w:pPr>
    <w:rPr>
      <w:b/>
      <w:bCs/>
      <w:shd w:val="clear" w:color="auto" w:fill="EFE8F0"/>
    </w:rPr>
  </w:style>
  <w:style w:type="character" w:styleId="Hyperlink">
    <w:name w:val="Hyperlink"/>
    <w:basedOn w:val="DefaultParagraphFont"/>
    <w:uiPriority w:val="99"/>
    <w:unhideWhenUsed/>
    <w:rsid w:val="269DED0F"/>
    <w:rPr>
      <w:color w:val="467886"/>
      <w:u w:val="single"/>
    </w:rPr>
  </w:style>
  <w:style w:type="paragraph" w:styleId="ListParagraph">
    <w:name w:val="List Paragraph"/>
    <w:basedOn w:val="Normal"/>
    <w:uiPriority w:val="34"/>
    <w:qFormat/>
    <w:rsid w:val="269DED0F"/>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A2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73E"/>
  </w:style>
  <w:style w:type="paragraph" w:styleId="Footer">
    <w:name w:val="footer"/>
    <w:basedOn w:val="Normal"/>
    <w:link w:val="FooterChar"/>
    <w:uiPriority w:val="99"/>
    <w:unhideWhenUsed/>
    <w:rsid w:val="00FA2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73E"/>
  </w:style>
  <w:style w:type="character" w:customStyle="1" w:styleId="normaltextrun">
    <w:name w:val="normaltextrun"/>
    <w:basedOn w:val="DefaultParagraphFont"/>
    <w:rsid w:val="00305EF5"/>
  </w:style>
  <w:style w:type="character" w:customStyle="1" w:styleId="eop">
    <w:name w:val="eop"/>
    <w:basedOn w:val="DefaultParagraphFont"/>
    <w:rsid w:val="00305EF5"/>
  </w:style>
  <w:style w:type="character" w:customStyle="1" w:styleId="Heading2Char">
    <w:name w:val="Heading 2 Char"/>
    <w:basedOn w:val="DefaultParagraphFont"/>
    <w:link w:val="Heading2"/>
    <w:uiPriority w:val="9"/>
    <w:rsid w:val="00C11771"/>
    <w:rPr>
      <w:rFonts w:ascii="Century Gothic" w:eastAsiaTheme="majorEastAsia" w:hAnsi="Century Gothic" w:cstheme="majorBidi"/>
      <w:kern w:val="2"/>
      <w:sz w:val="32"/>
      <w:szCs w:val="32"/>
      <w:lang w:val="en-AU" w:eastAsia="en-US"/>
      <w14:ligatures w14:val="standardContextual"/>
    </w:rPr>
  </w:style>
  <w:style w:type="character" w:styleId="UnresolvedMention">
    <w:name w:val="Unresolved Mention"/>
    <w:basedOn w:val="DefaultParagraphFont"/>
    <w:uiPriority w:val="99"/>
    <w:semiHidden/>
    <w:unhideWhenUsed/>
    <w:rsid w:val="00BF5D6B"/>
    <w:rPr>
      <w:color w:val="605E5C"/>
      <w:shd w:val="clear" w:color="auto" w:fill="E1DFDD"/>
    </w:rPr>
  </w:style>
  <w:style w:type="paragraph" w:styleId="Subtitle">
    <w:name w:val="Subtitle"/>
    <w:basedOn w:val="Normal"/>
    <w:next w:val="Normal"/>
    <w:link w:val="SubtitleChar"/>
    <w:uiPriority w:val="11"/>
    <w:qFormat/>
    <w:rsid w:val="003A13E5"/>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3A13E5"/>
    <w:rPr>
      <w:color w:val="5A5A5A" w:themeColor="text1" w:themeTint="A5"/>
      <w:spacing w:val="15"/>
      <w:sz w:val="22"/>
      <w:szCs w:val="22"/>
    </w:rPr>
  </w:style>
  <w:style w:type="character" w:styleId="CommentReference">
    <w:name w:val="annotation reference"/>
    <w:basedOn w:val="DefaultParagraphFont"/>
    <w:uiPriority w:val="99"/>
    <w:semiHidden/>
    <w:unhideWhenUsed/>
    <w:rsid w:val="005E66D7"/>
    <w:rPr>
      <w:sz w:val="16"/>
      <w:szCs w:val="16"/>
    </w:rPr>
  </w:style>
  <w:style w:type="paragraph" w:styleId="CommentText">
    <w:name w:val="annotation text"/>
    <w:basedOn w:val="Normal"/>
    <w:link w:val="CommentTextChar"/>
    <w:uiPriority w:val="99"/>
    <w:unhideWhenUsed/>
    <w:rsid w:val="005E66D7"/>
    <w:pPr>
      <w:spacing w:line="240" w:lineRule="auto"/>
    </w:pPr>
    <w:rPr>
      <w:sz w:val="20"/>
      <w:szCs w:val="20"/>
    </w:rPr>
  </w:style>
  <w:style w:type="character" w:customStyle="1" w:styleId="CommentTextChar">
    <w:name w:val="Comment Text Char"/>
    <w:basedOn w:val="DefaultParagraphFont"/>
    <w:link w:val="CommentText"/>
    <w:uiPriority w:val="99"/>
    <w:rsid w:val="005E66D7"/>
    <w:rPr>
      <w:sz w:val="20"/>
      <w:szCs w:val="20"/>
    </w:rPr>
  </w:style>
  <w:style w:type="paragraph" w:styleId="CommentSubject">
    <w:name w:val="annotation subject"/>
    <w:basedOn w:val="CommentText"/>
    <w:next w:val="CommentText"/>
    <w:link w:val="CommentSubjectChar"/>
    <w:uiPriority w:val="99"/>
    <w:semiHidden/>
    <w:unhideWhenUsed/>
    <w:rsid w:val="005E66D7"/>
    <w:rPr>
      <w:b/>
      <w:bCs/>
    </w:rPr>
  </w:style>
  <w:style w:type="character" w:customStyle="1" w:styleId="CommentSubjectChar">
    <w:name w:val="Comment Subject Char"/>
    <w:basedOn w:val="CommentTextChar"/>
    <w:link w:val="CommentSubject"/>
    <w:uiPriority w:val="99"/>
    <w:semiHidden/>
    <w:rsid w:val="005E66D7"/>
    <w:rPr>
      <w:b/>
      <w:bCs/>
      <w:sz w:val="20"/>
      <w:szCs w:val="20"/>
    </w:rPr>
  </w:style>
  <w:style w:type="character" w:customStyle="1" w:styleId="Heading1Char">
    <w:name w:val="Heading 1 Char"/>
    <w:basedOn w:val="DefaultParagraphFont"/>
    <w:link w:val="Heading1"/>
    <w:uiPriority w:val="9"/>
    <w:rsid w:val="00297DFC"/>
    <w:rPr>
      <w:rFonts w:ascii="Century Gothic" w:eastAsiaTheme="majorEastAsia" w:hAnsi="Century Gothic" w:cstheme="majorBidi"/>
      <w:color w:val="6C4979"/>
      <w:kern w:val="2"/>
      <w:sz w:val="48"/>
      <w:szCs w:val="48"/>
      <w:lang w:val="en-AU" w:eastAsia="en-US"/>
      <w14:ligatures w14:val="standardContextual"/>
    </w:rPr>
  </w:style>
  <w:style w:type="character" w:customStyle="1" w:styleId="Heading3Char">
    <w:name w:val="Heading 3 Char"/>
    <w:basedOn w:val="DefaultParagraphFont"/>
    <w:link w:val="Heading3"/>
    <w:uiPriority w:val="9"/>
    <w:rsid w:val="009D320E"/>
    <w:rPr>
      <w:rFonts w:ascii="Century Gothic" w:eastAsiaTheme="majorEastAsia" w:hAnsi="Century Gothic" w:cstheme="majorBidi"/>
      <w:color w:val="6C4979"/>
      <w:kern w:val="2"/>
      <w:sz w:val="28"/>
      <w:szCs w:val="28"/>
      <w:lang w:val="en-AU" w:eastAsia="en-US"/>
      <w14:ligatures w14:val="standardContextual"/>
    </w:rPr>
  </w:style>
  <w:style w:type="character" w:customStyle="1" w:styleId="TitleChar">
    <w:name w:val="Title Char"/>
    <w:basedOn w:val="DefaultParagraphFont"/>
    <w:link w:val="Title"/>
    <w:uiPriority w:val="10"/>
    <w:rsid w:val="006E2C67"/>
    <w:rPr>
      <w:rFonts w:ascii="Arial" w:eastAsiaTheme="minorHAnsi" w:hAnsi="Arial" w:cs="Arial"/>
      <w:b/>
      <w:bCs/>
      <w:kern w:val="2"/>
      <w:shd w:val="clear" w:color="auto" w:fill="EBE4EC"/>
      <w:lang w:val="en-AU" w:eastAsia="en-US"/>
      <w14:ligatures w14:val="standardContextual"/>
    </w:rPr>
  </w:style>
  <w:style w:type="character" w:styleId="FollowedHyperlink">
    <w:name w:val="FollowedHyperlink"/>
    <w:basedOn w:val="DefaultParagraphFont"/>
    <w:uiPriority w:val="99"/>
    <w:semiHidden/>
    <w:unhideWhenUsed/>
    <w:rsid w:val="002E44B6"/>
    <w:rPr>
      <w:color w:val="96607D" w:themeColor="followedHyperlink"/>
      <w:u w:val="single"/>
    </w:rPr>
  </w:style>
  <w:style w:type="paragraph" w:customStyle="1" w:styleId="Estimatesheading">
    <w:name w:val="Estimates heading"/>
    <w:basedOn w:val="ListParagraph"/>
    <w:link w:val="EstimatesheadingChar"/>
    <w:qFormat/>
    <w:rsid w:val="002618A0"/>
    <w:pPr>
      <w:shd w:val="clear" w:color="auto" w:fill="F2F2F2" w:themeFill="background1" w:themeFillShade="F2"/>
      <w:spacing w:after="0" w:line="276" w:lineRule="auto"/>
      <w:ind w:left="0"/>
      <w:contextualSpacing w:val="0"/>
    </w:pPr>
    <w:rPr>
      <w:rFonts w:ascii="Arial Bold" w:eastAsia="Times New Roman" w:hAnsi="Arial Bold"/>
      <w:b/>
      <w:caps/>
      <w:kern w:val="0"/>
      <w:lang w:eastAsia="en-AU"/>
      <w14:ligatures w14:val="none"/>
    </w:rPr>
  </w:style>
  <w:style w:type="character" w:customStyle="1" w:styleId="EstimatesheadingChar">
    <w:name w:val="Estimates heading Char"/>
    <w:basedOn w:val="DefaultParagraphFont"/>
    <w:link w:val="Estimatesheading"/>
    <w:rsid w:val="002618A0"/>
    <w:rPr>
      <w:rFonts w:ascii="Arial Bold" w:eastAsia="Times New Roman" w:hAnsi="Arial Bold" w:cs="Arial"/>
      <w:b/>
      <w:caps/>
      <w:shd w:val="clear" w:color="auto" w:fill="F2F2F2" w:themeFill="background1" w:themeFillShade="F2"/>
      <w:lang w:val="en-AU" w:eastAsia="en-AU"/>
    </w:rPr>
  </w:style>
  <w:style w:type="paragraph" w:styleId="Revision">
    <w:name w:val="Revision"/>
    <w:hidden/>
    <w:uiPriority w:val="99"/>
    <w:semiHidden/>
    <w:rsid w:val="003D7B7A"/>
    <w:pPr>
      <w:spacing w:after="0" w:line="240" w:lineRule="auto"/>
    </w:pPr>
    <w:rPr>
      <w:rFonts w:ascii="Arial" w:eastAsiaTheme="minorHAnsi" w:hAnsi="Arial" w:cs="Arial"/>
      <w:kern w:val="2"/>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publications/commissioners-instruction-49-recruitment-selection-and-appointment-fixed-term-vacancies" TargetMode="External"/><Relationship Id="rId18" Type="http://schemas.openxmlformats.org/officeDocument/2006/relationships/hyperlink" Target="https://www.wa.gov.au/government/publications/limited-search-recruitment-applicant-initiated-approach-guidan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a.gov.au/government/publications/limited-search-recruitment-targeted-advertising-guidance" TargetMode="External"/><Relationship Id="rId7" Type="http://schemas.openxmlformats.org/officeDocument/2006/relationships/settings" Target="settings.xml"/><Relationship Id="rId12" Type="http://schemas.openxmlformats.org/officeDocument/2006/relationships/hyperlink" Target="https://www.wa.gov.au/government/publications/commissioners-instruction-48-recruitment-selection-and-appointment-permanent-vacancies" TargetMode="External"/><Relationship Id="rId17" Type="http://schemas.openxmlformats.org/officeDocument/2006/relationships/hyperlink" Target="mailto:collections@psc.wa.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wa.gov.au/government/publications/limited-search-recruitment-use-of-recruitment-consultants-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publications/commissioners-instruction-12-redeployment-and-redundanc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wa.gov.au/government/publications/commissioners-instruction-51-transfer-standard"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wa.gov.au/government/publications/limited-search-recruitment-referral-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publications/commissioners-instruction-50-backfilling-temporary-vacancies" TargetMode="External"/><Relationship Id="rId22" Type="http://schemas.openxmlformats.org/officeDocument/2006/relationships/hyperlink" Target="https://www.wa.gov.au/government/cuas/human-resource-and-investigation-services-cuahrs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3641ba-05c2-4f8d-b827-f6b0d3c2bfe6">
      <Terms xmlns="http://schemas.microsoft.com/office/infopath/2007/PartnerControls"/>
    </lcf76f155ced4ddcb4097134ff3c332f>
    <PrimeCorrectedByUser xmlns="de7e9adc-1c58-45f6-90e4-74f490ecf101" xsi:nil="true"/>
    <PrimeClassificationStatus xmlns="de7e9adc-1c58-45f6-90e4-74f490ecf101" xsi:nil="true"/>
    <PrimeClassificationStatusDetails xmlns="de7e9adc-1c58-45f6-90e4-74f490ecf101" xsi:nil="true"/>
    <PrimeLastClassified xmlns="de7e9adc-1c58-45f6-90e4-74f490ecf101" xsi:nil="true"/>
    <TRIM xmlns="f43641ba-05c2-4f8d-b827-f6b0d3c2bfe6" xsi:nil="true"/>
    <Notes xmlns="f43641ba-05c2-4f8d-b827-f6b0d3c2bfe6" xsi:nil="true"/>
    <TaxCatchAll xmlns="de7e9adc-1c58-45f6-90e4-74f490ecf101" xsi:nil="true"/>
    <SharedWithUsers xmlns="de7e9adc-1c58-45f6-90e4-74f490ecf10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C71801CBBEE4F9FCA2DD085F92561" ma:contentTypeVersion="24" ma:contentTypeDescription="Create a new document." ma:contentTypeScope="" ma:versionID="66908a34608d386fcecf80eab75b98c1">
  <xsd:schema xmlns:xsd="http://www.w3.org/2001/XMLSchema" xmlns:xs="http://www.w3.org/2001/XMLSchema" xmlns:p="http://schemas.microsoft.com/office/2006/metadata/properties" xmlns:ns2="f43641ba-05c2-4f8d-b827-f6b0d3c2bfe6" xmlns:ns3="de7e9adc-1c58-45f6-90e4-74f490ecf101" targetNamespace="http://schemas.microsoft.com/office/2006/metadata/properties" ma:root="true" ma:fieldsID="ceed62f8729d801ecbf761b78e3a1719" ns2:_="" ns3:_="">
    <xsd:import namespace="f43641ba-05c2-4f8d-b827-f6b0d3c2bfe6"/>
    <xsd:import namespace="de7e9adc-1c58-45f6-90e4-74f490ecf1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TRIM" minOccurs="0"/>
                <xsd:element ref="ns2:Note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3:PrimeClassificationStatus" minOccurs="0"/>
                <xsd:element ref="ns3:PrimeClassificationStatusDetails" minOccurs="0"/>
                <xsd:element ref="ns3:PrimeLastClassified" minOccurs="0"/>
                <xsd:element ref="ns3:PrimeCorrect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641ba-05c2-4f8d-b827-f6b0d3c2b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IM" ma:index="14" nillable="true" ma:displayName="TRIM" ma:description="The TRIM reference for the final document" ma:format="Dropdown" ma:internalName="TRIM">
      <xsd:simpleType>
        <xsd:restriction base="dms:Text">
          <xsd:maxLength value="255"/>
        </xsd:restriction>
      </xsd:simpleType>
    </xsd:element>
    <xsd:element name="Notes" ma:index="15" nillable="true" ma:displayName="Notes" ma:format="Dropdown" ma:internalName="Note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7e9adc-1c58-45f6-90e4-74f490ecf1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2a30b5-1879-4bf3-8b0c-738d376e0674}" ma:internalName="TaxCatchAll" ma:showField="CatchAllData" ma:web="de7e9adc-1c58-45f6-90e4-74f490ecf101">
      <xsd:complexType>
        <xsd:complexContent>
          <xsd:extension base="dms:MultiChoiceLookup">
            <xsd:sequence>
              <xsd:element name="Value" type="dms:Lookup" maxOccurs="unbounded" minOccurs="0" nillable="true"/>
            </xsd:sequence>
          </xsd:extension>
        </xsd:complexContent>
      </xsd:complexType>
    </xsd:element>
    <xsd:element name="PrimeClassificationStatus" ma:index="27" nillable="true" ma:displayName="Processing status" ma:internalName="PrimeClassificationStatus">
      <xsd:simpleType>
        <xsd:restriction base="dms:Text"/>
      </xsd:simpleType>
    </xsd:element>
    <xsd:element name="PrimeClassificationStatusDetails" ma:index="28" nillable="true" ma:displayName="Processing details" ma:internalName="PrimeClassificationStatusDetails">
      <xsd:simpleType>
        <xsd:restriction base="dms:Note">
          <xsd:maxLength value="255"/>
        </xsd:restriction>
      </xsd:simpleType>
    </xsd:element>
    <xsd:element name="PrimeLastClassified" ma:index="29" nillable="true" ma:displayName="Processed" ma:internalName="PrimeLastClassified">
      <xsd:simpleType>
        <xsd:restriction base="dms:DateTime"/>
      </xsd:simpleType>
    </xsd:element>
    <xsd:element name="PrimeCorrectedByUser" ma:index="30" nillable="true" ma:displayName="Corrected" ma:internalName="PrimeCorrectedByUs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824CC-2977-49EE-9CA1-EA0B771D384C}">
  <ds:schemaRefs>
    <ds:schemaRef ds:uri="http://schemas.microsoft.com/sharepoint/v3/contenttype/forms"/>
  </ds:schemaRefs>
</ds:datastoreItem>
</file>

<file path=customXml/itemProps2.xml><?xml version="1.0" encoding="utf-8"?>
<ds:datastoreItem xmlns:ds="http://schemas.openxmlformats.org/officeDocument/2006/customXml" ds:itemID="{9F8DC4CF-9D0D-4BED-B1C8-BB6C3BFE2288}">
  <ds:schemaRefs>
    <ds:schemaRef ds:uri="http://schemas.microsoft.com/office/2006/metadata/properties"/>
    <ds:schemaRef ds:uri="http://schemas.microsoft.com/office/infopath/2007/PartnerControls"/>
    <ds:schemaRef ds:uri="f43641ba-05c2-4f8d-b827-f6b0d3c2bfe6"/>
    <ds:schemaRef ds:uri="de7e9adc-1c58-45f6-90e4-74f490ecf101"/>
  </ds:schemaRefs>
</ds:datastoreItem>
</file>

<file path=customXml/itemProps3.xml><?xml version="1.0" encoding="utf-8"?>
<ds:datastoreItem xmlns:ds="http://schemas.openxmlformats.org/officeDocument/2006/customXml" ds:itemID="{658A45D0-C70A-4666-A376-C7BE37F16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641ba-05c2-4f8d-b827-f6b0d3c2bfe6"/>
    <ds:schemaRef ds:uri="de7e9adc-1c58-45f6-90e4-74f490ecf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1FADB-8296-4FBA-8ABF-405D1681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2964</Words>
  <Characters>15863</Characters>
  <Application>Microsoft Office Word</Application>
  <DocSecurity>0</DocSecurity>
  <Lines>397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18692</CharactersWithSpaces>
  <SharedDoc>false</SharedDoc>
  <HLinks>
    <vt:vector size="66" baseType="variant">
      <vt:variant>
        <vt:i4>7536757</vt:i4>
      </vt:variant>
      <vt:variant>
        <vt:i4>30</vt:i4>
      </vt:variant>
      <vt:variant>
        <vt:i4>0</vt:i4>
      </vt:variant>
      <vt:variant>
        <vt:i4>5</vt:i4>
      </vt:variant>
      <vt:variant>
        <vt:lpwstr>https://www.wa.gov.au/government/publications/limited-search-recruitment-targeted-advertising-guidance</vt:lpwstr>
      </vt:variant>
      <vt:variant>
        <vt:lpwstr/>
      </vt:variant>
      <vt:variant>
        <vt:i4>5701705</vt:i4>
      </vt:variant>
      <vt:variant>
        <vt:i4>27</vt:i4>
      </vt:variant>
      <vt:variant>
        <vt:i4>0</vt:i4>
      </vt:variant>
      <vt:variant>
        <vt:i4>5</vt:i4>
      </vt:variant>
      <vt:variant>
        <vt:lpwstr>https://www.wa.gov.au/government/publications/limited-search-recruitment-use-of-recruitment-consultants-guidance</vt:lpwstr>
      </vt:variant>
      <vt:variant>
        <vt:lpwstr/>
      </vt:variant>
      <vt:variant>
        <vt:i4>3604607</vt:i4>
      </vt:variant>
      <vt:variant>
        <vt:i4>24</vt:i4>
      </vt:variant>
      <vt:variant>
        <vt:i4>0</vt:i4>
      </vt:variant>
      <vt:variant>
        <vt:i4>5</vt:i4>
      </vt:variant>
      <vt:variant>
        <vt:lpwstr>https://www.wa.gov.au/government/publications/limited-search-recruitment-referral-guidance</vt:lpwstr>
      </vt:variant>
      <vt:variant>
        <vt:lpwstr/>
      </vt:variant>
      <vt:variant>
        <vt:i4>3735653</vt:i4>
      </vt:variant>
      <vt:variant>
        <vt:i4>21</vt:i4>
      </vt:variant>
      <vt:variant>
        <vt:i4>0</vt:i4>
      </vt:variant>
      <vt:variant>
        <vt:i4>5</vt:i4>
      </vt:variant>
      <vt:variant>
        <vt:lpwstr>https://www.wa.gov.au/government/publications/limited-search-recruitment-applicant-initiated-approach-guidance</vt:lpwstr>
      </vt:variant>
      <vt:variant>
        <vt:lpwstr/>
      </vt:variant>
      <vt:variant>
        <vt:i4>1966113</vt:i4>
      </vt:variant>
      <vt:variant>
        <vt:i4>18</vt:i4>
      </vt:variant>
      <vt:variant>
        <vt:i4>0</vt:i4>
      </vt:variant>
      <vt:variant>
        <vt:i4>5</vt:i4>
      </vt:variant>
      <vt:variant>
        <vt:lpwstr>mailto:collections@psc.wa.gov.au</vt:lpwstr>
      </vt:variant>
      <vt:variant>
        <vt:lpwstr/>
      </vt:variant>
      <vt:variant>
        <vt:i4>3539063</vt:i4>
      </vt:variant>
      <vt:variant>
        <vt:i4>15</vt:i4>
      </vt:variant>
      <vt:variant>
        <vt:i4>0</vt:i4>
      </vt:variant>
      <vt:variant>
        <vt:i4>5</vt:i4>
      </vt:variant>
      <vt:variant>
        <vt:lpwstr>https://www.wa.gov.au/organisation/public-sector-commission/recruitment-the-public-sector-0</vt:lpwstr>
      </vt:variant>
      <vt:variant>
        <vt:lpwstr/>
      </vt:variant>
      <vt:variant>
        <vt:i4>7602294</vt:i4>
      </vt:variant>
      <vt:variant>
        <vt:i4>12</vt:i4>
      </vt:variant>
      <vt:variant>
        <vt:i4>0</vt:i4>
      </vt:variant>
      <vt:variant>
        <vt:i4>5</vt:i4>
      </vt:variant>
      <vt:variant>
        <vt:lpwstr>https://www.wa.gov.au/government/publications/commissioners-instruction-12-redeployment-and-redundancy</vt:lpwstr>
      </vt:variant>
      <vt:variant>
        <vt:lpwstr/>
      </vt:variant>
      <vt:variant>
        <vt:i4>524369</vt:i4>
      </vt:variant>
      <vt:variant>
        <vt:i4>9</vt:i4>
      </vt:variant>
      <vt:variant>
        <vt:i4>0</vt:i4>
      </vt:variant>
      <vt:variant>
        <vt:i4>5</vt:i4>
      </vt:variant>
      <vt:variant>
        <vt:lpwstr>https://www.wa.gov.au/government/publications/commissioners-instruction-48-recruitment-selection-and-appointment-permanent-vacancies</vt:lpwstr>
      </vt:variant>
      <vt:variant>
        <vt:lpwstr/>
      </vt:variant>
      <vt:variant>
        <vt:i4>5046345</vt:i4>
      </vt:variant>
      <vt:variant>
        <vt:i4>6</vt:i4>
      </vt:variant>
      <vt:variant>
        <vt:i4>0</vt:i4>
      </vt:variant>
      <vt:variant>
        <vt:i4>5</vt:i4>
      </vt:variant>
      <vt:variant>
        <vt:lpwstr>https://www.wa.gov.au/government/publications/commissioners-instruction-49-recruitment-selection-and-appointment-fixed-term-vacancies</vt:lpwstr>
      </vt:variant>
      <vt:variant>
        <vt:lpwstr/>
      </vt:variant>
      <vt:variant>
        <vt:i4>8061051</vt:i4>
      </vt:variant>
      <vt:variant>
        <vt:i4>3</vt:i4>
      </vt:variant>
      <vt:variant>
        <vt:i4>0</vt:i4>
      </vt:variant>
      <vt:variant>
        <vt:i4>5</vt:i4>
      </vt:variant>
      <vt:variant>
        <vt:lpwstr>https://www.wa.gov.au/government/publications/commissioners-instruction-50-backfilling-temporary-vacancies</vt:lpwstr>
      </vt:variant>
      <vt:variant>
        <vt:lpwstr/>
      </vt:variant>
      <vt:variant>
        <vt:i4>4259845</vt:i4>
      </vt:variant>
      <vt:variant>
        <vt:i4>0</vt:i4>
      </vt:variant>
      <vt:variant>
        <vt:i4>0</vt:i4>
      </vt:variant>
      <vt:variant>
        <vt:i4>5</vt:i4>
      </vt:variant>
      <vt:variant>
        <vt:lpwstr>https://www.wa.gov.au/government/publications/commissioners-instruction-51-transfer-standard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Ruitenga, Emily</dc:creator>
  <cp:keywords/>
  <dc:description/>
  <cp:lastModifiedBy>Hewett, Mikaela</cp:lastModifiedBy>
  <cp:revision>2</cp:revision>
  <cp:lastPrinted>2026-05-11T04:38:00Z</cp:lastPrinted>
  <dcterms:created xsi:type="dcterms:W3CDTF">2026-05-21T05:46:00Z</dcterms:created>
  <dcterms:modified xsi:type="dcterms:W3CDTF">2026-05-21T05:46:00Z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0x010100F5AC71801CBBEE4F9FCA2DD085F92561</vt:lpwstr>
  </property>
  <property fmtid="{D5CDD505-2E9C-101B-9397-08002B2CF9AE}" pid="3" name="MSIP_Label_116cf7cf-4bad-475a-a557-f71d08d59046_Enabled">
    <vt:lpwstr>true</vt:lpwstr>
  </property>
  <property fmtid="{D5CDD505-2E9C-101B-9397-08002B2CF9AE}" pid="4" name="MSIP_Label_116cf7cf-4bad-475a-a557-f71d08d59046_SetDate">
    <vt:lpwstr>2026-03-02T23:59:36Z</vt:lpwstr>
  </property>
  <property fmtid="{D5CDD505-2E9C-101B-9397-08002B2CF9AE}" pid="5" name="MSIP_Label_116cf7cf-4bad-475a-a557-f71d08d59046_Method">
    <vt:lpwstr>Standard</vt:lpwstr>
  </property>
  <property fmtid="{D5CDD505-2E9C-101B-9397-08002B2CF9AE}" pid="6" name="MSIP_Label_116cf7cf-4bad-475a-a557-f71d08d59046_Name">
    <vt:lpwstr>OFFICIAL [ Office ]</vt:lpwstr>
  </property>
  <property fmtid="{D5CDD505-2E9C-101B-9397-08002B2CF9AE}" pid="7" name="MSIP_Label_116cf7cf-4bad-475a-a557-f71d08d59046_SiteId">
    <vt:lpwstr>d48144b5-571f-4b68-9721-e41bc0071e17</vt:lpwstr>
  </property>
  <property fmtid="{D5CDD505-2E9C-101B-9397-08002B2CF9AE}" pid="8" name="MSIP_Label_116cf7cf-4bad-475a-a557-f71d08d59046_ActionId">
    <vt:lpwstr>e8b8c882-72bd-44ee-9071-2905cf54d21f</vt:lpwstr>
  </property>
  <property fmtid="{D5CDD505-2E9C-101B-9397-08002B2CF9AE}" pid="9" name="MSIP_Label_116cf7cf-4bad-475a-a557-f71d08d59046_ContentBits">
    <vt:lpwstr>0</vt:lpwstr>
  </property>
  <property fmtid="{D5CDD505-2E9C-101B-9397-08002B2CF9AE}" pid="10" name="MSIP_Label_116cf7cf-4bad-475a-a557-f71d08d59046_Tag">
    <vt:lpwstr>10, 3, 0, 2</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docLang">
    <vt:lpwstr>en</vt:lpwstr>
  </property>
  <property fmtid="{D5CDD505-2E9C-101B-9397-08002B2CF9AE}" pid="19" name="_AdHocReviewCycleID">
    <vt:i4>-1114305120</vt:i4>
  </property>
  <property fmtid="{D5CDD505-2E9C-101B-9397-08002B2CF9AE}" pid="20" name="_NewReviewCycle">
    <vt:lpwstr/>
  </property>
  <property fmtid="{D5CDD505-2E9C-101B-9397-08002B2CF9AE}" pid="21" name="_EmailSubject">
    <vt:lpwstr>Please update TRIM - PSC26013380: Guidance material for September 2026 - Recruitment Reporting Tranche 1</vt:lpwstr>
  </property>
  <property fmtid="{D5CDD505-2E9C-101B-9397-08002B2CF9AE}" pid="22" name="_AuthorEmail">
    <vt:lpwstr>Reinaldo.Garcia@psc.wa.gov.au</vt:lpwstr>
  </property>
  <property fmtid="{D5CDD505-2E9C-101B-9397-08002B2CF9AE}" pid="23" name="_AuthorEmailDisplayName">
    <vt:lpwstr>Garcia, Reinaldo</vt:lpwstr>
  </property>
  <property fmtid="{D5CDD505-2E9C-101B-9397-08002B2CF9AE}" pid="24" name="_PreviousAdHocReviewCycleID">
    <vt:i4>1720989955</vt:i4>
  </property>
  <property fmtid="{D5CDD505-2E9C-101B-9397-08002B2CF9AE}" pid="25" name="_ReviewingToolsShownOnce">
    <vt:lpwstr/>
  </property>
</Properties>
</file>