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E7F8" w14:textId="77777777" w:rsidR="00915153" w:rsidRDefault="004A6FA7">
      <w:pPr>
        <w:ind w:left="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A769EC" wp14:editId="6297784C">
            <wp:extent cx="668654" cy="658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9F7C6" w14:textId="77777777" w:rsidR="00915153" w:rsidRDefault="00915153">
      <w:pPr>
        <w:pStyle w:val="BodyText"/>
        <w:rPr>
          <w:rFonts w:ascii="Times New Roman"/>
          <w:sz w:val="20"/>
        </w:rPr>
      </w:pPr>
    </w:p>
    <w:p w14:paraId="49B3603D" w14:textId="77777777" w:rsidR="00915153" w:rsidRDefault="00915153">
      <w:pPr>
        <w:pStyle w:val="BodyText"/>
        <w:spacing w:before="116"/>
        <w:rPr>
          <w:rFonts w:ascii="Times New Roman"/>
          <w:sz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705"/>
        <w:gridCol w:w="1622"/>
      </w:tblGrid>
      <w:tr w:rsidR="00915153" w14:paraId="47206680" w14:textId="77777777" w:rsidTr="5C6FDABC">
        <w:trPr>
          <w:trHeight w:val="402"/>
        </w:trPr>
        <w:tc>
          <w:tcPr>
            <w:tcW w:w="5525" w:type="dxa"/>
          </w:tcPr>
          <w:p w14:paraId="017FE100" w14:textId="77777777" w:rsidR="00915153" w:rsidRDefault="004A6FA7">
            <w:pPr>
              <w:pStyle w:val="TableParagraph"/>
              <w:spacing w:line="382" w:lineRule="exact"/>
              <w:ind w:left="28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Premier’s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spacing w:val="-2"/>
                <w:sz w:val="36"/>
              </w:rPr>
              <w:t>Circular</w:t>
            </w:r>
          </w:p>
        </w:tc>
        <w:tc>
          <w:tcPr>
            <w:tcW w:w="3327" w:type="dxa"/>
            <w:gridSpan w:val="2"/>
            <w:tcBorders>
              <w:bottom w:val="single" w:sz="4" w:space="0" w:color="000000" w:themeColor="text1"/>
            </w:tcBorders>
          </w:tcPr>
          <w:p w14:paraId="21E77280" w14:textId="77777777" w:rsidR="00915153" w:rsidRDefault="00915153">
            <w:pPr>
              <w:pStyle w:val="TableParagraph"/>
              <w:rPr>
                <w:rFonts w:ascii="Times New Roman"/>
              </w:rPr>
            </w:pPr>
          </w:p>
        </w:tc>
      </w:tr>
      <w:tr w:rsidR="00915153" w14:paraId="4A0C9E9A" w14:textId="77777777" w:rsidTr="5C6FDABC">
        <w:trPr>
          <w:trHeight w:val="300"/>
        </w:trPr>
        <w:tc>
          <w:tcPr>
            <w:tcW w:w="5525" w:type="dxa"/>
            <w:tcBorders>
              <w:right w:val="single" w:sz="4" w:space="0" w:color="000000" w:themeColor="text1"/>
            </w:tcBorders>
          </w:tcPr>
          <w:p w14:paraId="41092536" w14:textId="77777777" w:rsidR="00915153" w:rsidRDefault="00915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6E56F92" w14:textId="77777777" w:rsidR="00915153" w:rsidRDefault="004A6FA7">
            <w:pPr>
              <w:pStyle w:val="TableParagraph"/>
              <w:spacing w:before="19" w:line="261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1622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AF5FD8A" w14:textId="6005A184" w:rsidR="00915153" w:rsidRDefault="004A6FA7" w:rsidP="5C6FDABC">
            <w:pPr>
              <w:pStyle w:val="TableParagraph"/>
              <w:spacing w:before="19" w:line="261" w:lineRule="exact"/>
              <w:ind w:right="311"/>
              <w:jc w:val="right"/>
              <w:rPr>
                <w:sz w:val="24"/>
                <w:szCs w:val="24"/>
              </w:rPr>
            </w:pPr>
            <w:r w:rsidRPr="5C6FDABC">
              <w:rPr>
                <w:spacing w:val="-2"/>
                <w:sz w:val="24"/>
                <w:szCs w:val="24"/>
              </w:rPr>
              <w:t>202</w:t>
            </w:r>
            <w:r w:rsidR="00FF6C9B">
              <w:rPr>
                <w:spacing w:val="-2"/>
                <w:sz w:val="24"/>
                <w:szCs w:val="24"/>
              </w:rPr>
              <w:t>6</w:t>
            </w:r>
            <w:r w:rsidRPr="5C6FDABC">
              <w:rPr>
                <w:spacing w:val="-2"/>
                <w:sz w:val="24"/>
                <w:szCs w:val="24"/>
              </w:rPr>
              <w:t>/</w:t>
            </w:r>
            <w:r w:rsidR="00FF6C9B">
              <w:rPr>
                <w:spacing w:val="-2"/>
                <w:sz w:val="24"/>
                <w:szCs w:val="24"/>
              </w:rPr>
              <w:t>01</w:t>
            </w:r>
          </w:p>
        </w:tc>
      </w:tr>
      <w:tr w:rsidR="00915153" w14:paraId="4E3110B3" w14:textId="77777777" w:rsidTr="5C6FDABC">
        <w:trPr>
          <w:trHeight w:val="275"/>
        </w:trPr>
        <w:tc>
          <w:tcPr>
            <w:tcW w:w="5525" w:type="dxa"/>
            <w:tcBorders>
              <w:right w:val="single" w:sz="4" w:space="0" w:color="000000" w:themeColor="text1"/>
            </w:tcBorders>
          </w:tcPr>
          <w:p w14:paraId="612D635E" w14:textId="77777777" w:rsidR="00915153" w:rsidRDefault="009151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4" w:space="0" w:color="000000" w:themeColor="text1"/>
            </w:tcBorders>
          </w:tcPr>
          <w:p w14:paraId="2549FCCB" w14:textId="77777777" w:rsidR="00915153" w:rsidRDefault="004A6FA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2"/>
                <w:sz w:val="24"/>
              </w:rPr>
              <w:t xml:space="preserve"> Date:</w:t>
            </w:r>
          </w:p>
        </w:tc>
        <w:tc>
          <w:tcPr>
            <w:tcW w:w="1622" w:type="dxa"/>
            <w:tcBorders>
              <w:right w:val="single" w:sz="4" w:space="0" w:color="000000" w:themeColor="text1"/>
            </w:tcBorders>
          </w:tcPr>
          <w:p w14:paraId="2273C3F3" w14:textId="36791530" w:rsidR="00915153" w:rsidRDefault="00F25280">
            <w:pPr>
              <w:pStyle w:val="TableParagraph"/>
              <w:spacing w:line="256" w:lineRule="exact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4A6FA7">
              <w:rPr>
                <w:spacing w:val="-2"/>
                <w:sz w:val="24"/>
              </w:rPr>
              <w:t>/0</w:t>
            </w:r>
            <w:r>
              <w:rPr>
                <w:spacing w:val="-2"/>
                <w:sz w:val="24"/>
              </w:rPr>
              <w:t>6</w:t>
            </w:r>
            <w:r w:rsidR="004A6FA7">
              <w:rPr>
                <w:spacing w:val="-2"/>
                <w:sz w:val="24"/>
              </w:rPr>
              <w:t>/202</w:t>
            </w:r>
            <w:r w:rsidR="00FF6C9B">
              <w:rPr>
                <w:spacing w:val="-2"/>
                <w:sz w:val="24"/>
              </w:rPr>
              <w:t>6</w:t>
            </w:r>
          </w:p>
        </w:tc>
      </w:tr>
      <w:tr w:rsidR="00915153" w14:paraId="61BF93F9" w14:textId="77777777" w:rsidTr="5C6FDABC">
        <w:trPr>
          <w:trHeight w:val="272"/>
        </w:trPr>
        <w:tc>
          <w:tcPr>
            <w:tcW w:w="55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5A918C" w14:textId="77777777" w:rsidR="00915153" w:rsidRDefault="009151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C8E7EA0" w14:textId="77777777" w:rsidR="00915153" w:rsidRDefault="004A6FA7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162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19CA701" w14:textId="77777777" w:rsidR="00915153" w:rsidRDefault="004A6FA7">
            <w:pPr>
              <w:pStyle w:val="TableParagraph"/>
              <w:spacing w:line="253" w:lineRule="exact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30/06/2029</w:t>
            </w:r>
          </w:p>
        </w:tc>
      </w:tr>
      <w:tr w:rsidR="00915153" w14:paraId="030A9F27" w14:textId="77777777" w:rsidTr="5C6FDABC">
        <w:trPr>
          <w:trHeight w:val="799"/>
        </w:trPr>
        <w:tc>
          <w:tcPr>
            <w:tcW w:w="5525" w:type="dxa"/>
            <w:tcBorders>
              <w:top w:val="single" w:sz="4" w:space="0" w:color="000000" w:themeColor="text1"/>
            </w:tcBorders>
          </w:tcPr>
          <w:p w14:paraId="0D9CA3A8" w14:textId="77777777" w:rsidR="00915153" w:rsidRDefault="00915153">
            <w:pPr>
              <w:pStyle w:val="TableParagraph"/>
              <w:spacing w:before="247"/>
              <w:rPr>
                <w:rFonts w:ascii="Times New Roman"/>
                <w:sz w:val="24"/>
              </w:rPr>
            </w:pPr>
          </w:p>
          <w:p w14:paraId="4D3F2299" w14:textId="77777777" w:rsidR="00915153" w:rsidRDefault="004A6FA7">
            <w:pPr>
              <w:pStyle w:val="TableParagraph"/>
              <w:spacing w:line="256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705" w:type="dxa"/>
            <w:tcBorders>
              <w:top w:val="single" w:sz="4" w:space="0" w:color="000000" w:themeColor="text1"/>
            </w:tcBorders>
          </w:tcPr>
          <w:p w14:paraId="0A1F14C3" w14:textId="77777777" w:rsidR="00915153" w:rsidRDefault="00915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</w:tcBorders>
          </w:tcPr>
          <w:p w14:paraId="656C33C3" w14:textId="77777777" w:rsidR="00915153" w:rsidRDefault="00915153">
            <w:pPr>
              <w:pStyle w:val="TableParagraph"/>
              <w:rPr>
                <w:rFonts w:ascii="Times New Roman"/>
              </w:rPr>
            </w:pPr>
          </w:p>
        </w:tc>
      </w:tr>
    </w:tbl>
    <w:p w14:paraId="49885071" w14:textId="522B4786" w:rsidR="00915153" w:rsidRDefault="00915153">
      <w:pPr>
        <w:pStyle w:val="BodyText"/>
        <w:spacing w:before="3"/>
        <w:rPr>
          <w:rFonts w:ascii="Times New Roman"/>
        </w:rPr>
      </w:pPr>
    </w:p>
    <w:p w14:paraId="0D82DE84" w14:textId="77777777" w:rsidR="00915153" w:rsidRDefault="004A6FA7">
      <w:pPr>
        <w:pStyle w:val="BodyText"/>
        <w:ind w:left="29"/>
      </w:pPr>
      <w:r>
        <w:t>SUBSIDIARY</w:t>
      </w:r>
      <w:r>
        <w:rPr>
          <w:spacing w:val="-9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EXPLANATORY</w:t>
      </w:r>
      <w:r>
        <w:rPr>
          <w:spacing w:val="-9"/>
        </w:rPr>
        <w:t xml:space="preserve"> </w:t>
      </w:r>
      <w:r>
        <w:rPr>
          <w:spacing w:val="-2"/>
        </w:rPr>
        <w:t>MEMORANDA</w:t>
      </w:r>
    </w:p>
    <w:p w14:paraId="709F21CD" w14:textId="77777777" w:rsidR="00915153" w:rsidRDefault="00915153">
      <w:pPr>
        <w:pStyle w:val="BodyText"/>
      </w:pPr>
    </w:p>
    <w:p w14:paraId="23E0A9FD" w14:textId="77777777" w:rsidR="00915153" w:rsidRDefault="00915153">
      <w:pPr>
        <w:pStyle w:val="BodyText"/>
        <w:spacing w:before="2"/>
      </w:pPr>
    </w:p>
    <w:p w14:paraId="7CE613C4" w14:textId="77777777" w:rsidR="00915153" w:rsidRDefault="004A6FA7" w:rsidP="00203A05">
      <w:pPr>
        <w:pStyle w:val="Heading1"/>
        <w:spacing w:before="120" w:after="120" w:line="275" w:lineRule="exact"/>
        <w:ind w:left="28"/>
      </w:pPr>
      <w:r>
        <w:rPr>
          <w:spacing w:val="-2"/>
        </w:rPr>
        <w:t>POLICY</w:t>
      </w:r>
    </w:p>
    <w:p w14:paraId="2911DA9E" w14:textId="6ADF82C3" w:rsidR="00D15BFA" w:rsidRDefault="00D15BFA">
      <w:pPr>
        <w:pStyle w:val="BodyText"/>
        <w:ind w:left="29" w:right="392"/>
        <w:jc w:val="both"/>
        <w:rPr>
          <w:iCs/>
        </w:rPr>
      </w:pPr>
      <w:r w:rsidRPr="00D15BFA">
        <w:t xml:space="preserve">Section 42 of the </w:t>
      </w:r>
      <w:r w:rsidRPr="00D15BFA">
        <w:rPr>
          <w:i/>
        </w:rPr>
        <w:t xml:space="preserve">Interpretation Act 1984 </w:t>
      </w:r>
      <w:r w:rsidRPr="00D15BFA">
        <w:t xml:space="preserve">requires certain </w:t>
      </w:r>
      <w:r w:rsidR="00D2683C">
        <w:t xml:space="preserve">instruments of </w:t>
      </w:r>
      <w:r w:rsidRPr="00D15BFA">
        <w:t>subsidiary legislation</w:t>
      </w:r>
      <w:r w:rsidR="00D2683C">
        <w:rPr>
          <w:rStyle w:val="FootnoteReference"/>
        </w:rPr>
        <w:footnoteReference w:id="1"/>
      </w:r>
      <w:r w:rsidRPr="00D15BFA">
        <w:t xml:space="preserve"> to be tabled in both Houses of Parliament within </w:t>
      </w:r>
      <w:r>
        <w:t>6</w:t>
      </w:r>
      <w:r w:rsidRPr="00D15BFA">
        <w:t xml:space="preserve"> sitting days </w:t>
      </w:r>
      <w:r w:rsidR="00015979">
        <w:t>after</w:t>
      </w:r>
      <w:r w:rsidRPr="00D15BFA">
        <w:t xml:space="preserve"> </w:t>
      </w:r>
      <w:r w:rsidR="00366D72">
        <w:t>their</w:t>
      </w:r>
      <w:r w:rsidRPr="00D15BFA">
        <w:t xml:space="preserve"> publication in the </w:t>
      </w:r>
      <w:r w:rsidRPr="00D15BFA">
        <w:rPr>
          <w:i/>
        </w:rPr>
        <w:t xml:space="preserve">Government Gazette </w:t>
      </w:r>
      <w:r w:rsidRPr="00D15BFA">
        <w:t xml:space="preserve">or on the </w:t>
      </w:r>
      <w:r w:rsidRPr="00FF6C9B">
        <w:rPr>
          <w:i/>
          <w:iCs/>
        </w:rPr>
        <w:t xml:space="preserve">Western Australian </w:t>
      </w:r>
      <w:r w:rsidR="00A3405E" w:rsidRPr="00FF6C9B">
        <w:rPr>
          <w:i/>
          <w:iCs/>
        </w:rPr>
        <w:t>L</w:t>
      </w:r>
      <w:r w:rsidRPr="00FF6C9B">
        <w:rPr>
          <w:i/>
          <w:iCs/>
        </w:rPr>
        <w:t>egislation</w:t>
      </w:r>
      <w:r w:rsidRPr="00D15BFA">
        <w:t xml:space="preserve"> website</w:t>
      </w:r>
      <w:r w:rsidR="008E6148">
        <w:t xml:space="preserve"> (WAL website)</w:t>
      </w:r>
      <w:r w:rsidRPr="00D15BFA">
        <w:rPr>
          <w:i/>
        </w:rPr>
        <w:t>.</w:t>
      </w:r>
      <w:r w:rsidR="00D2683C">
        <w:rPr>
          <w:iCs/>
        </w:rPr>
        <w:t xml:space="preserve"> Section 42 also makes such instruments subject to </w:t>
      </w:r>
      <w:r w:rsidR="002816B4">
        <w:rPr>
          <w:iCs/>
        </w:rPr>
        <w:t>p</w:t>
      </w:r>
      <w:r w:rsidR="00D2683C">
        <w:rPr>
          <w:iCs/>
        </w:rPr>
        <w:t>arliamentary disallowance.</w:t>
      </w:r>
    </w:p>
    <w:p w14:paraId="3B312CDC" w14:textId="77777777" w:rsidR="00D2683C" w:rsidRDefault="00D2683C">
      <w:pPr>
        <w:pStyle w:val="BodyText"/>
        <w:ind w:left="29" w:right="392"/>
        <w:jc w:val="both"/>
        <w:rPr>
          <w:iCs/>
        </w:rPr>
      </w:pPr>
    </w:p>
    <w:p w14:paraId="73FFE0FC" w14:textId="4B023997" w:rsidR="00BE3AAD" w:rsidRDefault="00D2683C">
      <w:pPr>
        <w:pStyle w:val="BodyText"/>
        <w:ind w:left="29" w:right="392"/>
        <w:jc w:val="both"/>
        <w:rPr>
          <w:iCs/>
        </w:rPr>
      </w:pPr>
      <w:r>
        <w:rPr>
          <w:iCs/>
        </w:rPr>
        <w:t xml:space="preserve">There are </w:t>
      </w:r>
      <w:r w:rsidR="00BA3CE1">
        <w:rPr>
          <w:iCs/>
        </w:rPr>
        <w:t xml:space="preserve">also </w:t>
      </w:r>
      <w:r>
        <w:rPr>
          <w:iCs/>
        </w:rPr>
        <w:t>other Acts</w:t>
      </w:r>
      <w:r w:rsidR="00BA3CE1">
        <w:rPr>
          <w:iCs/>
        </w:rPr>
        <w:t xml:space="preserve"> (empowering Acts)</w:t>
      </w:r>
      <w:r>
        <w:rPr>
          <w:iCs/>
        </w:rPr>
        <w:t xml:space="preserve"> that require instruments of subsidiary legislation</w:t>
      </w:r>
      <w:r w:rsidR="002816B4">
        <w:rPr>
          <w:iCs/>
        </w:rPr>
        <w:t xml:space="preserve"> (and quasi-legislation)</w:t>
      </w:r>
      <w:r>
        <w:rPr>
          <w:iCs/>
        </w:rPr>
        <w:t xml:space="preserve"> </w:t>
      </w:r>
      <w:r w:rsidR="00BA3CE1">
        <w:rPr>
          <w:iCs/>
        </w:rPr>
        <w:t xml:space="preserve">made under those Acts to be tabled in both Houses of Parliament. These empowering Acts may make the instruments subject to </w:t>
      </w:r>
      <w:r w:rsidR="002816B4">
        <w:rPr>
          <w:iCs/>
        </w:rPr>
        <w:t>p</w:t>
      </w:r>
      <w:r w:rsidR="00BA3CE1">
        <w:rPr>
          <w:iCs/>
        </w:rPr>
        <w:t>arliamentary disallowance, either by</w:t>
      </w:r>
      <w:r w:rsidR="00BE3AAD">
        <w:rPr>
          <w:iCs/>
        </w:rPr>
        <w:t>:</w:t>
      </w:r>
    </w:p>
    <w:p w14:paraId="1C55DD87" w14:textId="37C269D1" w:rsidR="00BE3AAD" w:rsidRDefault="00BA3CE1" w:rsidP="00FF6C9B">
      <w:pPr>
        <w:pStyle w:val="BodyText"/>
        <w:numPr>
          <w:ilvl w:val="0"/>
          <w:numId w:val="2"/>
        </w:numPr>
        <w:spacing w:before="120" w:after="120"/>
        <w:ind w:right="391"/>
        <w:jc w:val="both"/>
        <w:rPr>
          <w:iCs/>
        </w:rPr>
      </w:pPr>
      <w:r>
        <w:rPr>
          <w:iCs/>
        </w:rPr>
        <w:t xml:space="preserve">applying section </w:t>
      </w:r>
      <w:r w:rsidRPr="00D15BFA">
        <w:t xml:space="preserve">42 of the </w:t>
      </w:r>
      <w:r w:rsidRPr="00D15BFA">
        <w:rPr>
          <w:i/>
        </w:rPr>
        <w:t>Interpretation Act 1984</w:t>
      </w:r>
      <w:r w:rsidR="00BE3AAD">
        <w:rPr>
          <w:iCs/>
        </w:rPr>
        <w:t xml:space="preserve"> </w:t>
      </w:r>
      <w:r w:rsidR="005A78BF">
        <w:rPr>
          <w:iCs/>
        </w:rPr>
        <w:t>to the instrument</w:t>
      </w:r>
      <w:r w:rsidR="00704780">
        <w:rPr>
          <w:rStyle w:val="FootnoteReference"/>
          <w:iCs/>
        </w:rPr>
        <w:footnoteReference w:id="2"/>
      </w:r>
    </w:p>
    <w:p w14:paraId="1629335E" w14:textId="77777777" w:rsidR="00BE3AAD" w:rsidRDefault="00BE3AAD" w:rsidP="00FF6C9B">
      <w:pPr>
        <w:pStyle w:val="BodyText"/>
        <w:spacing w:before="120" w:after="120"/>
        <w:ind w:left="29" w:right="391" w:firstLine="360"/>
        <w:jc w:val="both"/>
        <w:rPr>
          <w:iCs/>
        </w:rPr>
      </w:pPr>
      <w:r>
        <w:rPr>
          <w:iCs/>
        </w:rPr>
        <w:t>or</w:t>
      </w:r>
    </w:p>
    <w:p w14:paraId="1BE43549" w14:textId="79126232" w:rsidR="00D2683C" w:rsidRPr="00BE3AAD" w:rsidRDefault="00BE3AAD" w:rsidP="00FF6C9B">
      <w:pPr>
        <w:pStyle w:val="BodyText"/>
        <w:numPr>
          <w:ilvl w:val="0"/>
          <w:numId w:val="2"/>
        </w:numPr>
        <w:spacing w:before="120" w:after="120"/>
        <w:ind w:right="391"/>
        <w:jc w:val="both"/>
        <w:rPr>
          <w:iCs/>
        </w:rPr>
      </w:pPr>
      <w:r>
        <w:rPr>
          <w:iCs/>
        </w:rPr>
        <w:t>prescribing their own disallowance procedure</w:t>
      </w:r>
      <w:r w:rsidR="005A78BF">
        <w:rPr>
          <w:iCs/>
        </w:rPr>
        <w:t xml:space="preserve"> for the instrument</w:t>
      </w:r>
      <w:r>
        <w:rPr>
          <w:iCs/>
        </w:rPr>
        <w:t>.</w:t>
      </w:r>
      <w:r w:rsidR="00704780">
        <w:rPr>
          <w:rStyle w:val="FootnoteReference"/>
          <w:iCs/>
        </w:rPr>
        <w:footnoteReference w:id="3"/>
      </w:r>
    </w:p>
    <w:p w14:paraId="47CDEC88" w14:textId="77777777" w:rsidR="00D15BFA" w:rsidRDefault="00D15BFA">
      <w:pPr>
        <w:pStyle w:val="BodyText"/>
        <w:ind w:left="29" w:right="392"/>
        <w:jc w:val="both"/>
      </w:pPr>
    </w:p>
    <w:p w14:paraId="2E4A29AD" w14:textId="1AE0DCEE" w:rsidR="005E51E2" w:rsidRDefault="004A6FA7">
      <w:pPr>
        <w:pStyle w:val="BodyText"/>
        <w:ind w:left="29" w:right="392"/>
        <w:jc w:val="both"/>
      </w:pPr>
      <w:r>
        <w:t xml:space="preserve">The Joint Standing Committee on Delegated Legislation (JSCDL) </w:t>
      </w:r>
      <w:r w:rsidR="00F673F7">
        <w:t xml:space="preserve">holds a standing referral to </w:t>
      </w:r>
      <w:r>
        <w:t xml:space="preserve">scrutinise </w:t>
      </w:r>
      <w:r w:rsidR="353BB5CE">
        <w:t>all instruments</w:t>
      </w:r>
      <w:r w:rsidR="00F673F7">
        <w:t xml:space="preserve"> </w:t>
      </w:r>
      <w:r w:rsidR="002758CD">
        <w:t xml:space="preserve">of subsidiary legislation (or quasi-legislation) </w:t>
      </w:r>
      <w:r>
        <w:t>on behalf of the Parliament of Western Australia.</w:t>
      </w:r>
      <w:r w:rsidR="002758CD">
        <w:t xml:space="preserve"> </w:t>
      </w:r>
      <w:r w:rsidR="00842ABE">
        <w:t xml:space="preserve">Instruments are referred to the JSCDL on their publication, usually either in the </w:t>
      </w:r>
      <w:r w:rsidR="00842ABE" w:rsidRPr="67826A52">
        <w:rPr>
          <w:i/>
          <w:iCs/>
        </w:rPr>
        <w:t>Government Gazette</w:t>
      </w:r>
      <w:r w:rsidR="00842ABE">
        <w:t xml:space="preserve"> or on the WAL website. </w:t>
      </w:r>
      <w:r w:rsidR="002758CD">
        <w:t>‘Instrument’ means</w:t>
      </w:r>
      <w:r w:rsidR="005E51E2">
        <w:t>:</w:t>
      </w:r>
    </w:p>
    <w:p w14:paraId="219143A3" w14:textId="1550B8EC" w:rsidR="00915153" w:rsidRDefault="00FC7D88" w:rsidP="00FF6C9B">
      <w:pPr>
        <w:pStyle w:val="BodyText"/>
        <w:numPr>
          <w:ilvl w:val="0"/>
          <w:numId w:val="2"/>
        </w:numPr>
        <w:spacing w:before="120" w:after="120"/>
        <w:ind w:left="748" w:right="391" w:hanging="357"/>
        <w:jc w:val="both"/>
        <w:rPr>
          <w:iCs/>
        </w:rPr>
      </w:pPr>
      <w:r>
        <w:t>‘</w:t>
      </w:r>
      <w:r w:rsidR="002758CD">
        <w:t>subsidiary legislation</w:t>
      </w:r>
      <w:r>
        <w:t xml:space="preserve">’ as it is defined in </w:t>
      </w:r>
      <w:r w:rsidR="006715C6">
        <w:t xml:space="preserve">section 5 of </w:t>
      </w:r>
      <w:r>
        <w:t xml:space="preserve">the </w:t>
      </w:r>
      <w:r w:rsidRPr="00FC7D88">
        <w:rPr>
          <w:i/>
        </w:rPr>
        <w:t>Interpretation Act 1984</w:t>
      </w:r>
      <w:r w:rsidR="005E51E2" w:rsidRPr="00FF6C9B">
        <w:rPr>
          <w:rStyle w:val="FootnoteReference"/>
          <w:iCs/>
        </w:rPr>
        <w:footnoteReference w:id="4"/>
      </w:r>
    </w:p>
    <w:p w14:paraId="1C2E885F" w14:textId="5AAC1207" w:rsidR="005E51E2" w:rsidRPr="006715C6" w:rsidRDefault="00387090" w:rsidP="00FF6C9B">
      <w:pPr>
        <w:pStyle w:val="BodyText"/>
        <w:numPr>
          <w:ilvl w:val="0"/>
          <w:numId w:val="2"/>
        </w:numPr>
        <w:spacing w:before="120" w:after="120"/>
        <w:ind w:left="748" w:right="391" w:hanging="357"/>
        <w:jc w:val="both"/>
        <w:rPr>
          <w:iCs/>
        </w:rPr>
      </w:pPr>
      <w:r>
        <w:rPr>
          <w:iCs/>
        </w:rPr>
        <w:t>an instrument, not being subsidiary legislation, that is made subject to parliamentary disallowance under a written law.</w:t>
      </w:r>
      <w:r w:rsidR="00E12244">
        <w:rPr>
          <w:rStyle w:val="FootnoteReference"/>
          <w:iCs/>
        </w:rPr>
        <w:footnoteReference w:id="5"/>
      </w:r>
    </w:p>
    <w:p w14:paraId="5CDC7A63" w14:textId="77777777" w:rsidR="00915153" w:rsidRDefault="00915153">
      <w:pPr>
        <w:pStyle w:val="BodyText"/>
        <w:spacing w:before="2"/>
      </w:pPr>
    </w:p>
    <w:p w14:paraId="532EEA5B" w14:textId="3CEC0152" w:rsidR="00D309DA" w:rsidRDefault="00D309DA" w:rsidP="00D309DA">
      <w:pPr>
        <w:pStyle w:val="BodyText"/>
        <w:ind w:left="29" w:right="392"/>
        <w:jc w:val="both"/>
      </w:pPr>
      <w:r>
        <w:lastRenderedPageBreak/>
        <w:t>The JSCDL focuses</w:t>
      </w:r>
      <w:r w:rsidR="00FB22F5">
        <w:t xml:space="preserve"> its scrutiny</w:t>
      </w:r>
      <w:r>
        <w:t xml:space="preserve"> on instruments that are made subject to parliamentary disallowance, either under section 42 of the </w:t>
      </w:r>
      <w:r w:rsidRPr="00FF6C9B">
        <w:rPr>
          <w:i/>
          <w:iCs/>
        </w:rPr>
        <w:t>Interpretation Act 1984</w:t>
      </w:r>
      <w:r>
        <w:t xml:space="preserve"> or an empowering Act.</w:t>
      </w:r>
    </w:p>
    <w:p w14:paraId="360F24B9" w14:textId="77777777" w:rsidR="00D309DA" w:rsidRDefault="00D309DA">
      <w:pPr>
        <w:pStyle w:val="BodyText"/>
        <w:ind w:left="29" w:right="392"/>
        <w:jc w:val="both"/>
      </w:pPr>
    </w:p>
    <w:p w14:paraId="11500E52" w14:textId="46BD7D47" w:rsidR="00915153" w:rsidRDefault="004A6FA7">
      <w:pPr>
        <w:pStyle w:val="BodyText"/>
        <w:ind w:left="29" w:right="392"/>
        <w:jc w:val="both"/>
      </w:pPr>
      <w:r>
        <w:t xml:space="preserve">To enable the JSCDL to carry out its functions, the agency responsible for administering </w:t>
      </w:r>
      <w:r w:rsidR="00B85055" w:rsidRPr="009D0175">
        <w:t xml:space="preserve">an instrument that is subject to parliamentary disallowance </w:t>
      </w:r>
      <w:r>
        <w:t>must</w:t>
      </w:r>
      <w:r w:rsidRPr="009D0175">
        <w:t xml:space="preserve"> </w:t>
      </w:r>
      <w:r>
        <w:t>provide</w:t>
      </w:r>
      <w:r w:rsidRPr="009D0175">
        <w:t xml:space="preserve"> </w:t>
      </w:r>
      <w:r>
        <w:t>the</w:t>
      </w:r>
      <w:r w:rsidRPr="009D0175">
        <w:t xml:space="preserve"> </w:t>
      </w:r>
      <w:r>
        <w:t>following</w:t>
      </w:r>
      <w:r w:rsidRPr="009D0175">
        <w:t xml:space="preserve"> </w:t>
      </w:r>
      <w:r>
        <w:t>documents</w:t>
      </w:r>
      <w:r w:rsidRPr="009D0175">
        <w:t xml:space="preserve"> </w:t>
      </w:r>
      <w:r>
        <w:t>within</w:t>
      </w:r>
      <w:r w:rsidRPr="009D0175">
        <w:t xml:space="preserve"> 10 business days</w:t>
      </w:r>
      <w:r>
        <w:t xml:space="preserve"> </w:t>
      </w:r>
      <w:r w:rsidR="00015979">
        <w:t>after</w:t>
      </w:r>
      <w:r w:rsidR="00E60DC4">
        <w:t xml:space="preserve"> the</w:t>
      </w:r>
      <w:r>
        <w:t xml:space="preserve"> publication date:</w:t>
      </w:r>
    </w:p>
    <w:p w14:paraId="474217E9" w14:textId="71FC29E6" w:rsidR="00915153" w:rsidRDefault="0071622A" w:rsidP="00FF6C9B">
      <w:pPr>
        <w:pStyle w:val="ListParagraph"/>
        <w:numPr>
          <w:ilvl w:val="0"/>
          <w:numId w:val="1"/>
        </w:numPr>
        <w:tabs>
          <w:tab w:val="left" w:pos="889"/>
        </w:tabs>
        <w:spacing w:before="120" w:after="120" w:line="242" w:lineRule="auto"/>
        <w:rPr>
          <w:i/>
          <w:sz w:val="24"/>
        </w:rPr>
      </w:pPr>
      <w:r>
        <w:rPr>
          <w:sz w:val="24"/>
        </w:rPr>
        <w:t>O</w:t>
      </w:r>
      <w:r w:rsidR="004A6FA7">
        <w:rPr>
          <w:sz w:val="24"/>
        </w:rPr>
        <w:t xml:space="preserve">ne electronic copy of the </w:t>
      </w:r>
      <w:r w:rsidR="00FB22F5">
        <w:rPr>
          <w:sz w:val="24"/>
        </w:rPr>
        <w:t xml:space="preserve">instrument </w:t>
      </w:r>
      <w:r w:rsidR="004A6FA7">
        <w:rPr>
          <w:sz w:val="24"/>
        </w:rPr>
        <w:t xml:space="preserve">as published in the </w:t>
      </w:r>
      <w:r w:rsidR="004A6FA7">
        <w:rPr>
          <w:i/>
          <w:sz w:val="24"/>
        </w:rPr>
        <w:t xml:space="preserve">Government Gazette </w:t>
      </w:r>
      <w:r w:rsidR="004A6FA7">
        <w:rPr>
          <w:sz w:val="24"/>
        </w:rPr>
        <w:t xml:space="preserve">or on the </w:t>
      </w:r>
      <w:r w:rsidR="00775421" w:rsidRPr="00775421">
        <w:rPr>
          <w:sz w:val="24"/>
        </w:rPr>
        <w:t xml:space="preserve">WAL </w:t>
      </w:r>
      <w:r w:rsidR="00792275" w:rsidRPr="00775421">
        <w:rPr>
          <w:sz w:val="24"/>
        </w:rPr>
        <w:t>website</w:t>
      </w:r>
      <w:r w:rsidR="00792275" w:rsidRPr="00775421" w:rsidDel="005414F2">
        <w:rPr>
          <w:sz w:val="24"/>
        </w:rPr>
        <w:t>;</w:t>
      </w:r>
    </w:p>
    <w:p w14:paraId="4D9C215B" w14:textId="59832324" w:rsidR="00915153" w:rsidRDefault="00804898" w:rsidP="00FF6C9B">
      <w:pPr>
        <w:pStyle w:val="ListParagraph"/>
        <w:numPr>
          <w:ilvl w:val="0"/>
          <w:numId w:val="1"/>
        </w:numPr>
        <w:tabs>
          <w:tab w:val="left" w:pos="889"/>
        </w:tabs>
        <w:spacing w:before="120" w:after="120"/>
        <w:rPr>
          <w:rFonts w:ascii="Times New Roman" w:hAnsi="Times New Roman"/>
          <w:sz w:val="24"/>
        </w:rPr>
      </w:pPr>
      <w:r>
        <w:rPr>
          <w:sz w:val="24"/>
        </w:rPr>
        <w:t>O</w:t>
      </w:r>
      <w:r w:rsidR="004A6FA7">
        <w:rPr>
          <w:sz w:val="24"/>
        </w:rPr>
        <w:t>ne electronic copy of an Explanatory Memorandum</w:t>
      </w:r>
      <w:r w:rsidR="00A70E0C">
        <w:rPr>
          <w:sz w:val="24"/>
        </w:rPr>
        <w:t xml:space="preserve"> (EM)</w:t>
      </w:r>
      <w:r w:rsidR="004A6FA7">
        <w:rPr>
          <w:sz w:val="24"/>
        </w:rPr>
        <w:t>, prepared in accordance with this Circular</w:t>
      </w:r>
      <w:r w:rsidR="00555241">
        <w:rPr>
          <w:sz w:val="24"/>
        </w:rPr>
        <w:t xml:space="preserve"> (see Appendix 1)</w:t>
      </w:r>
      <w:r w:rsidR="004A6FA7">
        <w:rPr>
          <w:sz w:val="24"/>
        </w:rPr>
        <w:t>, signed by the Chief</w:t>
      </w:r>
      <w:r w:rsidR="004A6FA7">
        <w:rPr>
          <w:spacing w:val="-2"/>
          <w:sz w:val="24"/>
        </w:rPr>
        <w:t xml:space="preserve"> </w:t>
      </w:r>
      <w:r w:rsidR="004A6FA7">
        <w:rPr>
          <w:sz w:val="24"/>
        </w:rPr>
        <w:t>Executive</w:t>
      </w:r>
      <w:r w:rsidR="004A6FA7">
        <w:rPr>
          <w:spacing w:val="-2"/>
          <w:sz w:val="24"/>
        </w:rPr>
        <w:t xml:space="preserve"> </w:t>
      </w:r>
      <w:r w:rsidR="004A6FA7">
        <w:rPr>
          <w:sz w:val="24"/>
        </w:rPr>
        <w:t>Officer</w:t>
      </w:r>
      <w:r w:rsidR="004A6FA7">
        <w:rPr>
          <w:spacing w:val="-2"/>
          <w:sz w:val="24"/>
        </w:rPr>
        <w:t xml:space="preserve"> </w:t>
      </w:r>
      <w:r w:rsidR="004A6FA7">
        <w:rPr>
          <w:sz w:val="24"/>
        </w:rPr>
        <w:t>(CEO)</w:t>
      </w:r>
      <w:r w:rsidR="004A6FA7">
        <w:rPr>
          <w:spacing w:val="-2"/>
          <w:sz w:val="24"/>
        </w:rPr>
        <w:t xml:space="preserve"> </w:t>
      </w:r>
      <w:r w:rsidR="004A6FA7">
        <w:rPr>
          <w:sz w:val="24"/>
        </w:rPr>
        <w:t>of</w:t>
      </w:r>
      <w:r w:rsidR="004A6FA7">
        <w:rPr>
          <w:spacing w:val="-2"/>
          <w:sz w:val="24"/>
        </w:rPr>
        <w:t xml:space="preserve"> </w:t>
      </w:r>
      <w:r w:rsidR="004A6FA7">
        <w:rPr>
          <w:sz w:val="24"/>
        </w:rPr>
        <w:t>the</w:t>
      </w:r>
      <w:r w:rsidR="004A6FA7">
        <w:rPr>
          <w:spacing w:val="-2"/>
          <w:sz w:val="24"/>
        </w:rPr>
        <w:t xml:space="preserve"> </w:t>
      </w:r>
      <w:r w:rsidR="004A6FA7">
        <w:rPr>
          <w:sz w:val="24"/>
        </w:rPr>
        <w:t>agency</w:t>
      </w:r>
      <w:r w:rsidR="004A6FA7">
        <w:rPr>
          <w:spacing w:val="-3"/>
          <w:sz w:val="24"/>
        </w:rPr>
        <w:t xml:space="preserve"> </w:t>
      </w:r>
      <w:r w:rsidR="004A6FA7">
        <w:rPr>
          <w:sz w:val="24"/>
        </w:rPr>
        <w:t>and</w:t>
      </w:r>
      <w:r w:rsidR="004A6FA7">
        <w:rPr>
          <w:spacing w:val="-4"/>
          <w:sz w:val="24"/>
        </w:rPr>
        <w:t xml:space="preserve"> </w:t>
      </w:r>
      <w:r w:rsidR="004A6FA7">
        <w:rPr>
          <w:sz w:val="24"/>
        </w:rPr>
        <w:t>initialled</w:t>
      </w:r>
      <w:r w:rsidR="004A6FA7">
        <w:rPr>
          <w:spacing w:val="-2"/>
          <w:sz w:val="24"/>
        </w:rPr>
        <w:t xml:space="preserve"> </w:t>
      </w:r>
      <w:r w:rsidR="004A6FA7">
        <w:rPr>
          <w:sz w:val="24"/>
        </w:rPr>
        <w:t>or</w:t>
      </w:r>
      <w:r w:rsidR="004A6FA7">
        <w:rPr>
          <w:spacing w:val="40"/>
          <w:sz w:val="24"/>
        </w:rPr>
        <w:t xml:space="preserve"> </w:t>
      </w:r>
      <w:r w:rsidR="004A6FA7">
        <w:rPr>
          <w:sz w:val="24"/>
        </w:rPr>
        <w:t>signed</w:t>
      </w:r>
      <w:r w:rsidR="004A6FA7">
        <w:rPr>
          <w:spacing w:val="-3"/>
          <w:sz w:val="24"/>
        </w:rPr>
        <w:t xml:space="preserve"> </w:t>
      </w:r>
      <w:r w:rsidR="004A6FA7">
        <w:rPr>
          <w:sz w:val="24"/>
        </w:rPr>
        <w:t>by</w:t>
      </w:r>
      <w:r w:rsidR="004A6FA7">
        <w:rPr>
          <w:spacing w:val="-5"/>
          <w:sz w:val="24"/>
        </w:rPr>
        <w:t xml:space="preserve"> </w:t>
      </w:r>
      <w:r w:rsidR="004A6FA7">
        <w:rPr>
          <w:sz w:val="24"/>
        </w:rPr>
        <w:t>the responsible Minister;</w:t>
      </w:r>
      <w:r w:rsidR="00E76D62">
        <w:rPr>
          <w:rStyle w:val="FootnoteReference"/>
          <w:sz w:val="24"/>
        </w:rPr>
        <w:footnoteReference w:id="6"/>
      </w:r>
    </w:p>
    <w:p w14:paraId="79B8867B" w14:textId="16E7FB9D" w:rsidR="00915153" w:rsidRDefault="00BD131D" w:rsidP="00FF6C9B">
      <w:pPr>
        <w:pStyle w:val="ListParagraph"/>
        <w:numPr>
          <w:ilvl w:val="0"/>
          <w:numId w:val="1"/>
        </w:numPr>
        <w:tabs>
          <w:tab w:val="left" w:pos="889"/>
        </w:tabs>
        <w:spacing w:before="120" w:after="120" w:line="242" w:lineRule="auto"/>
        <w:rPr>
          <w:sz w:val="24"/>
        </w:rPr>
      </w:pPr>
      <w:r>
        <w:rPr>
          <w:sz w:val="24"/>
        </w:rPr>
        <w:t>O</w:t>
      </w:r>
      <w:r w:rsidR="004A6FA7">
        <w:rPr>
          <w:sz w:val="24"/>
        </w:rPr>
        <w:t>ne electronic copy of a completed Statutory Procedures Checklist in Appendix 2 format for a region planning scheme or an amendment to it;</w:t>
      </w:r>
    </w:p>
    <w:p w14:paraId="7987A8B2" w14:textId="5F516926" w:rsidR="00EC4444" w:rsidRDefault="00EC4444" w:rsidP="00FF6C9B">
      <w:pPr>
        <w:pStyle w:val="ListParagraph"/>
        <w:numPr>
          <w:ilvl w:val="0"/>
          <w:numId w:val="1"/>
        </w:numPr>
        <w:tabs>
          <w:tab w:val="left" w:pos="889"/>
        </w:tabs>
        <w:spacing w:before="120" w:after="120"/>
        <w:ind w:left="890" w:right="391" w:hanging="363"/>
        <w:rPr>
          <w:sz w:val="24"/>
        </w:rPr>
      </w:pPr>
      <w:r>
        <w:rPr>
          <w:sz w:val="24"/>
        </w:rPr>
        <w:t>For amending instruments, if the principal instrument is not published on the WAL website,</w:t>
      </w:r>
      <w:r w:rsidR="00A53171">
        <w:rPr>
          <w:sz w:val="24"/>
        </w:rPr>
        <w:t xml:space="preserve"> an electronic copy of the principal instrument with all amendments consolidated up to the date </w:t>
      </w:r>
      <w:r w:rsidR="00A53171">
        <w:rPr>
          <w:sz w:val="24"/>
          <w:u w:val="single"/>
        </w:rPr>
        <w:t>immediately before</w:t>
      </w:r>
      <w:r w:rsidR="00A53171">
        <w:rPr>
          <w:sz w:val="24"/>
        </w:rPr>
        <w:t xml:space="preserve"> the most recent amendments take effect;</w:t>
      </w:r>
    </w:p>
    <w:p w14:paraId="2351F3B3" w14:textId="6A712F8E" w:rsidR="00915153" w:rsidRDefault="004A6FA7" w:rsidP="004B624C">
      <w:pPr>
        <w:pStyle w:val="ListParagraph"/>
        <w:numPr>
          <w:ilvl w:val="0"/>
          <w:numId w:val="1"/>
        </w:numPr>
        <w:tabs>
          <w:tab w:val="left" w:pos="889"/>
        </w:tabs>
        <w:spacing w:before="37" w:after="120"/>
      </w:pPr>
      <w:r w:rsidRPr="00DD6B82">
        <w:rPr>
          <w:sz w:val="24"/>
        </w:rPr>
        <w:t xml:space="preserve">Where the Parliamentary Counsel’s Office (PCO) has produced a copy of the principal </w:t>
      </w:r>
      <w:r w:rsidR="00E76D62" w:rsidRPr="00DD6B82">
        <w:rPr>
          <w:sz w:val="24"/>
        </w:rPr>
        <w:t xml:space="preserve">instrument </w:t>
      </w:r>
      <w:r w:rsidRPr="00DD6B82">
        <w:rPr>
          <w:sz w:val="24"/>
        </w:rPr>
        <w:t>marked with the amendments made by the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instrument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under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scrutiny,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a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link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to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the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‘document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compare’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on</w:t>
      </w:r>
      <w:r w:rsidRPr="00DD6B82">
        <w:rPr>
          <w:spacing w:val="40"/>
          <w:sz w:val="24"/>
        </w:rPr>
        <w:t xml:space="preserve"> </w:t>
      </w:r>
      <w:r w:rsidRPr="00DD6B82">
        <w:rPr>
          <w:sz w:val="24"/>
        </w:rPr>
        <w:t>the</w:t>
      </w:r>
      <w:r w:rsidR="00E76D62" w:rsidRPr="00DD6B82">
        <w:rPr>
          <w:sz w:val="24"/>
        </w:rPr>
        <w:t xml:space="preserve"> </w:t>
      </w:r>
      <w:r w:rsidR="00775421" w:rsidRPr="00DD6B82">
        <w:rPr>
          <w:sz w:val="24"/>
        </w:rPr>
        <w:t>WAL website</w:t>
      </w:r>
      <w:r w:rsidRPr="00DD6B82">
        <w:rPr>
          <w:spacing w:val="-2"/>
        </w:rPr>
        <w:t>.</w:t>
      </w:r>
    </w:p>
    <w:p w14:paraId="19FED0CD" w14:textId="77777777" w:rsidR="00915153" w:rsidRDefault="00915153">
      <w:pPr>
        <w:pStyle w:val="BodyText"/>
        <w:spacing w:before="53"/>
      </w:pPr>
    </w:p>
    <w:p w14:paraId="5F9D19D8" w14:textId="70B19F57" w:rsidR="00915153" w:rsidRDefault="004A6FA7">
      <w:pPr>
        <w:pStyle w:val="BodyText"/>
        <w:ind w:left="29" w:right="353"/>
        <w:jc w:val="both"/>
      </w:pPr>
      <w:r>
        <w:t>For</w:t>
      </w:r>
      <w:r w:rsidR="00A71CA2">
        <w:t xml:space="preserve"> instrument</w:t>
      </w:r>
      <w:r w:rsidR="00B713CD">
        <w:t>s</w:t>
      </w:r>
      <w:r>
        <w:t xml:space="preserve"> where notice of a disallowance </w:t>
      </w:r>
      <w:r w:rsidR="00E512B5">
        <w:t>motion</w:t>
      </w:r>
      <w:r>
        <w:t xml:space="preserve"> must be given within fewer than the 14 sitting days provided for in section 42 of the </w:t>
      </w:r>
      <w:r>
        <w:rPr>
          <w:i/>
        </w:rPr>
        <w:t>Interpretation Act 1984</w:t>
      </w:r>
      <w:r>
        <w:t xml:space="preserve">, the agency must provide this documentation within </w:t>
      </w:r>
      <w:r w:rsidR="00B713CD">
        <w:rPr>
          <w:u w:val="single"/>
        </w:rPr>
        <w:t xml:space="preserve">5 </w:t>
      </w:r>
      <w:r>
        <w:rPr>
          <w:u w:val="single"/>
        </w:rPr>
        <w:t>business days</w:t>
      </w:r>
      <w:r>
        <w:t xml:space="preserve"> </w:t>
      </w:r>
      <w:r w:rsidR="00015979">
        <w:t>after</w:t>
      </w:r>
      <w:r>
        <w:t xml:space="preserve"> publication</w:t>
      </w:r>
      <w:r>
        <w:rPr>
          <w:spacing w:val="-8"/>
        </w:rPr>
        <w:t xml:space="preserve"> </w:t>
      </w:r>
      <w:r w:rsidR="00E60DC4">
        <w:rPr>
          <w:spacing w:val="-8"/>
        </w:rPr>
        <w:t xml:space="preserve">in </w:t>
      </w:r>
      <w:r>
        <w:t>the</w:t>
      </w:r>
      <w:r>
        <w:rPr>
          <w:spacing w:val="-8"/>
        </w:rPr>
        <w:t xml:space="preserve"> </w:t>
      </w:r>
      <w:r>
        <w:rPr>
          <w:i/>
        </w:rPr>
        <w:t>Government</w:t>
      </w:r>
      <w:r>
        <w:rPr>
          <w:i/>
          <w:spacing w:val="-8"/>
        </w:rPr>
        <w:t xml:space="preserve"> </w:t>
      </w:r>
      <w:r>
        <w:rPr>
          <w:i/>
        </w:rPr>
        <w:t>Gazette</w:t>
      </w:r>
      <w:r>
        <w:rPr>
          <w:i/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775421" w:rsidRPr="00775421">
        <w:t>WAL website</w:t>
      </w:r>
      <w:r>
        <w:rPr>
          <w:spacing w:val="-2"/>
        </w:rPr>
        <w:t>.</w:t>
      </w:r>
    </w:p>
    <w:p w14:paraId="28F5575A" w14:textId="77777777" w:rsidR="00915153" w:rsidRDefault="00915153">
      <w:pPr>
        <w:pStyle w:val="BodyText"/>
      </w:pPr>
    </w:p>
    <w:p w14:paraId="6D7390AD" w14:textId="53364E8E" w:rsidR="00915153" w:rsidRDefault="004A6FA7" w:rsidP="00FF6C9B">
      <w:pPr>
        <w:pStyle w:val="BodyText"/>
        <w:ind w:left="29" w:right="353"/>
        <w:jc w:val="both"/>
      </w:pPr>
      <w:r>
        <w:t>Further information regarding</w:t>
      </w:r>
      <w:r>
        <w:rPr>
          <w:spacing w:val="-2"/>
        </w:rPr>
        <w:t xml:space="preserve"> </w:t>
      </w:r>
      <w:r>
        <w:t>the required</w:t>
      </w:r>
      <w:r>
        <w:rPr>
          <w:spacing w:val="-3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E50DE">
        <w:t xml:space="preserve">EMs </w:t>
      </w:r>
      <w:r>
        <w:t>is</w:t>
      </w:r>
      <w:r>
        <w:rPr>
          <w:spacing w:val="40"/>
        </w:rPr>
        <w:t xml:space="preserve"> </w:t>
      </w:r>
      <w:r>
        <w:t xml:space="preserve">in Appendix 1. </w:t>
      </w:r>
    </w:p>
    <w:p w14:paraId="0582399B" w14:textId="77777777" w:rsidR="00915153" w:rsidRDefault="00915153">
      <w:pPr>
        <w:pStyle w:val="BodyText"/>
        <w:spacing w:before="3"/>
      </w:pPr>
    </w:p>
    <w:p w14:paraId="6FE8B36A" w14:textId="4BE8E1AC" w:rsidR="00915153" w:rsidRDefault="00193FB6">
      <w:pPr>
        <w:pStyle w:val="BodyText"/>
        <w:ind w:left="29" w:right="336"/>
        <w:jc w:val="both"/>
      </w:pPr>
      <w:r>
        <w:t xml:space="preserve">The </w:t>
      </w:r>
      <w:r w:rsidR="004A6FA7">
        <w:t xml:space="preserve">documents must be emailed </w:t>
      </w:r>
      <w:r w:rsidR="000E65DF">
        <w:t>in PDF</w:t>
      </w:r>
      <w:r w:rsidR="002630EA">
        <w:t>/</w:t>
      </w:r>
      <w:r w:rsidR="000E65DF">
        <w:t xml:space="preserve">A format </w:t>
      </w:r>
      <w:r w:rsidR="004A6FA7">
        <w:t xml:space="preserve">to </w:t>
      </w:r>
      <w:hyperlink r:id="rId13">
        <w:r w:rsidR="00915153">
          <w:rPr>
            <w:color w:val="0000FF"/>
            <w:u w:val="single" w:color="0000FF"/>
          </w:rPr>
          <w:t>delleg@parliament.wa.gov.au</w:t>
        </w:r>
        <w:r w:rsidR="00915153">
          <w:t>.</w:t>
        </w:r>
      </w:hyperlink>
      <w:r w:rsidR="004A6FA7">
        <w:t xml:space="preserve"> </w:t>
      </w:r>
      <w:r w:rsidR="000E65DF">
        <w:t>T</w:t>
      </w:r>
      <w:r w:rsidR="004A6FA7">
        <w:t xml:space="preserve">he subject line of </w:t>
      </w:r>
      <w:r w:rsidR="000E65DF">
        <w:t>the</w:t>
      </w:r>
      <w:r w:rsidR="004A6FA7">
        <w:t xml:space="preserve"> email</w:t>
      </w:r>
      <w:r w:rsidR="000E65DF">
        <w:t xml:space="preserve"> must clearly identify the instrument under scrutiny</w:t>
      </w:r>
      <w:r w:rsidR="004A6FA7">
        <w:t>.</w:t>
      </w:r>
    </w:p>
    <w:p w14:paraId="75B1956A" w14:textId="77777777" w:rsidR="00915153" w:rsidRDefault="004A6FA7" w:rsidP="00203A05">
      <w:pPr>
        <w:pStyle w:val="Heading1"/>
        <w:spacing w:before="120" w:after="120"/>
        <w:ind w:left="28"/>
      </w:pPr>
      <w:r>
        <w:rPr>
          <w:spacing w:val="-2"/>
        </w:rPr>
        <w:t>BACKGROUND</w:t>
      </w:r>
    </w:p>
    <w:p w14:paraId="38BDFE8A" w14:textId="40264EDD" w:rsidR="00915153" w:rsidRDefault="004A6FA7">
      <w:pPr>
        <w:pStyle w:val="BodyText"/>
        <w:spacing w:before="2"/>
        <w:ind w:left="29" w:right="336"/>
        <w:jc w:val="both"/>
      </w:pPr>
      <w:r>
        <w:t>The Parliament of Western Australia established the JSCDL to assist with the scrutiny</w:t>
      </w:r>
      <w:r>
        <w:rPr>
          <w:spacing w:val="-5"/>
        </w:rPr>
        <w:t xml:space="preserve"> </w:t>
      </w:r>
      <w:r>
        <w:t>of</w:t>
      </w:r>
      <w:r w:rsidR="008C3736">
        <w:t xml:space="preserve"> instruments of</w:t>
      </w:r>
      <w:r>
        <w:t xml:space="preserve"> subsidiary</w:t>
      </w:r>
      <w:r>
        <w:rPr>
          <w:spacing w:val="-8"/>
        </w:rPr>
        <w:t xml:space="preserve"> </w:t>
      </w:r>
      <w:r>
        <w:t>legislation</w:t>
      </w:r>
      <w:r>
        <w:rPr>
          <w:spacing w:val="-4"/>
        </w:rPr>
        <w:t xml:space="preserve"> </w:t>
      </w:r>
      <w:r w:rsidR="008C3736">
        <w:rPr>
          <w:spacing w:val="-4"/>
        </w:rPr>
        <w:t xml:space="preserve">(and quasi-legislation) </w:t>
      </w:r>
      <w:r>
        <w:t>made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8C3736">
        <w:rPr>
          <w:spacing w:val="-2"/>
        </w:rPr>
        <w:t xml:space="preserve">parliamentary disallowance under either </w:t>
      </w:r>
      <w:r>
        <w:t>section</w:t>
      </w:r>
      <w:r>
        <w:rPr>
          <w:spacing w:val="-5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Interpretation</w:t>
      </w:r>
      <w:r>
        <w:rPr>
          <w:i/>
          <w:spacing w:val="-6"/>
        </w:rPr>
        <w:t xml:space="preserve"> </w:t>
      </w:r>
      <w:r>
        <w:rPr>
          <w:i/>
        </w:rPr>
        <w:t xml:space="preserve">Act 1984 </w:t>
      </w:r>
      <w:r>
        <w:t xml:space="preserve">or </w:t>
      </w:r>
      <w:r w:rsidR="008C3736">
        <w:t>the instrument’s empowering Act</w:t>
      </w:r>
      <w:r>
        <w:t>.</w:t>
      </w:r>
    </w:p>
    <w:p w14:paraId="6BDAD7DC" w14:textId="77777777" w:rsidR="00915153" w:rsidRDefault="00915153">
      <w:pPr>
        <w:pStyle w:val="BodyText"/>
        <w:spacing w:before="10"/>
      </w:pPr>
    </w:p>
    <w:p w14:paraId="45980A0F" w14:textId="5191140E" w:rsidR="00915153" w:rsidRDefault="004A6FA7">
      <w:pPr>
        <w:pStyle w:val="BodyText"/>
        <w:ind w:left="29" w:right="336"/>
        <w:jc w:val="both"/>
      </w:pPr>
      <w:r>
        <w:t xml:space="preserve">The JSCDL cannot properly fulfil its scrutiny role without timely provision of explanatory material for each </w:t>
      </w:r>
      <w:r w:rsidR="00023E34">
        <w:t xml:space="preserve">instrument </w:t>
      </w:r>
      <w:r>
        <w:t xml:space="preserve">referred to it upon </w:t>
      </w:r>
      <w:r w:rsidR="003C6A83">
        <w:t>publication</w:t>
      </w:r>
      <w:r>
        <w:t>.</w:t>
      </w:r>
      <w:r>
        <w:rPr>
          <w:spacing w:val="40"/>
        </w:rPr>
        <w:t xml:space="preserve"> </w:t>
      </w:r>
      <w:r>
        <w:t xml:space="preserve">Agencies must provide the required material in a timely manner. These requirements are additional to the statutory requirement to table certain </w:t>
      </w:r>
      <w:r w:rsidR="00A2095B">
        <w:t xml:space="preserve">instruments </w:t>
      </w:r>
      <w:r>
        <w:t>in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Houses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</w:t>
      </w:r>
      <w:r>
        <w:rPr>
          <w:spacing w:val="-4"/>
        </w:rPr>
        <w:t xml:space="preserve"> </w:t>
      </w:r>
      <w:r>
        <w:t>Parliament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 w:rsidR="00350BDE">
        <w:rPr>
          <w:spacing w:val="-4"/>
        </w:rPr>
        <w:t xml:space="preserve">(usually) </w:t>
      </w:r>
      <w:r w:rsidR="00350BDE">
        <w:t>6</w:t>
      </w:r>
      <w:r>
        <w:rPr>
          <w:spacing w:val="-4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 w:rsidR="00087DE0">
        <w:t>after</w:t>
      </w:r>
      <w:r>
        <w:rPr>
          <w:spacing w:val="-4"/>
        </w:rPr>
        <w:t xml:space="preserve"> </w:t>
      </w:r>
      <w:r>
        <w:t xml:space="preserve">publication in the </w:t>
      </w:r>
      <w:r>
        <w:rPr>
          <w:i/>
        </w:rPr>
        <w:t xml:space="preserve">Government Gazette </w:t>
      </w:r>
      <w:r>
        <w:t xml:space="preserve">or on the </w:t>
      </w:r>
      <w:r w:rsidR="00775421" w:rsidRPr="00775421">
        <w:t>WAL website</w:t>
      </w:r>
      <w:r>
        <w:t>.</w:t>
      </w:r>
    </w:p>
    <w:p w14:paraId="74C6B418" w14:textId="77777777" w:rsidR="00915153" w:rsidRDefault="00915153">
      <w:pPr>
        <w:pStyle w:val="BodyText"/>
      </w:pPr>
    </w:p>
    <w:p w14:paraId="05F7E3F9" w14:textId="77777777" w:rsidR="00915153" w:rsidRDefault="00915153">
      <w:pPr>
        <w:pStyle w:val="BodyText"/>
      </w:pPr>
    </w:p>
    <w:p w14:paraId="11F186A0" w14:textId="77777777" w:rsidR="00915153" w:rsidRDefault="00915153">
      <w:pPr>
        <w:pStyle w:val="BodyText"/>
      </w:pPr>
    </w:p>
    <w:p w14:paraId="79C66051" w14:textId="77777777" w:rsidR="00915153" w:rsidRDefault="00915153">
      <w:pPr>
        <w:pStyle w:val="BodyText"/>
      </w:pPr>
    </w:p>
    <w:p w14:paraId="4A6A0C78" w14:textId="77777777" w:rsidR="00915153" w:rsidRDefault="00915153">
      <w:pPr>
        <w:pStyle w:val="BodyText"/>
      </w:pPr>
    </w:p>
    <w:p w14:paraId="616D39F9" w14:textId="77777777" w:rsidR="00915153" w:rsidRDefault="00915153">
      <w:pPr>
        <w:pStyle w:val="BodyText"/>
      </w:pPr>
    </w:p>
    <w:p w14:paraId="3655F241" w14:textId="77777777" w:rsidR="00915153" w:rsidRDefault="00915153">
      <w:pPr>
        <w:pStyle w:val="BodyText"/>
      </w:pPr>
    </w:p>
    <w:p w14:paraId="1A3B7790" w14:textId="77777777" w:rsidR="00915153" w:rsidRDefault="00915153">
      <w:pPr>
        <w:pStyle w:val="BodyText"/>
      </w:pPr>
    </w:p>
    <w:p w14:paraId="7666A1E1" w14:textId="77777777" w:rsidR="00915153" w:rsidRDefault="00915153">
      <w:pPr>
        <w:pStyle w:val="BodyText"/>
        <w:spacing w:before="80"/>
      </w:pPr>
    </w:p>
    <w:p w14:paraId="5A5D3B62" w14:textId="77777777" w:rsidR="00915153" w:rsidRDefault="004A6FA7">
      <w:pPr>
        <w:pStyle w:val="BodyText"/>
        <w:ind w:left="29"/>
      </w:pPr>
      <w:r>
        <w:t>Roger Cook</w:t>
      </w:r>
      <w:r>
        <w:rPr>
          <w:spacing w:val="-1"/>
        </w:rPr>
        <w:t xml:space="preserve"> </w:t>
      </w:r>
      <w:r>
        <w:rPr>
          <w:spacing w:val="-5"/>
        </w:rPr>
        <w:t>MLA</w:t>
      </w:r>
    </w:p>
    <w:p w14:paraId="45BC082D" w14:textId="77777777" w:rsidR="00915153" w:rsidRDefault="004A6FA7">
      <w:pPr>
        <w:spacing w:before="2"/>
        <w:ind w:left="29"/>
        <w:rPr>
          <w:b/>
          <w:sz w:val="24"/>
        </w:rPr>
      </w:pPr>
      <w:r>
        <w:rPr>
          <w:b/>
          <w:spacing w:val="-2"/>
          <w:sz w:val="24"/>
        </w:rPr>
        <w:t>PREMIER</w:t>
      </w:r>
    </w:p>
    <w:p w14:paraId="59927D90" w14:textId="77777777" w:rsidR="00915153" w:rsidRDefault="00915153">
      <w:pPr>
        <w:pStyle w:val="BodyText"/>
        <w:rPr>
          <w:b/>
          <w:sz w:val="20"/>
        </w:rPr>
      </w:pPr>
    </w:p>
    <w:p w14:paraId="63E7E7A2" w14:textId="77777777" w:rsidR="00915153" w:rsidRDefault="00915153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2512"/>
        <w:gridCol w:w="2961"/>
      </w:tblGrid>
      <w:tr w:rsidR="00915153" w14:paraId="4AC4BBB7" w14:textId="77777777">
        <w:trPr>
          <w:trHeight w:val="460"/>
        </w:trPr>
        <w:tc>
          <w:tcPr>
            <w:tcW w:w="3456" w:type="dxa"/>
            <w:tcBorders>
              <w:right w:val="nil"/>
            </w:tcBorders>
          </w:tcPr>
          <w:p w14:paraId="52AE2863" w14:textId="77777777" w:rsidR="00915153" w:rsidRDefault="004A6FA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enquiries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2512" w:type="dxa"/>
            <w:tcBorders>
              <w:left w:val="nil"/>
              <w:right w:val="nil"/>
            </w:tcBorders>
          </w:tcPr>
          <w:p w14:paraId="7E504570" w14:textId="77777777" w:rsidR="00915153" w:rsidRDefault="004A6FA7">
            <w:pPr>
              <w:pStyle w:val="TableParagraph"/>
              <w:spacing w:line="230" w:lineRule="exact"/>
              <w:ind w:left="254"/>
              <w:rPr>
                <w:sz w:val="20"/>
              </w:rPr>
            </w:pPr>
            <w:r>
              <w:rPr>
                <w:sz w:val="20"/>
              </w:rPr>
              <w:t>JSCDL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Clerk Parliament House</w:t>
            </w:r>
          </w:p>
        </w:tc>
        <w:tc>
          <w:tcPr>
            <w:tcW w:w="2961" w:type="dxa"/>
            <w:tcBorders>
              <w:left w:val="nil"/>
            </w:tcBorders>
          </w:tcPr>
          <w:p w14:paraId="6884D3F8" w14:textId="77777777" w:rsidR="00915153" w:rsidRDefault="004A6FA7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(08)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9222</w:t>
            </w:r>
            <w:r>
              <w:rPr>
                <w:spacing w:val="-4"/>
                <w:sz w:val="20"/>
              </w:rPr>
              <w:t xml:space="preserve"> 7300</w:t>
            </w:r>
          </w:p>
        </w:tc>
      </w:tr>
      <w:tr w:rsidR="00915153" w14:paraId="6D5EDD08" w14:textId="77777777">
        <w:trPr>
          <w:trHeight w:val="282"/>
        </w:trPr>
        <w:tc>
          <w:tcPr>
            <w:tcW w:w="8929" w:type="dxa"/>
            <w:gridSpan w:val="3"/>
          </w:tcPr>
          <w:p w14:paraId="78624786" w14:textId="77777777" w:rsidR="00915153" w:rsidRDefault="004A6FA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Circulars:</w:t>
            </w:r>
          </w:p>
        </w:tc>
      </w:tr>
      <w:tr w:rsidR="00915153" w14:paraId="29D2A626" w14:textId="77777777">
        <w:trPr>
          <w:trHeight w:val="277"/>
        </w:trPr>
        <w:tc>
          <w:tcPr>
            <w:tcW w:w="3456" w:type="dxa"/>
            <w:tcBorders>
              <w:right w:val="nil"/>
            </w:tcBorders>
          </w:tcPr>
          <w:p w14:paraId="6B5277C3" w14:textId="77777777" w:rsidR="00915153" w:rsidRDefault="004A6FA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Circular/s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replaced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Circular:</w:t>
            </w:r>
          </w:p>
        </w:tc>
        <w:tc>
          <w:tcPr>
            <w:tcW w:w="2512" w:type="dxa"/>
            <w:tcBorders>
              <w:left w:val="nil"/>
              <w:right w:val="nil"/>
            </w:tcBorders>
          </w:tcPr>
          <w:p w14:paraId="55C9576B" w14:textId="0D01CFF9" w:rsidR="00915153" w:rsidRDefault="004A6FA7">
            <w:pPr>
              <w:pStyle w:val="TableParagraph"/>
              <w:spacing w:line="229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2023/01</w:t>
            </w:r>
            <w:r w:rsidR="007754A7">
              <w:rPr>
                <w:spacing w:val="-2"/>
                <w:sz w:val="20"/>
              </w:rPr>
              <w:t>, 2025/14</w:t>
            </w:r>
          </w:p>
        </w:tc>
        <w:tc>
          <w:tcPr>
            <w:tcW w:w="2961" w:type="dxa"/>
            <w:tcBorders>
              <w:left w:val="nil"/>
            </w:tcBorders>
          </w:tcPr>
          <w:p w14:paraId="282B8D26" w14:textId="77777777" w:rsidR="00915153" w:rsidRDefault="009151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3CD441" w14:textId="77777777" w:rsidR="00B734A3" w:rsidRDefault="00B734A3"/>
    <w:sectPr w:rsidR="00B734A3" w:rsidSect="00FF6C9B">
      <w:headerReference w:type="default" r:id="rId14"/>
      <w:pgSz w:w="11910" w:h="16840"/>
      <w:pgMar w:top="620" w:right="1133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BF2B" w14:textId="77777777" w:rsidR="00613A16" w:rsidRDefault="00613A16" w:rsidP="00D2683C">
      <w:r>
        <w:separator/>
      </w:r>
    </w:p>
  </w:endnote>
  <w:endnote w:type="continuationSeparator" w:id="0">
    <w:p w14:paraId="40ECDEE4" w14:textId="77777777" w:rsidR="00613A16" w:rsidRDefault="00613A16" w:rsidP="00D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9EDE" w14:textId="77777777" w:rsidR="00613A16" w:rsidRDefault="00613A16" w:rsidP="00D2683C">
      <w:r>
        <w:separator/>
      </w:r>
    </w:p>
  </w:footnote>
  <w:footnote w:type="continuationSeparator" w:id="0">
    <w:p w14:paraId="25C327F0" w14:textId="77777777" w:rsidR="00613A16" w:rsidRDefault="00613A16" w:rsidP="00D2683C">
      <w:r>
        <w:continuationSeparator/>
      </w:r>
    </w:p>
  </w:footnote>
  <w:footnote w:id="1">
    <w:p w14:paraId="5816C9F7" w14:textId="2FB6E3A3" w:rsidR="00D2683C" w:rsidRPr="00FF6C9B" w:rsidRDefault="00D2683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Known as regulations, rules, local laws and by-laws: s 42(8).</w:t>
      </w:r>
    </w:p>
  </w:footnote>
  <w:footnote w:id="2">
    <w:p w14:paraId="3862375D" w14:textId="2203B797" w:rsidR="00704780" w:rsidRPr="00FF6C9B" w:rsidRDefault="0070478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For example, section </w:t>
      </w:r>
      <w:r w:rsidR="00AE5110">
        <w:t xml:space="preserve">61 of the </w:t>
      </w:r>
      <w:r w:rsidR="00AE5110" w:rsidRPr="00FF6C9B">
        <w:rPr>
          <w:i/>
          <w:iCs/>
        </w:rPr>
        <w:t>State Records Act 2000</w:t>
      </w:r>
      <w:r w:rsidR="00AE5110">
        <w:t xml:space="preserve"> (principles and standards made by the State Records Commission</w:t>
      </w:r>
      <w:r w:rsidR="00883525">
        <w:t>)</w:t>
      </w:r>
      <w:r w:rsidR="00AE5110">
        <w:t xml:space="preserve"> and section </w:t>
      </w:r>
      <w:r w:rsidR="00947AAA">
        <w:t xml:space="preserve">120AA of the </w:t>
      </w:r>
      <w:r w:rsidR="00947AAA">
        <w:rPr>
          <w:i/>
          <w:iCs/>
        </w:rPr>
        <w:t>Mining Act 1978</w:t>
      </w:r>
      <w:r w:rsidR="00947AAA">
        <w:t xml:space="preserve"> (orders made by the Governor)</w:t>
      </w:r>
      <w:r w:rsidR="00AE5110">
        <w:t>.</w:t>
      </w:r>
    </w:p>
  </w:footnote>
  <w:footnote w:id="3">
    <w:p w14:paraId="514E02B6" w14:textId="28B36591" w:rsidR="00704780" w:rsidRPr="00FF6C9B" w:rsidRDefault="0070478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For example, section 43 of the </w:t>
      </w:r>
      <w:r>
        <w:rPr>
          <w:i/>
          <w:iCs/>
        </w:rPr>
        <w:t>Land Administration Act 1997</w:t>
      </w:r>
      <w:r>
        <w:t xml:space="preserve"> </w:t>
      </w:r>
      <w:r w:rsidR="00391E0F">
        <w:t>prescribes a process for the Parliament to disallow proposals made under sections 42, 44 or 45 of that Act</w:t>
      </w:r>
      <w:r w:rsidR="006959D6">
        <w:t>; and s</w:t>
      </w:r>
      <w:r w:rsidR="00E839E1">
        <w:t xml:space="preserve">ection 56 of the </w:t>
      </w:r>
      <w:r w:rsidR="00E839E1">
        <w:rPr>
          <w:i/>
          <w:iCs/>
        </w:rPr>
        <w:t>Planning and Development Act 2005</w:t>
      </w:r>
      <w:r w:rsidR="00E839E1">
        <w:t xml:space="preserve"> </w:t>
      </w:r>
      <w:r w:rsidR="006959D6">
        <w:t>prescribes a process for the Parliament to disallow region planning schemes and non-minor amendments to such schemes.</w:t>
      </w:r>
    </w:p>
  </w:footnote>
  <w:footnote w:id="4">
    <w:p w14:paraId="54D2E2EA" w14:textId="0F9F4902" w:rsidR="005E51E2" w:rsidRPr="00FF6C9B" w:rsidRDefault="005E51E2" w:rsidP="00D27D5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D27D5A">
        <w:t>‘</w:t>
      </w:r>
      <w:r w:rsidR="00D27D5A" w:rsidRPr="00FF6C9B">
        <w:rPr>
          <w:b/>
          <w:bCs/>
          <w:i/>
          <w:iCs/>
        </w:rPr>
        <w:t>subsidiary legislation</w:t>
      </w:r>
      <w:r w:rsidR="00D27D5A">
        <w:t xml:space="preserve"> means any proclamation, regulation, rule, local law, by-law, order, notice, rule of court, local or region planning scheme, resolution, or other instrument, made under any written law and having legislative effect’</w:t>
      </w:r>
      <w:r w:rsidR="00D309DA">
        <w:t>.</w:t>
      </w:r>
    </w:p>
  </w:footnote>
  <w:footnote w:id="5">
    <w:p w14:paraId="163C6BD0" w14:textId="34CE8650" w:rsidR="00E12244" w:rsidRPr="00FF6C9B" w:rsidRDefault="00E1224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This definition of ‘instrument’ is contained in the </w:t>
      </w:r>
      <w:r w:rsidR="002F063F">
        <w:rPr>
          <w:lang w:val="en-AU"/>
        </w:rPr>
        <w:t>JS</w:t>
      </w:r>
      <w:r w:rsidR="00FD3317">
        <w:rPr>
          <w:lang w:val="en-AU"/>
        </w:rPr>
        <w:t>CDL</w:t>
      </w:r>
      <w:r>
        <w:rPr>
          <w:lang w:val="en-AU"/>
        </w:rPr>
        <w:t xml:space="preserve">’s </w:t>
      </w:r>
      <w:hyperlink r:id="rId1" w:anchor="current" w:history="1">
        <w:r w:rsidR="00F5574D" w:rsidRPr="00F5574D">
          <w:rPr>
            <w:rStyle w:val="Hyperlink"/>
            <w:lang w:val="en-AU"/>
          </w:rPr>
          <w:t>T</w:t>
        </w:r>
        <w:r w:rsidRPr="00F5574D">
          <w:rPr>
            <w:rStyle w:val="Hyperlink"/>
            <w:lang w:val="en-AU"/>
          </w:rPr>
          <w:t xml:space="preserve">erms of </w:t>
        </w:r>
        <w:r w:rsidR="00F5574D" w:rsidRPr="00F5574D">
          <w:rPr>
            <w:rStyle w:val="Hyperlink"/>
            <w:lang w:val="en-AU"/>
          </w:rPr>
          <w:t>R</w:t>
        </w:r>
        <w:r w:rsidRPr="00F5574D">
          <w:rPr>
            <w:rStyle w:val="Hyperlink"/>
            <w:lang w:val="en-AU"/>
          </w:rPr>
          <w:t>eference</w:t>
        </w:r>
      </w:hyperlink>
      <w:r>
        <w:rPr>
          <w:lang w:val="en-AU"/>
        </w:rPr>
        <w:t xml:space="preserve">: </w:t>
      </w:r>
      <w:r>
        <w:rPr>
          <w:i/>
          <w:iCs/>
          <w:lang w:val="en-AU"/>
        </w:rPr>
        <w:t>Standing Orders of the Legislative Council</w:t>
      </w:r>
      <w:r>
        <w:rPr>
          <w:lang w:val="en-AU"/>
        </w:rPr>
        <w:t xml:space="preserve"> Schedule 1, item 10.9</w:t>
      </w:r>
    </w:p>
  </w:footnote>
  <w:footnote w:id="6">
    <w:p w14:paraId="2D6CC9FC" w14:textId="7637FB84" w:rsidR="00E76D62" w:rsidRPr="00E76D62" w:rsidRDefault="00E76D6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76D62">
        <w:t xml:space="preserve">If Act specifically allows subsidiary legislation to be made by a person or entity other than a Minister or the Governor, the </w:t>
      </w:r>
      <w:r w:rsidR="00936D93">
        <w:t xml:space="preserve">EM </w:t>
      </w:r>
      <w:r w:rsidRPr="00E76D62">
        <w:t xml:space="preserve">may be provided directly to </w:t>
      </w:r>
      <w:r w:rsidR="00792275" w:rsidRPr="00E76D62">
        <w:t xml:space="preserve">the </w:t>
      </w:r>
      <w:r w:rsidR="00792275" w:rsidRPr="00FD3317">
        <w:rPr>
          <w:lang w:val="en-AU"/>
        </w:rPr>
        <w:t>JSCDL</w:t>
      </w:r>
      <w:r w:rsidRPr="00E76D62">
        <w:t xml:space="preserve"> without the Minister’s signature or initials. A copy of information provided to the </w:t>
      </w:r>
      <w:r w:rsidR="00FD3317">
        <w:rPr>
          <w:lang w:val="en-AU"/>
        </w:rPr>
        <w:t>JSCDL</w:t>
      </w:r>
      <w:r w:rsidR="00FD3317" w:rsidRPr="00E76D62">
        <w:t xml:space="preserve"> </w:t>
      </w:r>
      <w:r w:rsidRPr="00E76D62">
        <w:t>should be forwarded to the relevant Minister for reference.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0409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2B45FE" w14:textId="3156525C" w:rsidR="00C70531" w:rsidRDefault="00C705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8BD30" w14:textId="77777777" w:rsidR="00C70531" w:rsidRDefault="00C70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45E75"/>
    <w:multiLevelType w:val="hybridMultilevel"/>
    <w:tmpl w:val="9EC68DDE"/>
    <w:lvl w:ilvl="0" w:tplc="0C09000F">
      <w:start w:val="1"/>
      <w:numFmt w:val="decimal"/>
      <w:lvlText w:val="%1."/>
      <w:lvlJc w:val="left"/>
      <w:pPr>
        <w:ind w:left="88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E8F11E">
      <w:numFmt w:val="bullet"/>
      <w:lvlText w:val="o"/>
      <w:lvlJc w:val="left"/>
      <w:pPr>
        <w:ind w:left="12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46A664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3" w:tplc="ED4E6F56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CC383EA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B9E4D500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6" w:tplc="F9E2DA2C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7" w:tplc="512450FA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8" w:tplc="1EAAC31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9E46D9"/>
    <w:multiLevelType w:val="hybridMultilevel"/>
    <w:tmpl w:val="6A28FD52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581062744">
    <w:abstractNumId w:val="0"/>
  </w:num>
  <w:num w:numId="2" w16cid:durableId="18298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53"/>
    <w:rsid w:val="00015979"/>
    <w:rsid w:val="00023E34"/>
    <w:rsid w:val="0003242F"/>
    <w:rsid w:val="000613C1"/>
    <w:rsid w:val="00087DE0"/>
    <w:rsid w:val="000E65DF"/>
    <w:rsid w:val="000F4775"/>
    <w:rsid w:val="001052DC"/>
    <w:rsid w:val="00121EC2"/>
    <w:rsid w:val="00132EEB"/>
    <w:rsid w:val="00166096"/>
    <w:rsid w:val="00193FB6"/>
    <w:rsid w:val="001A25AE"/>
    <w:rsid w:val="00203A05"/>
    <w:rsid w:val="00214C94"/>
    <w:rsid w:val="00241D7B"/>
    <w:rsid w:val="002630EA"/>
    <w:rsid w:val="002758CD"/>
    <w:rsid w:val="002816B4"/>
    <w:rsid w:val="002D3F4E"/>
    <w:rsid w:val="002F063F"/>
    <w:rsid w:val="00350BDE"/>
    <w:rsid w:val="00366D72"/>
    <w:rsid w:val="00387090"/>
    <w:rsid w:val="00391E0F"/>
    <w:rsid w:val="003C029F"/>
    <w:rsid w:val="003C6A83"/>
    <w:rsid w:val="003F6D2C"/>
    <w:rsid w:val="00434A87"/>
    <w:rsid w:val="00477F46"/>
    <w:rsid w:val="004A4A1A"/>
    <w:rsid w:val="004A6FA7"/>
    <w:rsid w:val="004B2447"/>
    <w:rsid w:val="004B624C"/>
    <w:rsid w:val="00527DE6"/>
    <w:rsid w:val="005414F2"/>
    <w:rsid w:val="00555241"/>
    <w:rsid w:val="00595E38"/>
    <w:rsid w:val="005A78BF"/>
    <w:rsid w:val="005B1454"/>
    <w:rsid w:val="005B7E68"/>
    <w:rsid w:val="005E51E2"/>
    <w:rsid w:val="00613A16"/>
    <w:rsid w:val="00624C24"/>
    <w:rsid w:val="00641367"/>
    <w:rsid w:val="0065538F"/>
    <w:rsid w:val="006715C6"/>
    <w:rsid w:val="006959D6"/>
    <w:rsid w:val="00704780"/>
    <w:rsid w:val="0071622A"/>
    <w:rsid w:val="00725552"/>
    <w:rsid w:val="0074208C"/>
    <w:rsid w:val="00755E91"/>
    <w:rsid w:val="00775421"/>
    <w:rsid w:val="007754A7"/>
    <w:rsid w:val="00792275"/>
    <w:rsid w:val="007E50DE"/>
    <w:rsid w:val="007E530F"/>
    <w:rsid w:val="00804898"/>
    <w:rsid w:val="00811DA9"/>
    <w:rsid w:val="00842ABE"/>
    <w:rsid w:val="00870E8F"/>
    <w:rsid w:val="00883525"/>
    <w:rsid w:val="0089509C"/>
    <w:rsid w:val="008C3736"/>
    <w:rsid w:val="008E6148"/>
    <w:rsid w:val="00915153"/>
    <w:rsid w:val="0093457A"/>
    <w:rsid w:val="00936D93"/>
    <w:rsid w:val="00947AAA"/>
    <w:rsid w:val="00980810"/>
    <w:rsid w:val="009A2EC8"/>
    <w:rsid w:val="009A4C57"/>
    <w:rsid w:val="009D0175"/>
    <w:rsid w:val="009D65C0"/>
    <w:rsid w:val="00A2095B"/>
    <w:rsid w:val="00A261E6"/>
    <w:rsid w:val="00A3405E"/>
    <w:rsid w:val="00A53171"/>
    <w:rsid w:val="00A5489C"/>
    <w:rsid w:val="00A70E0C"/>
    <w:rsid w:val="00A71CA2"/>
    <w:rsid w:val="00A76106"/>
    <w:rsid w:val="00AE5110"/>
    <w:rsid w:val="00AE763C"/>
    <w:rsid w:val="00B713CD"/>
    <w:rsid w:val="00B734A3"/>
    <w:rsid w:val="00B85055"/>
    <w:rsid w:val="00BA3CE1"/>
    <w:rsid w:val="00BC7576"/>
    <w:rsid w:val="00BD131D"/>
    <w:rsid w:val="00BD3EEC"/>
    <w:rsid w:val="00BE3AAD"/>
    <w:rsid w:val="00C06A2E"/>
    <w:rsid w:val="00C17325"/>
    <w:rsid w:val="00C518F4"/>
    <w:rsid w:val="00C70531"/>
    <w:rsid w:val="00C837A3"/>
    <w:rsid w:val="00D15BFA"/>
    <w:rsid w:val="00D2683C"/>
    <w:rsid w:val="00D27D5A"/>
    <w:rsid w:val="00D309DA"/>
    <w:rsid w:val="00D55340"/>
    <w:rsid w:val="00D85A04"/>
    <w:rsid w:val="00D90048"/>
    <w:rsid w:val="00DA5AC6"/>
    <w:rsid w:val="00DD6B82"/>
    <w:rsid w:val="00DE191D"/>
    <w:rsid w:val="00DF09D8"/>
    <w:rsid w:val="00E12244"/>
    <w:rsid w:val="00E12D17"/>
    <w:rsid w:val="00E42281"/>
    <w:rsid w:val="00E512B5"/>
    <w:rsid w:val="00E60DC4"/>
    <w:rsid w:val="00E76D62"/>
    <w:rsid w:val="00E839E1"/>
    <w:rsid w:val="00EC4444"/>
    <w:rsid w:val="00EF7C2B"/>
    <w:rsid w:val="00F14E99"/>
    <w:rsid w:val="00F25280"/>
    <w:rsid w:val="00F5574D"/>
    <w:rsid w:val="00F55EA0"/>
    <w:rsid w:val="00F673F7"/>
    <w:rsid w:val="00F8248E"/>
    <w:rsid w:val="00FB22F5"/>
    <w:rsid w:val="00FC7D88"/>
    <w:rsid w:val="00FD3157"/>
    <w:rsid w:val="00FD3317"/>
    <w:rsid w:val="00FF6C9B"/>
    <w:rsid w:val="14445E41"/>
    <w:rsid w:val="2D400AFD"/>
    <w:rsid w:val="353BB5CE"/>
    <w:rsid w:val="37705DA4"/>
    <w:rsid w:val="5C6FDABC"/>
    <w:rsid w:val="6782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1B9E"/>
  <w15:docId w15:val="{6504CF31-B685-4455-9E6E-B44B067E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9" w:right="39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15BFA"/>
    <w:pPr>
      <w:widowControl/>
      <w:autoSpaceDE/>
      <w:autoSpaceDN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8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83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8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2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0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5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0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53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92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27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27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elleg@parliament.wa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liament.wa.gov.au/Parliament/commit.nsf/WCurrentNameNew/128301C05EFC3D7A48258CD7000E7BA6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4A3DA1AEBBA04EABBD37CE9141504FCB" version="1.0.0">
  <systemFields>
    <field name="Objective-Id">
      <value order="0">A1227371</value>
    </field>
    <field name="Objective-Title">
      <value order="0">Premier's Circular 2025-14 - Marked up for submission to DPC</value>
    </field>
    <field name="Objective-Description">
      <value order="0"/>
    </field>
    <field name="Objective-CreationStamp">
      <value order="0">2026-03-10T09:47:52Z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2026-03-16T04:52:48Z</value>
    </field>
    <field name="Objective-Owner">
      <value order="0">Wong, Denise</value>
    </field>
    <field name="Objective-Path">
      <value order="0">Parliament of Western Australia:Legislative Council:Parliamentary Committees:AA Delegated Legislation Committee (DG42):Procedures:EM Directions:Staff notes on EM Directions</value>
    </field>
    <field name="Objective-Parent">
      <value order="0">Staff notes on EM Directions</value>
    </field>
    <field name="Objective-State">
      <value order="0">Being Drafted</value>
    </field>
    <field name="Objective-VersionId">
      <value order="0">vA2309531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LC Document - General Type Catalogue" type="type" ori="id:cA15">
      <field name="Objective-Parliament">
        <value order="0">42</value>
      </field>
      <field name="Objective-Session">
        <value order="0">1</value>
      </field>
      <field name="Objective-DLC Committee Name">
        <value order="0">Delegated Legislation Committee</value>
      </field>
      <field name="Objective-DLC Inquiry Code">
        <value order="0">All</value>
      </field>
      <field name="Objective-Comments">
        <value order="0"/>
      </field>
      <field name="Objective-Archive Box Number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6" ma:contentTypeDescription="Create a new document." ma:contentTypeScope="" ma:versionID="cc2433822f72038f22bc7ce5132b01d0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6b344f487b3ab78e9ba1c8fba0e86416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A3DA1AEBBA04EABBD37CE9141504FCB"/>
  </ds:schemaRefs>
</ds:datastoreItem>
</file>

<file path=customXml/itemProps2.xml><?xml version="1.0" encoding="utf-8"?>
<ds:datastoreItem xmlns:ds="http://schemas.openxmlformats.org/officeDocument/2006/customXml" ds:itemID="{67C23072-5B3F-4ABE-8B01-928C892FDE01}">
  <ds:schemaRefs>
    <ds:schemaRef ds:uri="http://schemas.microsoft.com/office/2006/metadata/properties"/>
    <ds:schemaRef ds:uri="http://schemas.microsoft.com/office/infopath/2007/PartnerControls"/>
    <ds:schemaRef ds:uri="61a9b932-67e4-4cd3-a5fb-a9b7cbda205a"/>
    <ds:schemaRef ds:uri="612de49e-c92e-4f84-99d1-deb55683ac0e"/>
  </ds:schemaRefs>
</ds:datastoreItem>
</file>

<file path=customXml/itemProps3.xml><?xml version="1.0" encoding="utf-8"?>
<ds:datastoreItem xmlns:ds="http://schemas.openxmlformats.org/officeDocument/2006/customXml" ds:itemID="{4C43EB15-18B0-4697-8B9B-C90E7D91C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E6121-E755-45DD-9FF4-F5991DA294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E0E47E-89EF-4FE8-8F4C-5FC9D7E2E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651</Words>
  <Characters>3728</Characters>
  <Application>Microsoft Office Word</Application>
  <DocSecurity>0</DocSecurity>
  <Lines>116</Lines>
  <Paragraphs>46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Conn</dc:creator>
  <cp:lastModifiedBy>Currie, Teneale</cp:lastModifiedBy>
  <cp:revision>12</cp:revision>
  <dcterms:created xsi:type="dcterms:W3CDTF">2026-04-21T05:55:00Z</dcterms:created>
  <dcterms:modified xsi:type="dcterms:W3CDTF">2026-06-11T03:39:00Z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macOS Version 14.5 (Build 23F79) Quartz PDFContext</vt:lpwstr>
  </property>
  <property fmtid="{D5CDD505-2E9C-101B-9397-08002B2CF9AE}" pid="5" name="Customer-Id">
    <vt:lpwstr>4A3DA1AEBBA04EABBD37CE9141504FCB</vt:lpwstr>
  </property>
  <property fmtid="{D5CDD505-2E9C-101B-9397-08002B2CF9AE}" pid="6" name="Objective-Id">
    <vt:lpwstr>A1227371</vt:lpwstr>
  </property>
  <property fmtid="{D5CDD505-2E9C-101B-9397-08002B2CF9AE}" pid="7" name="Objective-Title">
    <vt:lpwstr>Premier's Circular 2025-14 - Marked up for submission to DPC</vt:lpwstr>
  </property>
  <property fmtid="{D5CDD505-2E9C-101B-9397-08002B2CF9AE}" pid="8" name="Objective-Description">
    <vt:lpwstr/>
  </property>
  <property fmtid="{D5CDD505-2E9C-101B-9397-08002B2CF9AE}" pid="9" name="Objective-CreationStamp">
    <vt:filetime>2026-03-10T09:47:52Z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false</vt:bool>
  </property>
  <property fmtid="{D5CDD505-2E9C-101B-9397-08002B2CF9AE}" pid="12" name="Objective-DatePublished">
    <vt:lpwstr/>
  </property>
  <property fmtid="{D5CDD505-2E9C-101B-9397-08002B2CF9AE}" pid="13" name="Objective-ModificationStamp">
    <vt:filetime>2026-03-16T04:52:48Z</vt:filetime>
  </property>
  <property fmtid="{D5CDD505-2E9C-101B-9397-08002B2CF9AE}" pid="14" name="Objective-Owner">
    <vt:lpwstr>Wong, Denise</vt:lpwstr>
  </property>
  <property fmtid="{D5CDD505-2E9C-101B-9397-08002B2CF9AE}" pid="15" name="Objective-Path">
    <vt:lpwstr>Parliament of Western Australia:Legislative Council:Parliamentary Committees:AA Delegated Legislation Committee (DG42):Procedures:EM Directions:Staff notes on EM Directions</vt:lpwstr>
  </property>
  <property fmtid="{D5CDD505-2E9C-101B-9397-08002B2CF9AE}" pid="16" name="Objective-Parent">
    <vt:lpwstr>Staff notes on EM Directions</vt:lpwstr>
  </property>
  <property fmtid="{D5CDD505-2E9C-101B-9397-08002B2CF9AE}" pid="17" name="Objective-State">
    <vt:lpwstr>Being Drafted</vt:lpwstr>
  </property>
  <property fmtid="{D5CDD505-2E9C-101B-9397-08002B2CF9AE}" pid="18" name="Objective-VersionId">
    <vt:lpwstr>vA2309531</vt:lpwstr>
  </property>
  <property fmtid="{D5CDD505-2E9C-101B-9397-08002B2CF9AE}" pid="19" name="Objective-Version">
    <vt:lpwstr>2.1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/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Parliament">
    <vt:lpwstr>42</vt:lpwstr>
  </property>
  <property fmtid="{D5CDD505-2E9C-101B-9397-08002B2CF9AE}" pid="26" name="Objective-Session">
    <vt:lpwstr>1</vt:lpwstr>
  </property>
  <property fmtid="{D5CDD505-2E9C-101B-9397-08002B2CF9AE}" pid="27" name="Objective-DLC Committee Name">
    <vt:lpwstr>Delegated Legislation Committee</vt:lpwstr>
  </property>
  <property fmtid="{D5CDD505-2E9C-101B-9397-08002B2CF9AE}" pid="28" name="Objective-DLC Inquiry Code">
    <vt:lpwstr>All</vt:lpwstr>
  </property>
  <property fmtid="{D5CDD505-2E9C-101B-9397-08002B2CF9AE}" pid="29" name="Objective-Comments">
    <vt:lpwstr/>
  </property>
  <property fmtid="{D5CDD505-2E9C-101B-9397-08002B2CF9AE}" pid="30" name="Objective-Archive Box Number">
    <vt:lpwstr/>
  </property>
  <property fmtid="{D5CDD505-2E9C-101B-9397-08002B2CF9AE}" pid="31" name="ContentTypeId">
    <vt:lpwstr>0x0101004F95E4B3CC107949914281882C540850</vt:lpwstr>
  </property>
  <property fmtid="{D5CDD505-2E9C-101B-9397-08002B2CF9AE}" pid="32" name="MSIP_Label_116cf7cf-4bad-475a-a557-f71d08d59046_Enabled">
    <vt:lpwstr>true</vt:lpwstr>
  </property>
  <property fmtid="{D5CDD505-2E9C-101B-9397-08002B2CF9AE}" pid="33" name="MSIP_Label_116cf7cf-4bad-475a-a557-f71d08d59046_SetDate">
    <vt:lpwstr>2026-04-21T05:55:09Z</vt:lpwstr>
  </property>
  <property fmtid="{D5CDD505-2E9C-101B-9397-08002B2CF9AE}" pid="34" name="MSIP_Label_116cf7cf-4bad-475a-a557-f71d08d59046_Method">
    <vt:lpwstr>Standard</vt:lpwstr>
  </property>
  <property fmtid="{D5CDD505-2E9C-101B-9397-08002B2CF9AE}" pid="35" name="MSIP_Label_116cf7cf-4bad-475a-a557-f71d08d59046_Name">
    <vt:lpwstr>OFFICIAL [ Office ]</vt:lpwstr>
  </property>
  <property fmtid="{D5CDD505-2E9C-101B-9397-08002B2CF9AE}" pid="36" name="MSIP_Label_116cf7cf-4bad-475a-a557-f71d08d59046_SiteId">
    <vt:lpwstr>d48144b5-571f-4b68-9721-e41bc0071e17</vt:lpwstr>
  </property>
  <property fmtid="{D5CDD505-2E9C-101B-9397-08002B2CF9AE}" pid="37" name="MSIP_Label_116cf7cf-4bad-475a-a557-f71d08d59046_ActionId">
    <vt:lpwstr>44e23176-58a9-4d0a-bd50-c981938ff0ed</vt:lpwstr>
  </property>
  <property fmtid="{D5CDD505-2E9C-101B-9397-08002B2CF9AE}" pid="38" name="MSIP_Label_116cf7cf-4bad-475a-a557-f71d08d59046_ContentBits">
    <vt:lpwstr>0</vt:lpwstr>
  </property>
  <property fmtid="{D5CDD505-2E9C-101B-9397-08002B2CF9AE}" pid="39" name="MSIP_Label_116cf7cf-4bad-475a-a557-f71d08d59046_Tag">
    <vt:lpwstr>10, 3, 0, 2</vt:lpwstr>
  </property>
  <property fmtid="{D5CDD505-2E9C-101B-9397-08002B2CF9AE}" pid="40" name="MediaServiceImageTags">
    <vt:lpwstr/>
  </property>
  <property fmtid="{D5CDD505-2E9C-101B-9397-08002B2CF9AE}" pid="41" name="_AdHocReviewCycleID">
    <vt:i4>-788432691</vt:i4>
  </property>
  <property fmtid="{D5CDD505-2E9C-101B-9397-08002B2CF9AE}" pid="42" name="_NewReviewCycle">
    <vt:lpwstr/>
  </property>
  <property fmtid="{D5CDD505-2E9C-101B-9397-08002B2CF9AE}" pid="43" name="_EmailSubject">
    <vt:lpwstr>New Premier's Circular </vt:lpwstr>
  </property>
  <property fmtid="{D5CDD505-2E9C-101B-9397-08002B2CF9AE}" pid="44" name="_AuthorEmail">
    <vt:lpwstr>premierscirculars@dpc.wa.gov.au</vt:lpwstr>
  </property>
  <property fmtid="{D5CDD505-2E9C-101B-9397-08002B2CF9AE}" pid="45" name="_AuthorEmailDisplayName">
    <vt:lpwstr>Premiers Circulars</vt:lpwstr>
  </property>
</Properties>
</file>