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0864ACAE" w14:textId="77777777" w:rsidR="005B0E5C" w:rsidRDefault="005B0E5C" w:rsidP="005B0E5C">
      <w:pPr>
        <w:pStyle w:val="Heading1"/>
      </w:pPr>
      <w:r w:rsidRPr="005B0E5C">
        <w:t>Guide: Applicant assessment options</w:t>
      </w:r>
    </w:p>
    <w:p w14:paraId="08998341" w14:textId="77777777" w:rsidR="005B0E5C" w:rsidRPr="005B0E5C" w:rsidRDefault="005B0E5C" w:rsidP="00425E1D">
      <w:pPr>
        <w:spacing w:after="120"/>
        <w:rPr>
          <w:b/>
          <w:bCs/>
        </w:rPr>
      </w:pPr>
      <w:r w:rsidRPr="005B0E5C">
        <w:rPr>
          <w:b/>
          <w:bCs/>
        </w:rPr>
        <w:t>Assessment methods you can design yourself</w:t>
      </w:r>
    </w:p>
    <w:p w14:paraId="044D08EB" w14:textId="77777777" w:rsidR="005B0E5C" w:rsidRDefault="005B0E5C" w:rsidP="00425E1D">
      <w:pPr>
        <w:pStyle w:val="BulletPointL1"/>
        <w:spacing w:after="120"/>
        <w:ind w:hanging="357"/>
        <w:contextualSpacing w:val="0"/>
      </w:pPr>
      <w:r w:rsidRPr="005B0E5C">
        <w:rPr>
          <w:b/>
          <w:bCs/>
        </w:rPr>
        <w:t xml:space="preserve">Telephone or video screening interviews </w:t>
      </w:r>
      <w:r>
        <w:t>are useful ways to gather information about applicants’ communication, interpersonal and leadership capabilities. They add extra context to information provided in the written application, often to inform shortlisting.</w:t>
      </w:r>
    </w:p>
    <w:p w14:paraId="1A5BCA9B" w14:textId="77777777" w:rsidR="005B0E5C" w:rsidRDefault="005B0E5C" w:rsidP="00425E1D">
      <w:pPr>
        <w:pStyle w:val="BulletPointL1"/>
        <w:spacing w:after="120"/>
        <w:ind w:hanging="357"/>
        <w:contextualSpacing w:val="0"/>
      </w:pPr>
      <w:r w:rsidRPr="005B0E5C">
        <w:rPr>
          <w:b/>
          <w:bCs/>
        </w:rPr>
        <w:t>Structured interviews</w:t>
      </w:r>
      <w:r>
        <w:t xml:space="preserve"> provide a way to meet applicants and assess them in a consistent manner. While interviews are the most common assessment method across the public sector, they are not mandatory and have some limitations so – if used at all – are best used in conjunction with other assessments.</w:t>
      </w:r>
    </w:p>
    <w:p w14:paraId="4E786EBB" w14:textId="77777777" w:rsidR="005B0E5C" w:rsidRDefault="005B0E5C" w:rsidP="00425E1D">
      <w:pPr>
        <w:pStyle w:val="BulletPointL1"/>
        <w:spacing w:after="120"/>
        <w:ind w:hanging="357"/>
        <w:contextualSpacing w:val="0"/>
      </w:pPr>
      <w:r w:rsidRPr="005B0E5C">
        <w:rPr>
          <w:b/>
          <w:bCs/>
        </w:rPr>
        <w:t>Unstructured interviews</w:t>
      </w:r>
      <w:r>
        <w:t xml:space="preserve"> are informal and flexible with no fixed set of questions, although typically there is a defined purpose. They enable assessors to explore areas of interest/relevance that are specific to individual applicants. They are often used towards the end of a selection process.</w:t>
      </w:r>
    </w:p>
    <w:p w14:paraId="7D3CCE47" w14:textId="77777777" w:rsidR="005B0E5C" w:rsidRDefault="005B0E5C" w:rsidP="00425E1D">
      <w:pPr>
        <w:pStyle w:val="BulletPointL1"/>
        <w:spacing w:after="120"/>
        <w:ind w:hanging="357"/>
        <w:contextualSpacing w:val="0"/>
      </w:pPr>
      <w:r w:rsidRPr="005B0E5C">
        <w:rPr>
          <w:b/>
          <w:bCs/>
        </w:rPr>
        <w:t xml:space="preserve">Casual interviews </w:t>
      </w:r>
      <w:r>
        <w:t>provide an informal setting for a relaxed discussion, possibly one on one, while still providing valuable information to guide assessment and decision making.</w:t>
      </w:r>
    </w:p>
    <w:p w14:paraId="20C26B89" w14:textId="77777777" w:rsidR="005B0E5C" w:rsidRDefault="005B0E5C" w:rsidP="00425E1D">
      <w:pPr>
        <w:pStyle w:val="BulletPointL1"/>
        <w:spacing w:after="120"/>
        <w:ind w:hanging="357"/>
        <w:contextualSpacing w:val="0"/>
      </w:pPr>
      <w:r w:rsidRPr="005B0E5C">
        <w:rPr>
          <w:b/>
          <w:bCs/>
        </w:rPr>
        <w:t>Group interviews</w:t>
      </w:r>
      <w:r>
        <w:t xml:space="preserve"> allow larger numbers of applicants to be efficiently assessed at the same time. They can take place in assessment centres where multiple activities are undertaken to evaluate the cognitive and social abilities of applicants to collaborate, work together and solve problems.</w:t>
      </w:r>
    </w:p>
    <w:p w14:paraId="5DA4366B" w14:textId="7FAC3CAF" w:rsidR="005B0E5C" w:rsidRDefault="005B0E5C" w:rsidP="00425E1D">
      <w:pPr>
        <w:pStyle w:val="BulletPointL1"/>
        <w:spacing w:after="120"/>
        <w:ind w:hanging="357"/>
        <w:contextualSpacing w:val="0"/>
      </w:pPr>
      <w:r w:rsidRPr="005B0E5C">
        <w:rPr>
          <w:b/>
          <w:bCs/>
        </w:rPr>
        <w:t xml:space="preserve">Work based tests </w:t>
      </w:r>
      <w:r>
        <w:t>measure critical knowledge and skills needed to perform the job such as an ability to use equipment or software, write a briefing note, identify IT network requirements or propose a consultation strategy for a policy matter. Someone who knows the job well can design a work based test.</w:t>
      </w:r>
    </w:p>
    <w:p w14:paraId="7FC883EE" w14:textId="77777777" w:rsidR="005B0E5C" w:rsidRPr="005B0E5C" w:rsidRDefault="005B0E5C" w:rsidP="00425E1D">
      <w:pPr>
        <w:spacing w:before="240" w:after="120"/>
        <w:rPr>
          <w:b/>
          <w:bCs/>
        </w:rPr>
      </w:pPr>
      <w:r w:rsidRPr="005B0E5C">
        <w:rPr>
          <w:b/>
          <w:bCs/>
        </w:rPr>
        <w:t>Assessments requiring a certified user to administer</w:t>
      </w:r>
    </w:p>
    <w:p w14:paraId="4A7A323A" w14:textId="77777777" w:rsidR="005B0E5C" w:rsidRDefault="005B0E5C" w:rsidP="00425E1D">
      <w:pPr>
        <w:pStyle w:val="BulletPointL1"/>
        <w:spacing w:after="120"/>
        <w:ind w:hanging="357"/>
        <w:contextualSpacing w:val="0"/>
      </w:pPr>
      <w:r w:rsidRPr="005B0E5C">
        <w:rPr>
          <w:b/>
          <w:bCs/>
        </w:rPr>
        <w:t xml:space="preserve">Cognitive ability </w:t>
      </w:r>
      <w:r w:rsidRPr="00B12CB9">
        <w:t>tests</w:t>
      </w:r>
      <w:r>
        <w:t xml:space="preserve"> are usually timed and completed online. They can tell you how well applicants can solve problems and apply logical thinking – skills that are essential for most jobs.</w:t>
      </w:r>
    </w:p>
    <w:p w14:paraId="4CE5C325" w14:textId="77777777" w:rsidR="005B0E5C" w:rsidRDefault="005B0E5C" w:rsidP="00425E1D">
      <w:pPr>
        <w:pStyle w:val="BulletPointL1"/>
        <w:spacing w:after="120"/>
        <w:ind w:hanging="357"/>
        <w:contextualSpacing w:val="0"/>
      </w:pPr>
      <w:r w:rsidRPr="005B0E5C">
        <w:rPr>
          <w:b/>
          <w:bCs/>
        </w:rPr>
        <w:t>Psychometric tests</w:t>
      </w:r>
      <w:r w:rsidRPr="00B12CB9">
        <w:t xml:space="preserve"> </w:t>
      </w:r>
      <w:r>
        <w:t xml:space="preserve">identify the thought processes and behavioural traits of applicants. They can be broad or have a specific focus such as emotional intelligence, customer service, leadership or managerial skills. You can choose to incorporate all traits or only some into assessments, depending on the criteria being assessed. </w:t>
      </w:r>
    </w:p>
    <w:p w14:paraId="257C47BF" w14:textId="77777777" w:rsidR="005B0E5C" w:rsidRDefault="005B0E5C" w:rsidP="00425E1D">
      <w:pPr>
        <w:pStyle w:val="BulletPointL1"/>
        <w:spacing w:after="120"/>
        <w:ind w:hanging="357"/>
        <w:contextualSpacing w:val="0"/>
      </w:pPr>
      <w:r w:rsidRPr="00B12CB9">
        <w:t>I</w:t>
      </w:r>
      <w:r w:rsidRPr="005B0E5C">
        <w:rPr>
          <w:b/>
          <w:bCs/>
        </w:rPr>
        <w:t xml:space="preserve">ntegrity tests </w:t>
      </w:r>
      <w:r>
        <w:t>measure applicants’ attitudes and experiences related to integrity such as honesty, trustworthiness, dependability, reliability and social skills.</w:t>
      </w:r>
    </w:p>
    <w:p w14:paraId="22F693CE" w14:textId="012B3AE5" w:rsidR="00173574" w:rsidRPr="00B01F21" w:rsidRDefault="005B0E5C" w:rsidP="00425E1D">
      <w:pPr>
        <w:pStyle w:val="BulletPointL1"/>
        <w:spacing w:after="120"/>
        <w:ind w:hanging="357"/>
        <w:contextualSpacing w:val="0"/>
      </w:pPr>
      <w:r w:rsidRPr="005B0E5C">
        <w:rPr>
          <w:b/>
          <w:bCs/>
        </w:rPr>
        <w:t>Risk tests</w:t>
      </w:r>
      <w:r>
        <w:t xml:space="preserve"> measure workplace safety which predicts the likelihood of applicants engaging in risk taking behaviour or condoning risky behaviour in others. They help predict the probability of being involved in accidents and injuries at work.</w:t>
      </w:r>
    </w:p>
    <w:sectPr w:rsidR="00173574" w:rsidRPr="00B01F21" w:rsidSect="00480284">
      <w:headerReference w:type="default" r:id="rId9"/>
      <w:footerReference w:type="default" r:id="rId10"/>
      <w:footerReference w:type="first" r:id="rId11"/>
      <w:pgSz w:w="11906" w:h="16838"/>
      <w:pgMar w:top="284" w:right="1134" w:bottom="1440"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FF71" w14:textId="77777777" w:rsidR="00DB7590" w:rsidRDefault="00DB7590" w:rsidP="005374BD">
      <w:r>
        <w:separator/>
      </w:r>
    </w:p>
  </w:endnote>
  <w:endnote w:type="continuationSeparator" w:id="0">
    <w:p w14:paraId="0DBA5190" w14:textId="77777777" w:rsidR="00DB7590" w:rsidRDefault="00DB7590"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046FFB81"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002E33AD" w:rsidRPr="002E33AD">
          <w:rPr>
            <w:noProof/>
          </w:rPr>
          <w:t>PSC26025765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71EFA1DF" w:rsidR="001836C9" w:rsidRPr="005B0E5C" w:rsidRDefault="005B0E5C" w:rsidP="005B0E5C">
    <w:pPr>
      <w:pStyle w:val="Footer"/>
      <w:jc w:val="right"/>
    </w:pPr>
    <w:r w:rsidRPr="005B0E5C">
      <w:t>PSC26025752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D4FE" w14:textId="77777777" w:rsidR="00DB7590" w:rsidRDefault="00DB7590" w:rsidP="005374BD">
      <w:r>
        <w:separator/>
      </w:r>
    </w:p>
  </w:footnote>
  <w:footnote w:type="continuationSeparator" w:id="0">
    <w:p w14:paraId="48C37E11" w14:textId="77777777" w:rsidR="00DB7590" w:rsidRDefault="00DB7590"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17604FD7" w:rsidR="004B2B75" w:rsidRPr="004B2B75" w:rsidRDefault="004B2B75" w:rsidP="00DC1E77">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FE23DE"/>
    <w:multiLevelType w:val="hybridMultilevel"/>
    <w:tmpl w:val="B1209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1822C5"/>
    <w:multiLevelType w:val="multilevel"/>
    <w:tmpl w:val="C534E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467DE2"/>
    <w:multiLevelType w:val="hybridMultilevel"/>
    <w:tmpl w:val="20689ECC"/>
    <w:lvl w:ilvl="0" w:tplc="C1766012">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D16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822E4A"/>
    <w:multiLevelType w:val="hybridMultilevel"/>
    <w:tmpl w:val="297CEA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18" w15:restartNumberingAfterBreak="0">
    <w:nsid w:val="441B02F2"/>
    <w:multiLevelType w:val="hybridMultilevel"/>
    <w:tmpl w:val="4AB0D93A"/>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9"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0"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3"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4" w15:restartNumberingAfterBreak="0">
    <w:nsid w:val="5E732710"/>
    <w:multiLevelType w:val="hybridMultilevel"/>
    <w:tmpl w:val="F6AE0982"/>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26" w15:restartNumberingAfterBreak="0">
    <w:nsid w:val="60A0341E"/>
    <w:multiLevelType w:val="hybridMultilevel"/>
    <w:tmpl w:val="1F50B7A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647D51B3"/>
    <w:multiLevelType w:val="hybridMultilevel"/>
    <w:tmpl w:val="16287BEA"/>
    <w:lvl w:ilvl="0" w:tplc="205A9342">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0"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2"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76171483"/>
    <w:multiLevelType w:val="hybridMultilevel"/>
    <w:tmpl w:val="21926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471339">
    <w:abstractNumId w:val="8"/>
  </w:num>
  <w:num w:numId="2" w16cid:durableId="934901339">
    <w:abstractNumId w:val="30"/>
  </w:num>
  <w:num w:numId="3" w16cid:durableId="1460107213">
    <w:abstractNumId w:val="0"/>
  </w:num>
  <w:num w:numId="4" w16cid:durableId="1140150976">
    <w:abstractNumId w:val="20"/>
  </w:num>
  <w:num w:numId="5" w16cid:durableId="2059475070">
    <w:abstractNumId w:val="21"/>
  </w:num>
  <w:num w:numId="6" w16cid:durableId="1048720529">
    <w:abstractNumId w:val="29"/>
  </w:num>
  <w:num w:numId="7" w16cid:durableId="466164714">
    <w:abstractNumId w:val="13"/>
  </w:num>
  <w:num w:numId="8" w16cid:durableId="307134254">
    <w:abstractNumId w:val="28"/>
  </w:num>
  <w:num w:numId="9" w16cid:durableId="1649548878">
    <w:abstractNumId w:val="15"/>
  </w:num>
  <w:num w:numId="10" w16cid:durableId="1830290986">
    <w:abstractNumId w:val="12"/>
  </w:num>
  <w:num w:numId="11" w16cid:durableId="1484078211">
    <w:abstractNumId w:val="10"/>
  </w:num>
  <w:num w:numId="12" w16cid:durableId="519509856">
    <w:abstractNumId w:val="32"/>
  </w:num>
  <w:num w:numId="13" w16cid:durableId="663974972">
    <w:abstractNumId w:val="33"/>
  </w:num>
  <w:num w:numId="14" w16cid:durableId="1357383910">
    <w:abstractNumId w:val="6"/>
  </w:num>
  <w:num w:numId="15" w16cid:durableId="356779830">
    <w:abstractNumId w:val="16"/>
  </w:num>
  <w:num w:numId="16" w16cid:durableId="225262472">
    <w:abstractNumId w:val="2"/>
  </w:num>
  <w:num w:numId="17" w16cid:durableId="1569880286">
    <w:abstractNumId w:val="11"/>
  </w:num>
  <w:num w:numId="18" w16cid:durableId="992100058">
    <w:abstractNumId w:val="25"/>
  </w:num>
  <w:num w:numId="19" w16cid:durableId="973099545">
    <w:abstractNumId w:val="23"/>
  </w:num>
  <w:num w:numId="20" w16cid:durableId="313605442">
    <w:abstractNumId w:val="22"/>
  </w:num>
  <w:num w:numId="21" w16cid:durableId="2111970797">
    <w:abstractNumId w:val="19"/>
  </w:num>
  <w:num w:numId="22" w16cid:durableId="1642417477">
    <w:abstractNumId w:val="3"/>
  </w:num>
  <w:num w:numId="23" w16cid:durableId="2044549852">
    <w:abstractNumId w:val="31"/>
  </w:num>
  <w:num w:numId="24" w16cid:durableId="1402169961">
    <w:abstractNumId w:val="4"/>
  </w:num>
  <w:num w:numId="25" w16cid:durableId="1506895166">
    <w:abstractNumId w:val="5"/>
  </w:num>
  <w:num w:numId="26" w16cid:durableId="1273320266">
    <w:abstractNumId w:val="7"/>
  </w:num>
  <w:num w:numId="27" w16cid:durableId="1494685627">
    <w:abstractNumId w:val="9"/>
  </w:num>
  <w:num w:numId="28" w16cid:durableId="402604453">
    <w:abstractNumId w:val="17"/>
  </w:num>
  <w:num w:numId="29" w16cid:durableId="348412432">
    <w:abstractNumId w:val="1"/>
  </w:num>
  <w:num w:numId="30" w16cid:durableId="405303944">
    <w:abstractNumId w:val="24"/>
  </w:num>
  <w:num w:numId="31" w16cid:durableId="1968120345">
    <w:abstractNumId w:val="27"/>
  </w:num>
  <w:num w:numId="32" w16cid:durableId="821432947">
    <w:abstractNumId w:val="34"/>
  </w:num>
  <w:num w:numId="33" w16cid:durableId="2032031083">
    <w:abstractNumId w:val="14"/>
  </w:num>
  <w:num w:numId="34" w16cid:durableId="760836772">
    <w:abstractNumId w:val="26"/>
  </w:num>
  <w:num w:numId="35" w16cid:durableId="1205755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3127E"/>
    <w:rsid w:val="0004675E"/>
    <w:rsid w:val="000536DE"/>
    <w:rsid w:val="000D0BED"/>
    <w:rsid w:val="000E7E30"/>
    <w:rsid w:val="0013178F"/>
    <w:rsid w:val="00151D1F"/>
    <w:rsid w:val="00173574"/>
    <w:rsid w:val="001836C9"/>
    <w:rsid w:val="001E459A"/>
    <w:rsid w:val="00204283"/>
    <w:rsid w:val="0027551F"/>
    <w:rsid w:val="0029575D"/>
    <w:rsid w:val="002E33AD"/>
    <w:rsid w:val="00312E94"/>
    <w:rsid w:val="00337F6A"/>
    <w:rsid w:val="003D09D1"/>
    <w:rsid w:val="003D11C7"/>
    <w:rsid w:val="003E16A7"/>
    <w:rsid w:val="00411A88"/>
    <w:rsid w:val="004173F4"/>
    <w:rsid w:val="00422F00"/>
    <w:rsid w:val="00425E1D"/>
    <w:rsid w:val="004334BB"/>
    <w:rsid w:val="0047177C"/>
    <w:rsid w:val="0047706B"/>
    <w:rsid w:val="00480284"/>
    <w:rsid w:val="004A16AC"/>
    <w:rsid w:val="004B2B75"/>
    <w:rsid w:val="004B6A4E"/>
    <w:rsid w:val="004D526C"/>
    <w:rsid w:val="00520D56"/>
    <w:rsid w:val="005324A0"/>
    <w:rsid w:val="005374BD"/>
    <w:rsid w:val="0056105D"/>
    <w:rsid w:val="00571085"/>
    <w:rsid w:val="00584645"/>
    <w:rsid w:val="00586EC3"/>
    <w:rsid w:val="005A09FA"/>
    <w:rsid w:val="005B0E5C"/>
    <w:rsid w:val="005E3F04"/>
    <w:rsid w:val="00610BB7"/>
    <w:rsid w:val="00662D33"/>
    <w:rsid w:val="00682526"/>
    <w:rsid w:val="0069229A"/>
    <w:rsid w:val="006C2116"/>
    <w:rsid w:val="006C4900"/>
    <w:rsid w:val="006E3A66"/>
    <w:rsid w:val="00700A38"/>
    <w:rsid w:val="00723BA3"/>
    <w:rsid w:val="0072756A"/>
    <w:rsid w:val="007725F4"/>
    <w:rsid w:val="00774A35"/>
    <w:rsid w:val="007E758F"/>
    <w:rsid w:val="007F27D5"/>
    <w:rsid w:val="008100AA"/>
    <w:rsid w:val="00827149"/>
    <w:rsid w:val="00827824"/>
    <w:rsid w:val="00883592"/>
    <w:rsid w:val="008A58C0"/>
    <w:rsid w:val="00971EFD"/>
    <w:rsid w:val="00A40DD0"/>
    <w:rsid w:val="00A44472"/>
    <w:rsid w:val="00B37214"/>
    <w:rsid w:val="00B53E10"/>
    <w:rsid w:val="00B75178"/>
    <w:rsid w:val="00BB50AB"/>
    <w:rsid w:val="00CD1ED9"/>
    <w:rsid w:val="00D76364"/>
    <w:rsid w:val="00DB7590"/>
    <w:rsid w:val="00DC1E77"/>
    <w:rsid w:val="00E1105D"/>
    <w:rsid w:val="00E271D9"/>
    <w:rsid w:val="00E27246"/>
    <w:rsid w:val="00E749E4"/>
    <w:rsid w:val="00E847A9"/>
    <w:rsid w:val="00EB431C"/>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ListParagraph"/>
    <w:next w:val="Normal"/>
    <w:link w:val="Heading2Char"/>
    <w:uiPriority w:val="9"/>
    <w:unhideWhenUsed/>
    <w:qFormat/>
    <w:rsid w:val="00173574"/>
    <w:pPr>
      <w:numPr>
        <w:numId w:val="28"/>
      </w:numPr>
      <w:spacing w:before="240" w:after="120" w:line="300" w:lineRule="atLeast"/>
      <w:ind w:right="0"/>
      <w:outlineLvl w:val="1"/>
    </w:pPr>
    <w:rPr>
      <w:rFonts w:ascii="Century Gothic" w:hAnsi="Century Gothic"/>
      <w:b/>
      <w:bCs/>
      <w:sz w:val="28"/>
      <w:szCs w:val="28"/>
    </w:rPr>
  </w:style>
  <w:style w:type="paragraph" w:styleId="Heading3">
    <w:name w:val="heading 3"/>
    <w:basedOn w:val="Heading2"/>
    <w:next w:val="Normal"/>
    <w:link w:val="Heading3Char"/>
    <w:uiPriority w:val="9"/>
    <w:unhideWhenUsed/>
    <w:qFormat/>
    <w:rsid w:val="00173574"/>
    <w:pPr>
      <w:numPr>
        <w:ilvl w:val="1"/>
      </w:numPr>
      <w:contextualSpacing w:val="0"/>
      <w:outlineLvl w:val="2"/>
    </w:pPr>
    <w:rPr>
      <w:sz w:val="24"/>
      <w:szCs w:val="24"/>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rsid w:val="00173574"/>
    <w:rPr>
      <w:rFonts w:ascii="Century Gothic" w:eastAsia="Times New Roman" w:hAnsi="Century Gothic" w:cs="Arial"/>
      <w:b/>
      <w:bCs/>
      <w:kern w:val="0"/>
      <w:sz w:val="28"/>
      <w:szCs w:val="28"/>
      <w14:ligatures w14:val="none"/>
    </w:rPr>
  </w:style>
  <w:style w:type="character" w:customStyle="1" w:styleId="Heading3Char">
    <w:name w:val="Heading 3 Char"/>
    <w:basedOn w:val="DefaultParagraphFont"/>
    <w:link w:val="Heading3"/>
    <w:uiPriority w:val="9"/>
    <w:rsid w:val="00173574"/>
    <w:rPr>
      <w:rFonts w:ascii="Century Gothic" w:eastAsia="Times New Roman" w:hAnsi="Century Gothic" w:cs="Arial"/>
      <w:b/>
      <w:bCs/>
      <w:kern w:val="0"/>
      <w:szCs w:val="24"/>
      <w14:ligatures w14:val="none"/>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34"/>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422F00"/>
    <w:pPr>
      <w:spacing w:before="60" w:after="60" w:line="240" w:lineRule="auto"/>
      <w:textboxTightWrap w:val="all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 w:type="paragraph" w:styleId="NoSpacing">
    <w:name w:val="No Spacing"/>
    <w:uiPriority w:val="1"/>
    <w:qFormat/>
    <w:rsid w:val="00173574"/>
    <w:pPr>
      <w:spacing w:after="0" w:line="240" w:lineRule="auto"/>
      <w:ind w:left="-284" w:right="-329"/>
    </w:pPr>
    <w:rPr>
      <w:rFonts w:ascii="Arial" w:eastAsia="Times New Roman" w:hAnsi="Arial" w:cs="Cordia New"/>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0</TotalTime>
  <Pages>1</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2026-06-30T03:32:00Z</dcterms:created>
  <dcterms:modified xsi:type="dcterms:W3CDTF">2026-06-30T03:32:00Z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