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3322" w14:textId="77777777" w:rsidR="001F7D18" w:rsidRDefault="001F7D18" w:rsidP="001F7D18">
      <w:pPr>
        <w:spacing w:before="2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5DF8D3" wp14:editId="011F614A">
            <wp:simplePos x="0" y="0"/>
            <wp:positionH relativeFrom="page">
              <wp:posOffset>0</wp:posOffset>
            </wp:positionH>
            <wp:positionV relativeFrom="paragraph">
              <wp:posOffset>-183707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781E1" w14:textId="77777777" w:rsidR="001F7D18" w:rsidRDefault="001F7D18" w:rsidP="001F7D18">
      <w:pPr>
        <w:spacing w:before="240"/>
      </w:pPr>
    </w:p>
    <w:p w14:paraId="426E8F79" w14:textId="77777777" w:rsidR="001F7D18" w:rsidRDefault="001F7D18" w:rsidP="001F7D18">
      <w:pPr>
        <w:spacing w:after="0"/>
      </w:pPr>
    </w:p>
    <w:p w14:paraId="2682DCD1" w14:textId="77777777" w:rsidR="001F7D18" w:rsidRDefault="001F7D18" w:rsidP="001F7D18">
      <w:pPr>
        <w:jc w:val="right"/>
      </w:pPr>
      <w:r>
        <w:t>Change header if using for agency purposes</w:t>
      </w:r>
    </w:p>
    <w:p w14:paraId="5E073AB8" w14:textId="172F674B" w:rsidR="00B53E10" w:rsidRPr="00B53E10" w:rsidRDefault="0056105D" w:rsidP="00312E94">
      <w:pPr>
        <w:pStyle w:val="Heading1"/>
        <w:spacing w:before="360" w:after="120" w:afterAutospacing="0"/>
        <w:ind w:left="-284"/>
      </w:pPr>
      <w:r w:rsidRPr="0056105D">
        <w:t>Checklist: Effective advertisement</w:t>
      </w:r>
    </w:p>
    <w:tbl>
      <w:tblPr>
        <w:tblStyle w:val="CommissionTable1"/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708"/>
        <w:gridCol w:w="9498"/>
      </w:tblGrid>
      <w:tr w:rsidR="0056105D" w:rsidRPr="00860635" w14:paraId="5B1EAFC9" w14:textId="77777777" w:rsidTr="00BB50A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-468581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BD862" w14:textId="77777777" w:rsidR="0056105D" w:rsidRPr="0049293D" w:rsidRDefault="0056105D" w:rsidP="00BB50AB">
                <w:pPr>
                  <w:spacing w:before="60" w:after="60"/>
                  <w:contextualSpacing w:val="0"/>
                  <w:jc w:val="center"/>
                  <w:rPr>
                    <w:color w:val="auto"/>
                  </w:rPr>
                </w:pPr>
                <w:r w:rsidRPr="0049293D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72A911D9" w14:textId="77777777" w:rsidR="0056105D" w:rsidRPr="00BB50AB" w:rsidRDefault="0056105D" w:rsidP="00BB50AB">
            <w:pPr>
              <w:spacing w:before="60" w:after="60"/>
              <w:ind w:left="0" w:right="148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ordia New"/>
              </w:rPr>
            </w:pPr>
            <w:r w:rsidRPr="00BB50AB">
              <w:rPr>
                <w:rFonts w:eastAsia="Calibri" w:cs="Cordia New"/>
              </w:rPr>
              <w:t>Open with a strong headline to attract the attention of your ideal applicants and signal the opportunity.</w:t>
            </w:r>
          </w:p>
        </w:tc>
      </w:tr>
      <w:tr w:rsidR="0056105D" w:rsidRPr="00860635" w14:paraId="4D9DC195" w14:textId="77777777" w:rsidTr="00BB50AB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-61880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A98E5" w14:textId="77777777" w:rsidR="0056105D" w:rsidRPr="0049293D" w:rsidRDefault="0056105D" w:rsidP="00BB50AB">
                <w:pPr>
                  <w:spacing w:before="20" w:after="20"/>
                  <w:contextualSpacing w:val="0"/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1FD87218" w14:textId="77777777" w:rsidR="0056105D" w:rsidRPr="00BB50AB" w:rsidRDefault="0056105D" w:rsidP="00E271D9">
            <w:pPr>
              <w:spacing w:before="20" w:after="20"/>
              <w:ind w:left="0" w:right="147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ordia New"/>
              </w:rPr>
            </w:pPr>
            <w:r w:rsidRPr="00BB50AB">
              <w:rPr>
                <w:rFonts w:eastAsia="Calibri" w:cs="Cordia New"/>
              </w:rPr>
              <w:t xml:space="preserve">Include a summary of the agency/team purpose, role and who it serves.  </w:t>
            </w:r>
          </w:p>
        </w:tc>
      </w:tr>
      <w:tr w:rsidR="0056105D" w:rsidRPr="00860635" w14:paraId="091E7967" w14:textId="77777777" w:rsidTr="00BB50A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735135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185A2E" w14:textId="77777777" w:rsidR="0056105D" w:rsidRDefault="0056105D" w:rsidP="00BB50AB">
                <w:pPr>
                  <w:spacing w:before="20" w:after="20"/>
                  <w:contextualSpacing w:val="0"/>
                  <w:jc w:val="center"/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19486384" w14:textId="77777777" w:rsidR="0056105D" w:rsidRPr="00BB50AB" w:rsidRDefault="0056105D" w:rsidP="00E271D9">
            <w:pPr>
              <w:spacing w:before="20" w:after="20"/>
              <w:ind w:left="0" w:right="147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ordia New"/>
              </w:rPr>
            </w:pPr>
            <w:r w:rsidRPr="00BB50AB">
              <w:rPr>
                <w:rFonts w:eastAsia="Calibri" w:cs="Cordia New"/>
              </w:rPr>
              <w:t>Provide a positive and realistic overview of the vacancy aligned to job requirements. Do not use the full position description.</w:t>
            </w:r>
          </w:p>
        </w:tc>
      </w:tr>
      <w:tr w:rsidR="0056105D" w:rsidRPr="00860635" w14:paraId="788E8AC1" w14:textId="77777777" w:rsidTr="00BB50AB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-2111416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40B9A" w14:textId="77777777" w:rsidR="0056105D" w:rsidRPr="002A5A67" w:rsidRDefault="0056105D" w:rsidP="00BB50AB">
                <w:pPr>
                  <w:spacing w:before="20" w:after="2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0EDE1313" w14:textId="77777777" w:rsidR="0056105D" w:rsidRPr="00BB50AB" w:rsidRDefault="0056105D" w:rsidP="00BB50AB">
            <w:pPr>
              <w:spacing w:before="20" w:after="20"/>
              <w:ind w:left="0" w:right="148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ordia New"/>
              </w:rPr>
            </w:pPr>
            <w:r w:rsidRPr="00BB50AB">
              <w:rPr>
                <w:rFonts w:eastAsia="Calibri" w:cs="Cordia New"/>
              </w:rPr>
              <w:t>Use subheadings to structure information and improve readability.</w:t>
            </w:r>
          </w:p>
        </w:tc>
      </w:tr>
      <w:tr w:rsidR="0056105D" w:rsidRPr="00860635" w14:paraId="2513C380" w14:textId="77777777" w:rsidTr="00BB50A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-2145801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6DF990" w14:textId="77777777" w:rsidR="0056105D" w:rsidRPr="0049293D" w:rsidRDefault="0056105D" w:rsidP="00BB50AB">
                <w:pPr>
                  <w:spacing w:before="20" w:after="2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090BCF13" w14:textId="77777777" w:rsidR="0056105D" w:rsidRPr="00BB50AB" w:rsidRDefault="0056105D" w:rsidP="00BB50AB">
            <w:pPr>
              <w:spacing w:before="20" w:after="20"/>
              <w:ind w:left="0" w:right="148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ordia New"/>
              </w:rPr>
            </w:pPr>
            <w:r w:rsidRPr="00BB50AB">
              <w:rPr>
                <w:rFonts w:eastAsia="Calibri" w:cs="Cordia New"/>
              </w:rPr>
              <w:t>Use short sentences or bullet points to make content easy to read.</w:t>
            </w:r>
          </w:p>
        </w:tc>
      </w:tr>
      <w:tr w:rsidR="0056105D" w:rsidRPr="00860635" w14:paraId="5116378E" w14:textId="77777777" w:rsidTr="00BB50A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-379708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3FD6CD" w14:textId="77777777" w:rsidR="0056105D" w:rsidRPr="00B443E5" w:rsidRDefault="0056105D" w:rsidP="00BB50AB">
                <w:pPr>
                  <w:spacing w:before="60" w:after="6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66202D05" w14:textId="77777777" w:rsidR="0056105D" w:rsidRPr="00BB50AB" w:rsidRDefault="0056105D" w:rsidP="00312E94">
            <w:pPr>
              <w:spacing w:before="60" w:after="0"/>
              <w:ind w:left="0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0AB">
              <w:t>Describe the benefits package presenting the agency as an attractive employer such as:</w:t>
            </w:r>
          </w:p>
          <w:p w14:paraId="7B6BFBA5" w14:textId="77777777" w:rsidR="0056105D" w:rsidRPr="00BB50AB" w:rsidRDefault="0056105D" w:rsidP="00312E94">
            <w:pPr>
              <w:pStyle w:val="BulletPointL1"/>
              <w:numPr>
                <w:ilvl w:val="0"/>
                <w:numId w:val="5"/>
              </w:numPr>
              <w:spacing w:before="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culture and values</w:t>
            </w:r>
          </w:p>
          <w:p w14:paraId="78A1F02F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location and flexibility</w:t>
            </w:r>
          </w:p>
          <w:p w14:paraId="77883607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career development opportunities</w:t>
            </w:r>
          </w:p>
          <w:p w14:paraId="3F8DAD98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wellness and other employee benefits</w:t>
            </w:r>
          </w:p>
          <w:p w14:paraId="39496E38" w14:textId="77777777" w:rsidR="0056105D" w:rsidRPr="00DB73C0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B50AB">
              <w:rPr>
                <w:lang w:eastAsia="zh-CN" w:bidi="th-TH"/>
              </w:rPr>
              <w:t>creative elements that help the agency stand out.</w:t>
            </w:r>
          </w:p>
        </w:tc>
      </w:tr>
      <w:tr w:rsidR="0056105D" w:rsidRPr="00860635" w14:paraId="547517DC" w14:textId="77777777" w:rsidTr="00BB50A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1752616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E1AED" w14:textId="77777777" w:rsidR="0056105D" w:rsidRPr="00B443E5" w:rsidRDefault="0056105D" w:rsidP="00BB50AB">
                <w:pPr>
                  <w:spacing w:before="60" w:after="6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213BD5DC" w14:textId="77777777" w:rsidR="0056105D" w:rsidRPr="00BB50AB" w:rsidRDefault="0056105D" w:rsidP="00312E94">
            <w:pPr>
              <w:spacing w:before="60" w:after="0"/>
              <w:ind w:left="0" w:right="0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0AB">
              <w:t>Explain what the agency is looking for in a new employee including assessment criteria that describe the required:</w:t>
            </w:r>
          </w:p>
          <w:p w14:paraId="0F8811A5" w14:textId="77777777" w:rsidR="0056105D" w:rsidRPr="00BB50AB" w:rsidRDefault="0056105D" w:rsidP="00312E94">
            <w:pPr>
              <w:pStyle w:val="BulletPointL1"/>
              <w:numPr>
                <w:ilvl w:val="0"/>
                <w:numId w:val="5"/>
              </w:numPr>
              <w:spacing w:before="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skills and knowledge</w:t>
            </w:r>
          </w:p>
          <w:p w14:paraId="7219ADAC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characteristics and mindsets</w:t>
            </w:r>
          </w:p>
          <w:p w14:paraId="5E288B4E" w14:textId="77777777" w:rsidR="0056105D" w:rsidRPr="00DB73C0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B50AB">
              <w:rPr>
                <w:lang w:eastAsia="zh-CN" w:bidi="th-TH"/>
              </w:rPr>
              <w:t>behaviours needed for success.</w:t>
            </w:r>
          </w:p>
        </w:tc>
      </w:tr>
      <w:tr w:rsidR="0056105D" w:rsidRPr="00860635" w14:paraId="3961EA80" w14:textId="77777777" w:rsidTr="00BB50A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" w:type="pct"/>
            <w:shd w:val="clear" w:color="auto" w:fill="FFFFFF" w:themeFill="background1"/>
          </w:tcPr>
          <w:sdt>
            <w:sdtPr>
              <w:id w:val="-1892255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213BAC" w14:textId="77777777" w:rsidR="0056105D" w:rsidRPr="00B443E5" w:rsidRDefault="0056105D" w:rsidP="00BB50AB">
                <w:pPr>
                  <w:spacing w:before="60" w:after="6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sdtContent>
          </w:sdt>
        </w:tc>
        <w:tc>
          <w:tcPr>
            <w:tcW w:w="4653" w:type="pct"/>
          </w:tcPr>
          <w:p w14:paraId="34FB0CC7" w14:textId="77777777" w:rsidR="0056105D" w:rsidRPr="00BB50AB" w:rsidRDefault="0056105D" w:rsidP="00312E94">
            <w:pPr>
              <w:spacing w:before="60" w:after="0"/>
              <w:ind w:left="0" w:right="0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0AB">
              <w:t>Use plain and inclusive language that:</w:t>
            </w:r>
          </w:p>
          <w:p w14:paraId="1E25F939" w14:textId="0F220FDB" w:rsidR="0056105D" w:rsidRPr="00BB50AB" w:rsidRDefault="0056105D" w:rsidP="00312E94">
            <w:pPr>
              <w:pStyle w:val="BulletPointL1"/>
              <w:numPr>
                <w:ilvl w:val="0"/>
                <w:numId w:val="5"/>
              </w:numPr>
              <w:spacing w:before="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 xml:space="preserve">is positive and applicant focused (for example, “You have the opportunity to …” </w:t>
            </w:r>
            <w:r w:rsidR="00BB50AB">
              <w:rPr>
                <w:lang w:eastAsia="zh-CN" w:bidi="th-TH"/>
              </w:rPr>
              <w:br/>
            </w:r>
            <w:r w:rsidRPr="00BB50AB">
              <w:rPr>
                <w:lang w:eastAsia="zh-CN" w:bidi="th-TH"/>
              </w:rPr>
              <w:t>rather than “The successful applicant will …”)</w:t>
            </w:r>
          </w:p>
          <w:p w14:paraId="31D6CBC3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focuses on skills and abilities rather than years of experience</w:t>
            </w:r>
          </w:p>
          <w:p w14:paraId="1853B954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includes gender neutral wording</w:t>
            </w:r>
          </w:p>
          <w:p w14:paraId="5EF99BEA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limits the use of ‘insider language’, jargon and acronyms</w:t>
            </w:r>
          </w:p>
          <w:p w14:paraId="28DF3607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avoids ageist language such as “go getter”, “high energy” and “digital native”</w:t>
            </w:r>
          </w:p>
          <w:p w14:paraId="1628721A" w14:textId="77777777" w:rsidR="0056105D" w:rsidRPr="00BB50AB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includes the agency statement on valuing workforce diversity and inclusion.</w:t>
            </w:r>
          </w:p>
          <w:p w14:paraId="28AE14D5" w14:textId="77777777" w:rsidR="0056105D" w:rsidRPr="00DB73C0" w:rsidRDefault="0056105D" w:rsidP="00BB50AB">
            <w:pPr>
              <w:spacing w:before="60" w:after="60"/>
              <w:ind w:left="0" w:right="0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B50AB">
              <w:t>Use images and videos where possible to add interest.</w:t>
            </w:r>
          </w:p>
        </w:tc>
      </w:tr>
      <w:tr w:rsidR="0056105D" w:rsidRPr="00860635" w14:paraId="7D3AB6A2" w14:textId="77777777" w:rsidTr="00BB50AB">
        <w:trPr>
          <w:trHeight w:val="680"/>
        </w:trPr>
        <w:sdt>
          <w:sdtPr>
            <w:id w:val="-115344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7" w:type="pct"/>
                <w:shd w:val="clear" w:color="auto" w:fill="FFFFFF" w:themeFill="background1"/>
              </w:tcPr>
              <w:p w14:paraId="7C6DF009" w14:textId="77777777" w:rsidR="0056105D" w:rsidRPr="00B443E5" w:rsidRDefault="0056105D" w:rsidP="00BB50AB">
                <w:pPr>
                  <w:spacing w:before="60" w:after="6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653" w:type="pct"/>
          </w:tcPr>
          <w:p w14:paraId="209E8AAC" w14:textId="77777777" w:rsidR="0056105D" w:rsidRPr="00DB73C0" w:rsidRDefault="0056105D" w:rsidP="00BB50AB">
            <w:pPr>
              <w:spacing w:before="60" w:after="60"/>
              <w:ind w:left="0" w:right="148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B50AB">
              <w:rPr>
                <w:rFonts w:eastAsia="Calibri" w:cs="Cordia New"/>
              </w:rPr>
              <w:t>Set out the steps in the recruitment process so applicants can determine if they require support or adjustments.</w:t>
            </w:r>
          </w:p>
        </w:tc>
      </w:tr>
      <w:tr w:rsidR="0056105D" w:rsidRPr="00860635" w14:paraId="032E6A97" w14:textId="77777777" w:rsidTr="00BB50AB">
        <w:trPr>
          <w:trHeight w:val="351"/>
        </w:trPr>
        <w:sdt>
          <w:sdtPr>
            <w:id w:val="-148947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7" w:type="pct"/>
                <w:shd w:val="clear" w:color="auto" w:fill="FFFFFF" w:themeFill="background1"/>
              </w:tcPr>
              <w:p w14:paraId="507D5000" w14:textId="77777777" w:rsidR="0056105D" w:rsidRPr="00B443E5" w:rsidRDefault="0056105D" w:rsidP="00BB50AB">
                <w:pPr>
                  <w:spacing w:before="60" w:after="60"/>
                  <w:contextualSpacing w:val="0"/>
                  <w:jc w:val="center"/>
                  <w:rPr>
                    <w:color w:val="auto"/>
                  </w:rPr>
                </w:pPr>
                <w:r w:rsidRPr="002A5A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4653" w:type="pct"/>
          </w:tcPr>
          <w:p w14:paraId="7272E03F" w14:textId="77777777" w:rsidR="0056105D" w:rsidRPr="00BB50AB" w:rsidRDefault="0056105D" w:rsidP="00312E94">
            <w:pPr>
              <w:spacing w:before="60" w:after="0"/>
              <w:ind w:left="0" w:right="0" w:firstLine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0AB">
              <w:t>Provide contact points including:</w:t>
            </w:r>
          </w:p>
          <w:p w14:paraId="3C11BF55" w14:textId="77777777" w:rsidR="0056105D" w:rsidRPr="00BB50AB" w:rsidRDefault="0056105D" w:rsidP="00312E94">
            <w:pPr>
              <w:pStyle w:val="BulletPointL1"/>
              <w:numPr>
                <w:ilvl w:val="0"/>
                <w:numId w:val="5"/>
              </w:numPr>
              <w:spacing w:before="0" w:after="60"/>
              <w:ind w:left="357" w:right="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 w:bidi="th-TH"/>
              </w:rPr>
            </w:pPr>
            <w:r w:rsidRPr="00BB50AB">
              <w:rPr>
                <w:lang w:eastAsia="zh-CN" w:bidi="th-TH"/>
              </w:rPr>
              <w:t>hiring manager who is available through all stages of recruitment with knowledge of the role, assessment process and selection criteria – and encourage interested people to talk with them before applying</w:t>
            </w:r>
          </w:p>
          <w:p w14:paraId="0FE5EFD5" w14:textId="77777777" w:rsidR="0056105D" w:rsidRPr="00DB73C0" w:rsidRDefault="0056105D" w:rsidP="00BB50AB">
            <w:pPr>
              <w:pStyle w:val="BulletPointL1"/>
              <w:numPr>
                <w:ilvl w:val="0"/>
                <w:numId w:val="5"/>
              </w:numPr>
              <w:spacing w:before="60" w:after="60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BB50AB">
              <w:rPr>
                <w:lang w:eastAsia="zh-CN" w:bidi="th-TH"/>
              </w:rPr>
              <w:t>a contact person to discuss required adjustments.</w:t>
            </w:r>
          </w:p>
        </w:tc>
      </w:tr>
    </w:tbl>
    <w:p w14:paraId="1A2FB29A" w14:textId="77777777" w:rsidR="004D526C" w:rsidRPr="0027551F" w:rsidRDefault="004D526C" w:rsidP="00BB50AB"/>
    <w:sectPr w:rsidR="004D526C" w:rsidRPr="0027551F" w:rsidSect="00EB53AB">
      <w:footerReference w:type="first" r:id="rId8"/>
      <w:pgSz w:w="11906" w:h="16838"/>
      <w:pgMar w:top="284" w:right="1134" w:bottom="851" w:left="1134" w:header="81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B9F9" w14:textId="77777777" w:rsidR="009453EA" w:rsidRDefault="009453EA" w:rsidP="003D09D1">
      <w:r>
        <w:separator/>
      </w:r>
    </w:p>
  </w:endnote>
  <w:endnote w:type="continuationSeparator" w:id="0">
    <w:p w14:paraId="5EFCE723" w14:textId="77777777" w:rsidR="009453EA" w:rsidRDefault="009453EA" w:rsidP="003D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64E1" w14:textId="2F460D81" w:rsidR="00312E94" w:rsidRPr="00312E94" w:rsidRDefault="00312E94" w:rsidP="00312E94">
    <w:pPr>
      <w:pStyle w:val="Footer"/>
      <w:jc w:val="right"/>
      <w:rPr>
        <w:lang w:val="en-US"/>
      </w:rPr>
    </w:pPr>
    <w:r>
      <w:rPr>
        <w:lang w:val="en-US"/>
      </w:rPr>
      <w:t>PSC26025786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E729" w14:textId="77777777" w:rsidR="009453EA" w:rsidRDefault="009453EA" w:rsidP="003D09D1">
      <w:r>
        <w:separator/>
      </w:r>
    </w:p>
  </w:footnote>
  <w:footnote w:type="continuationSeparator" w:id="0">
    <w:p w14:paraId="54F80974" w14:textId="77777777" w:rsidR="009453EA" w:rsidRDefault="009453EA" w:rsidP="003D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9A48F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7A21F38"/>
    <w:multiLevelType w:val="multilevel"/>
    <w:tmpl w:val="10A2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36198"/>
    <w:multiLevelType w:val="hybridMultilevel"/>
    <w:tmpl w:val="240C2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E7315"/>
    <w:multiLevelType w:val="hybridMultilevel"/>
    <w:tmpl w:val="849CCB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79471339">
    <w:abstractNumId w:val="1"/>
  </w:num>
  <w:num w:numId="2" w16cid:durableId="934901339">
    <w:abstractNumId w:val="4"/>
  </w:num>
  <w:num w:numId="3" w16cid:durableId="1460107213">
    <w:abstractNumId w:val="0"/>
  </w:num>
  <w:num w:numId="4" w16cid:durableId="1140150976">
    <w:abstractNumId w:val="2"/>
  </w:num>
  <w:num w:numId="5" w16cid:durableId="205947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3"/>
    <w:rsid w:val="0013178F"/>
    <w:rsid w:val="001E459A"/>
    <w:rsid w:val="001F7D18"/>
    <w:rsid w:val="0027551F"/>
    <w:rsid w:val="0029575D"/>
    <w:rsid w:val="002A565B"/>
    <w:rsid w:val="00312E94"/>
    <w:rsid w:val="003D09D1"/>
    <w:rsid w:val="003E16A7"/>
    <w:rsid w:val="004A16AC"/>
    <w:rsid w:val="004D526C"/>
    <w:rsid w:val="00520D56"/>
    <w:rsid w:val="005324A0"/>
    <w:rsid w:val="0056105D"/>
    <w:rsid w:val="00584645"/>
    <w:rsid w:val="005A09FA"/>
    <w:rsid w:val="005E666D"/>
    <w:rsid w:val="00662D33"/>
    <w:rsid w:val="00682526"/>
    <w:rsid w:val="006C0535"/>
    <w:rsid w:val="006C4900"/>
    <w:rsid w:val="006E3A66"/>
    <w:rsid w:val="007725F4"/>
    <w:rsid w:val="007E758F"/>
    <w:rsid w:val="008100AA"/>
    <w:rsid w:val="00827149"/>
    <w:rsid w:val="00827824"/>
    <w:rsid w:val="00883592"/>
    <w:rsid w:val="008A58C0"/>
    <w:rsid w:val="009453EA"/>
    <w:rsid w:val="00971EFD"/>
    <w:rsid w:val="00B37214"/>
    <w:rsid w:val="00B53E10"/>
    <w:rsid w:val="00B75178"/>
    <w:rsid w:val="00BB50AB"/>
    <w:rsid w:val="00BF5303"/>
    <w:rsid w:val="00C77D1F"/>
    <w:rsid w:val="00CD1ED9"/>
    <w:rsid w:val="00E271D9"/>
    <w:rsid w:val="00E749E4"/>
    <w:rsid w:val="00E847A9"/>
    <w:rsid w:val="00E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CBF5"/>
  <w15:chartTrackingRefBased/>
  <w15:docId w15:val="{57E8D9E7-7438-4482-B641-4D414CB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D1"/>
    <w:pPr>
      <w:spacing w:after="240" w:line="240" w:lineRule="auto"/>
      <w:ind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9D1"/>
    <w:pPr>
      <w:spacing w:after="100" w:afterAutospacing="1"/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9D1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5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Normal"/>
    <w:link w:val="BulletPointL1Char"/>
    <w:qFormat/>
    <w:rsid w:val="003D09D1"/>
    <w:pPr>
      <w:spacing w:after="120"/>
      <w:contextualSpacing/>
    </w:pPr>
  </w:style>
  <w:style w:type="character" w:customStyle="1" w:styleId="BulletPointL1Char">
    <w:name w:val="Bullet Point L1 Char"/>
    <w:basedOn w:val="DefaultParagraphFont"/>
    <w:link w:val="BulletPointL1"/>
    <w:rsid w:val="003D09D1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  <w:style w:type="table" w:customStyle="1" w:styleId="CommissionTable1">
    <w:name w:val="Commission Table 1"/>
    <w:basedOn w:val="TableNormal"/>
    <w:uiPriority w:val="99"/>
    <w:rsid w:val="0056105D"/>
    <w:pPr>
      <w:spacing w:before="120" w:after="120" w:line="240" w:lineRule="auto"/>
      <w:ind w:left="141" w:right="-329" w:hanging="425"/>
      <w:contextualSpacing/>
    </w:pPr>
    <w:rPr>
      <w:rFonts w:ascii="Arial" w:eastAsiaTheme="minorHAnsi" w:hAnsi="Arial"/>
      <w:kern w:val="0"/>
      <w:szCs w:val="22"/>
      <w:lang w:eastAsia="en-US" w:bidi="ar-SA"/>
      <w14:ligatures w14:val="none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ListBullet3">
    <w:name w:val="List Bullet 3"/>
    <w:basedOn w:val="Normal"/>
    <w:uiPriority w:val="99"/>
    <w:unhideWhenUsed/>
    <w:rsid w:val="0056105D"/>
    <w:pPr>
      <w:numPr>
        <w:numId w:val="3"/>
      </w:numPr>
      <w:tabs>
        <w:tab w:val="clear" w:pos="926"/>
      </w:tabs>
      <w:spacing w:after="120" w:line="259" w:lineRule="auto"/>
      <w:ind w:left="0" w:firstLine="0"/>
      <w:contextualSpacing/>
    </w:pPr>
    <w:rPr>
      <w:rFonts w:eastAsiaTheme="minorHAnsi" w:cstheme="minorBidi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53E10"/>
    <w:pPr>
      <w:spacing w:before="100" w:beforeAutospacing="1" w:after="100" w:afterAutospacing="1"/>
      <w:ind w:right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rgess02\Desktop\Managers%20Toolkit%20work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1</TotalTime>
  <Pages>1</Pages>
  <Words>291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Mckay</dc:creator>
  <cp:keywords/>
  <dc:description/>
  <cp:lastModifiedBy>Rae, Marlo</cp:lastModifiedBy>
  <cp:revision>2</cp:revision>
  <dcterms:created xsi:type="dcterms:W3CDTF">2026-06-30T03:05:00Z</dcterms:created>
  <dcterms:modified xsi:type="dcterms:W3CDTF">2026-06-30T03:05:00Z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  <property fmtid="{D5CDD505-2E9C-101B-9397-08002B2CF9AE}" pid="10" name="_AdHocReviewCycleID">
    <vt:i4>1758172659</vt:i4>
  </property>
  <property fmtid="{D5CDD505-2E9C-101B-9397-08002B2CF9AE}" pid="11" name="_NewReviewCycle">
    <vt:lpwstr/>
  </property>
  <property fmtid="{D5CDD505-2E9C-101B-9397-08002B2CF9AE}" pid="12" name="_EmailSubject">
    <vt:lpwstr>HMT resource CH 4 - Checklist - Effective advertisement - June 2026</vt:lpwstr>
  </property>
  <property fmtid="{D5CDD505-2E9C-101B-9397-08002B2CF9AE}" pid="13" name="_AuthorEmail">
    <vt:lpwstr>Jane.MachinEverill@psc.wa.gov.au</vt:lpwstr>
  </property>
  <property fmtid="{D5CDD505-2E9C-101B-9397-08002B2CF9AE}" pid="14" name="_AuthorEmailDisplayName">
    <vt:lpwstr>Machin-Everill, Jane</vt:lpwstr>
  </property>
  <property fmtid="{D5CDD505-2E9C-101B-9397-08002B2CF9AE}" pid="15" name="_PreviousAdHocReviewCycleID">
    <vt:i4>362485542</vt:i4>
  </property>
  <property fmtid="{D5CDD505-2E9C-101B-9397-08002B2CF9AE}" pid="16" name="_ReviewingToolsShownOnce">
    <vt:lpwstr/>
  </property>
</Properties>
</file>