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55B0" w14:textId="66560133" w:rsidR="00B547F8" w:rsidRDefault="009C7DEE" w:rsidP="00B547F8">
      <w:pPr>
        <w:tabs>
          <w:tab w:val="left" w:pos="3456"/>
        </w:tabs>
        <w:spacing w:before="240"/>
      </w:pPr>
      <w:r>
        <w:rPr>
          <w:noProof/>
        </w:rPr>
        <w:drawing>
          <wp:anchor distT="0" distB="0" distL="114300" distR="114300" simplePos="0" relativeHeight="251659264" behindDoc="1" locked="0" layoutInCell="1" allowOverlap="1" wp14:anchorId="257EFB24" wp14:editId="1F7F85DA">
            <wp:simplePos x="0" y="0"/>
            <wp:positionH relativeFrom="page">
              <wp:posOffset>0</wp:posOffset>
            </wp:positionH>
            <wp:positionV relativeFrom="paragraph">
              <wp:posOffset>-196215</wp:posOffset>
            </wp:positionV>
            <wp:extent cx="7586505" cy="1134916"/>
            <wp:effectExtent l="0" t="0" r="0" b="0"/>
            <wp:wrapNone/>
            <wp:docPr id="9" name="Picture 3" descr="WA Government state crest with Public Sector Commission name and title Hiring Manager's Tool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descr="WA Government state crest with Public Sector Commission name and title Hiring Manager's Toolki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86505" cy="1134916"/>
                    </a:xfrm>
                    <a:prstGeom prst="rect">
                      <a:avLst/>
                    </a:prstGeom>
                    <a:noFill/>
                    <a:ln>
                      <a:noFill/>
                    </a:ln>
                  </pic:spPr>
                </pic:pic>
              </a:graphicData>
            </a:graphic>
            <wp14:sizeRelH relativeFrom="page">
              <wp14:pctWidth>0</wp14:pctWidth>
            </wp14:sizeRelH>
            <wp14:sizeRelV relativeFrom="page">
              <wp14:pctHeight>0</wp14:pctHeight>
            </wp14:sizeRelV>
          </wp:anchor>
        </w:drawing>
      </w:r>
      <w:r w:rsidR="00B547F8">
        <w:tab/>
      </w:r>
    </w:p>
    <w:p w14:paraId="7BBB2DB4" w14:textId="77777777" w:rsidR="00B547F8" w:rsidRDefault="00B547F8" w:rsidP="009C7DEE">
      <w:pPr>
        <w:jc w:val="right"/>
      </w:pPr>
    </w:p>
    <w:p w14:paraId="1BDDC298" w14:textId="129CD3E8" w:rsidR="009C7DEE" w:rsidRDefault="00B547F8" w:rsidP="00B547F8">
      <w:pPr>
        <w:spacing w:before="60" w:after="180"/>
        <w:jc w:val="right"/>
      </w:pPr>
      <w:r>
        <w:br/>
      </w:r>
      <w:r w:rsidR="009C7DEE">
        <w:t>Change header if using for agency purposes</w:t>
      </w:r>
    </w:p>
    <w:p w14:paraId="434D3A32" w14:textId="58A74209" w:rsidR="00FF5329" w:rsidRPr="003D09D1" w:rsidRDefault="00A40DD0" w:rsidP="004F341D">
      <w:pPr>
        <w:pStyle w:val="Heading1"/>
        <w:spacing w:after="120" w:afterAutospacing="0"/>
        <w:ind w:left="-284"/>
      </w:pPr>
      <w:r w:rsidRPr="00A40DD0">
        <w:t xml:space="preserve">Factsheet: </w:t>
      </w:r>
      <w:r w:rsidR="003D11C7" w:rsidRPr="003D11C7">
        <w:t>Conflicts of interest in recruitment</w:t>
      </w:r>
    </w:p>
    <w:p w14:paraId="2BC4B5EC" w14:textId="77777777" w:rsidR="003D11C7" w:rsidRPr="003D11C7" w:rsidRDefault="003D11C7" w:rsidP="004F341D">
      <w:pPr>
        <w:spacing w:after="120"/>
        <w:ind w:left="-284"/>
        <w:rPr>
          <w:b/>
          <w:bCs/>
        </w:rPr>
      </w:pPr>
      <w:r w:rsidRPr="003D11C7">
        <w:rPr>
          <w:b/>
          <w:bCs/>
        </w:rPr>
        <w:t xml:space="preserve">A conflict of interest exists when a person has personal interests that could affect their official duties. </w:t>
      </w:r>
    </w:p>
    <w:p w14:paraId="55A75B3F" w14:textId="77777777" w:rsidR="003D11C7" w:rsidRDefault="003D11C7" w:rsidP="004F341D">
      <w:pPr>
        <w:spacing w:after="120"/>
        <w:ind w:left="-284"/>
        <w:rPr>
          <w:b/>
          <w:bCs/>
        </w:rPr>
      </w:pPr>
      <w:r w:rsidRPr="003D11C7">
        <w:t>Conflicts of interest are not necessarily wrong or unethical or even big and significant. Problems arise when conflicts are not disclosed or are poorly managed. Identifying and managing conflicts of interest in recruitment ensures processes are transparent, merit based, and free from bias, patronage and favouritism. Everyone involved in recruiting is responsible for protecting the integrity of the process.</w:t>
      </w:r>
    </w:p>
    <w:p w14:paraId="51020E08" w14:textId="77777777" w:rsidR="003D11C7" w:rsidRPr="00A32349" w:rsidRDefault="003D11C7" w:rsidP="003D11C7">
      <w:pPr>
        <w:spacing w:after="0"/>
        <w:ind w:left="-284"/>
      </w:pPr>
      <w:r w:rsidRPr="00A32349">
        <w:t>Conflicts of interest may be:</w:t>
      </w:r>
    </w:p>
    <w:p w14:paraId="56E12B96" w14:textId="48FF0DD4" w:rsidR="003D11C7" w:rsidRPr="00A32349" w:rsidRDefault="004F341D" w:rsidP="003D11C7">
      <w:pPr>
        <w:pStyle w:val="BulletPointL1"/>
        <w:numPr>
          <w:ilvl w:val="0"/>
          <w:numId w:val="19"/>
        </w:numPr>
        <w:tabs>
          <w:tab w:val="num" w:pos="720"/>
        </w:tabs>
      </w:pPr>
      <w:r>
        <w:rPr>
          <w:b/>
          <w:bCs/>
        </w:rPr>
        <w:t>a</w:t>
      </w:r>
      <w:r w:rsidR="003D11C7" w:rsidRPr="00A32349">
        <w:rPr>
          <w:b/>
          <w:bCs/>
        </w:rPr>
        <w:t>ctual</w:t>
      </w:r>
      <w:r>
        <w:t>:</w:t>
      </w:r>
      <w:r w:rsidR="003D11C7" w:rsidRPr="00A32349">
        <w:t xml:space="preserve"> where an employee’s personal interests and public duties conflict (it is happening now and needs to be declared and managed)</w:t>
      </w:r>
    </w:p>
    <w:p w14:paraId="1751FBCD" w14:textId="6422710D" w:rsidR="003D11C7" w:rsidRPr="00A32349" w:rsidRDefault="003D11C7" w:rsidP="003D11C7">
      <w:pPr>
        <w:pStyle w:val="BulletPointL1"/>
        <w:numPr>
          <w:ilvl w:val="0"/>
          <w:numId w:val="19"/>
        </w:numPr>
        <w:tabs>
          <w:tab w:val="num" w:pos="720"/>
        </w:tabs>
      </w:pPr>
      <w:r w:rsidRPr="00A32349">
        <w:rPr>
          <w:b/>
          <w:bCs/>
        </w:rPr>
        <w:t>potential</w:t>
      </w:r>
      <w:r w:rsidR="004F341D">
        <w:t>:</w:t>
      </w:r>
      <w:r w:rsidRPr="00A32349">
        <w:t xml:space="preserve"> where the conflict between an employee’s personal interest and public duty is likely to occur in the future</w:t>
      </w:r>
    </w:p>
    <w:p w14:paraId="3F35A6F0" w14:textId="69F1C09D" w:rsidR="003D11C7" w:rsidRPr="00A32349" w:rsidRDefault="003D11C7" w:rsidP="003D11C7">
      <w:pPr>
        <w:pStyle w:val="BulletPointL1"/>
        <w:numPr>
          <w:ilvl w:val="0"/>
          <w:numId w:val="19"/>
        </w:numPr>
        <w:tabs>
          <w:tab w:val="num" w:pos="720"/>
        </w:tabs>
      </w:pPr>
      <w:r w:rsidRPr="00A32349">
        <w:rPr>
          <w:b/>
          <w:bCs/>
        </w:rPr>
        <w:t>perceived</w:t>
      </w:r>
      <w:r w:rsidR="004F341D">
        <w:t>:</w:t>
      </w:r>
      <w:r w:rsidRPr="00A32349">
        <w:t xml:space="preserve"> where a reasonable third party could form a view that personal interests could improperly influence the employee’s decisions now or in the future, whether </w:t>
      </w:r>
      <w:r w:rsidR="004F341D">
        <w:t>true or not</w:t>
      </w:r>
      <w:r w:rsidRPr="00A32349">
        <w:t>.</w:t>
      </w:r>
    </w:p>
    <w:p w14:paraId="08521943" w14:textId="77777777" w:rsidR="003D11C7" w:rsidRPr="00A32349" w:rsidRDefault="003D11C7" w:rsidP="003D11C7">
      <w:pPr>
        <w:spacing w:after="0"/>
        <w:ind w:left="-284"/>
      </w:pPr>
      <w:r w:rsidRPr="00A32349">
        <w:t>Common conflicts in recruitment:</w:t>
      </w:r>
    </w:p>
    <w:p w14:paraId="509FCB2C" w14:textId="77777777" w:rsidR="003D11C7" w:rsidRPr="00A32349" w:rsidRDefault="003D11C7" w:rsidP="003D11C7">
      <w:pPr>
        <w:pStyle w:val="ListParagraph"/>
        <w:numPr>
          <w:ilvl w:val="0"/>
          <w:numId w:val="22"/>
        </w:numPr>
        <w:ind w:left="142"/>
      </w:pPr>
      <w:r w:rsidRPr="00A32349">
        <w:t>A family member, close friend, neighbour, associate or relative applies for the job.</w:t>
      </w:r>
    </w:p>
    <w:p w14:paraId="1D423ACB" w14:textId="77777777" w:rsidR="003D11C7" w:rsidRPr="00A32349" w:rsidRDefault="003D11C7" w:rsidP="003D11C7">
      <w:pPr>
        <w:pStyle w:val="ListParagraph"/>
        <w:numPr>
          <w:ilvl w:val="0"/>
          <w:numId w:val="22"/>
        </w:numPr>
        <w:ind w:left="142"/>
      </w:pPr>
      <w:r w:rsidRPr="00A32349">
        <w:t>A recruitment process is set up or changed to favour a friend or colleague or to harm another person.</w:t>
      </w:r>
    </w:p>
    <w:p w14:paraId="10D62F21" w14:textId="77777777" w:rsidR="003D11C7" w:rsidRPr="00A32349" w:rsidRDefault="003D11C7" w:rsidP="003D11C7">
      <w:pPr>
        <w:pStyle w:val="ListParagraph"/>
        <w:numPr>
          <w:ilvl w:val="0"/>
          <w:numId w:val="22"/>
        </w:numPr>
        <w:ind w:left="142"/>
      </w:pPr>
      <w:r w:rsidRPr="00A32349">
        <w:t>An applicant is favoured in the hope of getting a job at their organisation later.</w:t>
      </w:r>
    </w:p>
    <w:p w14:paraId="03DAAD01" w14:textId="77777777" w:rsidR="003D11C7" w:rsidRPr="00A32349" w:rsidRDefault="003D11C7" w:rsidP="003D11C7">
      <w:pPr>
        <w:pStyle w:val="ListParagraph"/>
        <w:numPr>
          <w:ilvl w:val="0"/>
          <w:numId w:val="22"/>
        </w:numPr>
        <w:ind w:left="142"/>
      </w:pPr>
      <w:r w:rsidRPr="00A32349">
        <w:t>A recruitment consultant is engaged who you, a relative or friend is associated with.</w:t>
      </w:r>
    </w:p>
    <w:p w14:paraId="772BB2B0" w14:textId="77777777" w:rsidR="003D11C7" w:rsidRPr="00A32349" w:rsidRDefault="003D11C7" w:rsidP="003D11C7">
      <w:pPr>
        <w:pStyle w:val="ListParagraph"/>
        <w:numPr>
          <w:ilvl w:val="0"/>
          <w:numId w:val="22"/>
        </w:numPr>
        <w:ind w:left="142"/>
      </w:pPr>
      <w:r w:rsidRPr="00A32349">
        <w:t>A person is appointed based on political loyalty rather than their suitability.</w:t>
      </w:r>
    </w:p>
    <w:p w14:paraId="6272F409" w14:textId="77777777" w:rsidR="003D11C7" w:rsidRPr="00A32349" w:rsidRDefault="003D11C7" w:rsidP="004F341D">
      <w:pPr>
        <w:pStyle w:val="ListParagraph"/>
        <w:numPr>
          <w:ilvl w:val="0"/>
          <w:numId w:val="22"/>
        </w:numPr>
        <w:spacing w:after="120"/>
        <w:ind w:left="142"/>
      </w:pPr>
      <w:r w:rsidRPr="00A32349">
        <w:t>A member of the hiring team has competing public duties or role responsibilities.</w:t>
      </w:r>
    </w:p>
    <w:p w14:paraId="6F08DEE6" w14:textId="77777777" w:rsidR="003D11C7" w:rsidRPr="00A32349" w:rsidRDefault="003D11C7" w:rsidP="003D11C7">
      <w:pPr>
        <w:spacing w:after="0"/>
        <w:ind w:left="-284"/>
      </w:pPr>
      <w:r w:rsidRPr="00A32349">
        <w:t>Some practical steps to manage conflicts of interest in recruitment processes:</w:t>
      </w:r>
    </w:p>
    <w:p w14:paraId="425C1165" w14:textId="77777777" w:rsidR="003D11C7" w:rsidRPr="00A32349" w:rsidRDefault="003D11C7" w:rsidP="003D11C7">
      <w:pPr>
        <w:pStyle w:val="BulletPointL2"/>
        <w:numPr>
          <w:ilvl w:val="0"/>
          <w:numId w:val="21"/>
        </w:numPr>
        <w:tabs>
          <w:tab w:val="num" w:pos="360"/>
        </w:tabs>
        <w:rPr>
          <w:b/>
          <w:bCs/>
        </w:rPr>
      </w:pPr>
      <w:r w:rsidRPr="00A32349">
        <w:rPr>
          <w:b/>
          <w:bCs/>
        </w:rPr>
        <w:t xml:space="preserve">Compose the hiring team: </w:t>
      </w:r>
      <w:r w:rsidRPr="00A32349">
        <w:t>Include staff from different agencies in recruitment to balance out hidden biases.</w:t>
      </w:r>
    </w:p>
    <w:p w14:paraId="611422A3" w14:textId="77777777" w:rsidR="003D11C7" w:rsidRPr="00A32349" w:rsidRDefault="003D11C7" w:rsidP="003D11C7">
      <w:pPr>
        <w:pStyle w:val="BulletPointL2"/>
        <w:numPr>
          <w:ilvl w:val="0"/>
          <w:numId w:val="21"/>
        </w:numPr>
        <w:tabs>
          <w:tab w:val="num" w:pos="360"/>
        </w:tabs>
      </w:pPr>
      <w:r w:rsidRPr="00A32349">
        <w:rPr>
          <w:b/>
          <w:bCs/>
        </w:rPr>
        <w:t xml:space="preserve">Set the tone: </w:t>
      </w:r>
      <w:r w:rsidRPr="00A32349">
        <w:t xml:space="preserve">Establish expectations and create a safe environment for the hiring team and applicants to declare conflicts of interest early. </w:t>
      </w:r>
    </w:p>
    <w:p w14:paraId="5C81A3FA" w14:textId="77777777" w:rsidR="003D11C7" w:rsidRPr="00A32349" w:rsidRDefault="003D11C7" w:rsidP="003D11C7">
      <w:pPr>
        <w:pStyle w:val="BulletPointL2"/>
        <w:numPr>
          <w:ilvl w:val="0"/>
          <w:numId w:val="21"/>
        </w:numPr>
        <w:tabs>
          <w:tab w:val="num" w:pos="360"/>
        </w:tabs>
      </w:pPr>
      <w:r w:rsidRPr="00A32349">
        <w:rPr>
          <w:b/>
          <w:bCs/>
        </w:rPr>
        <w:t xml:space="preserve">Early reporting: </w:t>
      </w:r>
      <w:r w:rsidRPr="00A32349">
        <w:t>Have each member of the hiring team check the applications for personal, professional and/or financial connections with applicants and declare these as soon as they are identified.</w:t>
      </w:r>
    </w:p>
    <w:p w14:paraId="747C82B6" w14:textId="77777777" w:rsidR="003D11C7" w:rsidRPr="00A32349" w:rsidRDefault="003D11C7" w:rsidP="003D11C7">
      <w:pPr>
        <w:pStyle w:val="BulletPointL2"/>
        <w:numPr>
          <w:ilvl w:val="0"/>
          <w:numId w:val="21"/>
        </w:numPr>
        <w:tabs>
          <w:tab w:val="num" w:pos="360"/>
        </w:tabs>
      </w:pPr>
      <w:r w:rsidRPr="00A32349">
        <w:rPr>
          <w:b/>
          <w:bCs/>
        </w:rPr>
        <w:t xml:space="preserve">Manage the conflict: </w:t>
      </w:r>
      <w:r w:rsidRPr="00A32349">
        <w:t>Ensure there is a plan documented to manage each conflict declared.</w:t>
      </w:r>
    </w:p>
    <w:p w14:paraId="4EA197CF" w14:textId="77777777" w:rsidR="0003127E" w:rsidRDefault="003D11C7" w:rsidP="0003127E">
      <w:pPr>
        <w:pStyle w:val="BulletPointL2"/>
        <w:numPr>
          <w:ilvl w:val="0"/>
          <w:numId w:val="21"/>
        </w:numPr>
        <w:tabs>
          <w:tab w:val="num" w:pos="360"/>
        </w:tabs>
      </w:pPr>
      <w:r w:rsidRPr="00A32349">
        <w:rPr>
          <w:b/>
          <w:bCs/>
        </w:rPr>
        <w:t xml:space="preserve">Be transparent: </w:t>
      </w:r>
      <w:r w:rsidRPr="00A32349">
        <w:t xml:space="preserve">Keep records of why applicants are chosen or rejected. </w:t>
      </w:r>
    </w:p>
    <w:p w14:paraId="5A7DAA36" w14:textId="0FC96FDB" w:rsidR="004F341D" w:rsidRDefault="003D11C7" w:rsidP="004F341D">
      <w:pPr>
        <w:pStyle w:val="BulletPointL2"/>
        <w:numPr>
          <w:ilvl w:val="0"/>
          <w:numId w:val="21"/>
        </w:numPr>
        <w:tabs>
          <w:tab w:val="num" w:pos="360"/>
        </w:tabs>
        <w:spacing w:before="120" w:after="120"/>
        <w:ind w:left="68" w:hanging="357"/>
        <w:contextualSpacing w:val="0"/>
      </w:pPr>
      <w:r w:rsidRPr="004F341D">
        <w:rPr>
          <w:b/>
          <w:bCs/>
        </w:rPr>
        <w:t xml:space="preserve">Get advice: </w:t>
      </w:r>
      <w:r w:rsidRPr="00A32349">
        <w:t>Use human resources and integrity teams to help identify and manage conflicts.</w:t>
      </w:r>
    </w:p>
    <w:p w14:paraId="49363C85" w14:textId="5DDCD115" w:rsidR="003D11C7" w:rsidRDefault="004F341D" w:rsidP="004F341D">
      <w:pPr>
        <w:pStyle w:val="BulletPointL2"/>
        <w:numPr>
          <w:ilvl w:val="0"/>
          <w:numId w:val="0"/>
        </w:numPr>
        <w:spacing w:after="120"/>
        <w:ind w:left="-284"/>
        <w:contextualSpacing w:val="0"/>
      </w:pPr>
      <w:r>
        <w:t>I</w:t>
      </w:r>
      <w:r w:rsidR="003D11C7" w:rsidRPr="00A32349">
        <w:t>nformation about managing conflicts of interest is usually in agency policies and procedures.</w:t>
      </w:r>
    </w:p>
    <w:tbl>
      <w:tblPr>
        <w:tblStyle w:val="TableGrid"/>
        <w:tblW w:w="102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3D534"/>
        <w:tblLook w:val="04A0" w:firstRow="1" w:lastRow="0" w:firstColumn="1" w:lastColumn="0" w:noHBand="0" w:noVBand="1"/>
        <w:tblDescription w:val="This note explains that conflicts of interest in recruitment should be identified early, declared honestly, and managed transparently and effectively."/>
      </w:tblPr>
      <w:tblGrid>
        <w:gridCol w:w="10207"/>
      </w:tblGrid>
      <w:tr w:rsidR="00A40DD0" w14:paraId="0E9ED205" w14:textId="77777777" w:rsidTr="004F341D">
        <w:tc>
          <w:tcPr>
            <w:tcW w:w="10207" w:type="dxa"/>
            <w:shd w:val="clear" w:color="auto" w:fill="C3D534"/>
          </w:tcPr>
          <w:p w14:paraId="7DE49724" w14:textId="65272D4C" w:rsidR="003D11C7" w:rsidRPr="00A2679D" w:rsidRDefault="003D11C7" w:rsidP="004F341D">
            <w:pPr>
              <w:spacing w:before="120" w:after="0"/>
              <w:rPr>
                <w:b/>
                <w:bCs/>
              </w:rPr>
            </w:pPr>
            <w:r w:rsidRPr="00A2679D">
              <w:rPr>
                <w:b/>
                <w:bCs/>
              </w:rPr>
              <w:t>Conflicts of interest often occur during recruitment processes. What matters is they are:</w:t>
            </w:r>
          </w:p>
          <w:p w14:paraId="45872D8C" w14:textId="77777777" w:rsidR="003D11C7" w:rsidRPr="00A32349" w:rsidRDefault="003D11C7" w:rsidP="003D11C7">
            <w:pPr>
              <w:pStyle w:val="BulletPointL1"/>
              <w:numPr>
                <w:ilvl w:val="0"/>
                <w:numId w:val="17"/>
              </w:numPr>
              <w:spacing w:after="0"/>
              <w:ind w:left="357" w:hanging="357"/>
            </w:pPr>
            <w:r w:rsidRPr="00A32349">
              <w:t>identified early</w:t>
            </w:r>
          </w:p>
          <w:p w14:paraId="6DEB3C3B" w14:textId="77777777" w:rsidR="003D11C7" w:rsidRPr="00A32349" w:rsidRDefault="003D11C7" w:rsidP="003D11C7">
            <w:pPr>
              <w:pStyle w:val="BulletPointL1"/>
              <w:numPr>
                <w:ilvl w:val="0"/>
                <w:numId w:val="17"/>
              </w:numPr>
              <w:spacing w:after="0"/>
              <w:ind w:left="357" w:hanging="357"/>
            </w:pPr>
            <w:r w:rsidRPr="00A32349">
              <w:t>declared honestly</w:t>
            </w:r>
          </w:p>
          <w:p w14:paraId="2607A703" w14:textId="335BFEC9" w:rsidR="003D11C7" w:rsidRPr="004F341D" w:rsidRDefault="003D11C7" w:rsidP="004F341D">
            <w:pPr>
              <w:pStyle w:val="BulletPointL1"/>
              <w:numPr>
                <w:ilvl w:val="0"/>
                <w:numId w:val="17"/>
              </w:numPr>
              <w:ind w:left="357" w:hanging="357"/>
              <w:rPr>
                <w:b/>
                <w:bCs/>
              </w:rPr>
            </w:pPr>
            <w:r w:rsidRPr="00A32349">
              <w:t>managed</w:t>
            </w:r>
            <w:r w:rsidRPr="00A2679D">
              <w:t xml:space="preserve"> transparently and effectively.</w:t>
            </w:r>
          </w:p>
        </w:tc>
      </w:tr>
    </w:tbl>
    <w:p w14:paraId="0A1E292F" w14:textId="146D49BE" w:rsidR="00FF5329" w:rsidRPr="0027551F" w:rsidRDefault="00FF5329" w:rsidP="00B547F8"/>
    <w:sectPr w:rsidR="00FF5329" w:rsidRPr="0027551F" w:rsidSect="00B547F8">
      <w:footerReference w:type="default" r:id="rId9"/>
      <w:pgSz w:w="11906" w:h="16838"/>
      <w:pgMar w:top="284" w:right="1134" w:bottom="142" w:left="1134" w:header="81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A7BFC" w14:textId="77777777" w:rsidR="004704C6" w:rsidRDefault="004704C6" w:rsidP="003D09D1">
      <w:r>
        <w:separator/>
      </w:r>
    </w:p>
  </w:endnote>
  <w:endnote w:type="continuationSeparator" w:id="0">
    <w:p w14:paraId="5E0DE63D" w14:textId="77777777" w:rsidR="004704C6" w:rsidRDefault="004704C6" w:rsidP="003D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EED9" w14:textId="6ECB0BCA" w:rsidR="00B547F8" w:rsidRDefault="00B547F8" w:rsidP="00B547F8">
    <w:pPr>
      <w:pStyle w:val="Footer"/>
      <w:jc w:val="right"/>
    </w:pPr>
    <w:r w:rsidRPr="00B547F8">
      <w:t>PSC26025778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6A0A4" w14:textId="77777777" w:rsidR="004704C6" w:rsidRDefault="004704C6" w:rsidP="003D09D1">
      <w:r>
        <w:separator/>
      </w:r>
    </w:p>
  </w:footnote>
  <w:footnote w:type="continuationSeparator" w:id="0">
    <w:p w14:paraId="26C4E5F7" w14:textId="77777777" w:rsidR="004704C6" w:rsidRDefault="004704C6" w:rsidP="003D0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9A48F0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41548C1"/>
    <w:multiLevelType w:val="hybridMultilevel"/>
    <w:tmpl w:val="9A90F566"/>
    <w:lvl w:ilvl="0" w:tplc="818683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E04CF2"/>
    <w:multiLevelType w:val="hybridMultilevel"/>
    <w:tmpl w:val="262480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1057473"/>
    <w:multiLevelType w:val="hybridMultilevel"/>
    <w:tmpl w:val="4370A2EA"/>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 w15:restartNumberingAfterBreak="0">
    <w:nsid w:val="27A21F38"/>
    <w:multiLevelType w:val="multilevel"/>
    <w:tmpl w:val="10A26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C3EA8"/>
    <w:multiLevelType w:val="hybridMultilevel"/>
    <w:tmpl w:val="CDF4BA56"/>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6" w15:restartNumberingAfterBreak="0">
    <w:nsid w:val="303635F0"/>
    <w:multiLevelType w:val="hybridMultilevel"/>
    <w:tmpl w:val="EB4C7D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511120A"/>
    <w:multiLevelType w:val="hybridMultilevel"/>
    <w:tmpl w:val="98C2C576"/>
    <w:lvl w:ilvl="0" w:tplc="818683A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5762B51"/>
    <w:multiLevelType w:val="hybridMultilevel"/>
    <w:tmpl w:val="1C625D06"/>
    <w:lvl w:ilvl="0" w:tplc="2116AACE">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B30D47"/>
    <w:multiLevelType w:val="hybridMultilevel"/>
    <w:tmpl w:val="11926DE6"/>
    <w:lvl w:ilvl="0" w:tplc="818683AA">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FF30D7E"/>
    <w:multiLevelType w:val="hybridMultilevel"/>
    <w:tmpl w:val="A21440C4"/>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1" w15:restartNumberingAfterBreak="0">
    <w:nsid w:val="44430631"/>
    <w:multiLevelType w:val="hybridMultilevel"/>
    <w:tmpl w:val="4A0E8650"/>
    <w:lvl w:ilvl="0" w:tplc="0C090001">
      <w:start w:val="1"/>
      <w:numFmt w:val="bullet"/>
      <w:lvlText w:val=""/>
      <w:lvlJc w:val="left"/>
      <w:pPr>
        <w:ind w:left="76" w:hanging="360"/>
      </w:pPr>
      <w:rPr>
        <w:rFonts w:ascii="Symbol" w:hAnsi="Symbol"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12" w15:restartNumberingAfterBreak="0">
    <w:nsid w:val="46336198"/>
    <w:multiLevelType w:val="hybridMultilevel"/>
    <w:tmpl w:val="240C2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9E7315"/>
    <w:multiLevelType w:val="hybridMultilevel"/>
    <w:tmpl w:val="849CCB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B050F80"/>
    <w:multiLevelType w:val="hybridMultilevel"/>
    <w:tmpl w:val="A184BB7A"/>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5" w15:restartNumberingAfterBreak="0">
    <w:nsid w:val="5DB247B2"/>
    <w:multiLevelType w:val="hybridMultilevel"/>
    <w:tmpl w:val="851CE57C"/>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6" w15:restartNumberingAfterBreak="0">
    <w:nsid w:val="5F307DF7"/>
    <w:multiLevelType w:val="hybridMultilevel"/>
    <w:tmpl w:val="695A3D7E"/>
    <w:lvl w:ilvl="0" w:tplc="0C090001">
      <w:start w:val="1"/>
      <w:numFmt w:val="bullet"/>
      <w:lvlText w:val=""/>
      <w:lvlJc w:val="left"/>
      <w:pPr>
        <w:ind w:left="510" w:hanging="360"/>
      </w:pPr>
      <w:rPr>
        <w:rFonts w:ascii="Symbol" w:hAnsi="Symbol" w:hint="default"/>
      </w:rPr>
    </w:lvl>
    <w:lvl w:ilvl="1" w:tplc="0C090003" w:tentative="1">
      <w:start w:val="1"/>
      <w:numFmt w:val="bullet"/>
      <w:lvlText w:val="o"/>
      <w:lvlJc w:val="left"/>
      <w:pPr>
        <w:ind w:left="1230" w:hanging="360"/>
      </w:pPr>
      <w:rPr>
        <w:rFonts w:ascii="Courier New" w:hAnsi="Courier New" w:cs="Courier New" w:hint="default"/>
      </w:rPr>
    </w:lvl>
    <w:lvl w:ilvl="2" w:tplc="0C090005" w:tentative="1">
      <w:start w:val="1"/>
      <w:numFmt w:val="bullet"/>
      <w:lvlText w:val=""/>
      <w:lvlJc w:val="left"/>
      <w:pPr>
        <w:ind w:left="1950" w:hanging="360"/>
      </w:pPr>
      <w:rPr>
        <w:rFonts w:ascii="Wingdings" w:hAnsi="Wingdings" w:hint="default"/>
      </w:rPr>
    </w:lvl>
    <w:lvl w:ilvl="3" w:tplc="0C090001" w:tentative="1">
      <w:start w:val="1"/>
      <w:numFmt w:val="bullet"/>
      <w:lvlText w:val=""/>
      <w:lvlJc w:val="left"/>
      <w:pPr>
        <w:ind w:left="2670" w:hanging="360"/>
      </w:pPr>
      <w:rPr>
        <w:rFonts w:ascii="Symbol" w:hAnsi="Symbol" w:hint="default"/>
      </w:rPr>
    </w:lvl>
    <w:lvl w:ilvl="4" w:tplc="0C090003" w:tentative="1">
      <w:start w:val="1"/>
      <w:numFmt w:val="bullet"/>
      <w:lvlText w:val="o"/>
      <w:lvlJc w:val="left"/>
      <w:pPr>
        <w:ind w:left="3390" w:hanging="360"/>
      </w:pPr>
      <w:rPr>
        <w:rFonts w:ascii="Courier New" w:hAnsi="Courier New" w:cs="Courier New" w:hint="default"/>
      </w:rPr>
    </w:lvl>
    <w:lvl w:ilvl="5" w:tplc="0C090005" w:tentative="1">
      <w:start w:val="1"/>
      <w:numFmt w:val="bullet"/>
      <w:lvlText w:val=""/>
      <w:lvlJc w:val="left"/>
      <w:pPr>
        <w:ind w:left="4110" w:hanging="360"/>
      </w:pPr>
      <w:rPr>
        <w:rFonts w:ascii="Wingdings" w:hAnsi="Wingdings" w:hint="default"/>
      </w:rPr>
    </w:lvl>
    <w:lvl w:ilvl="6" w:tplc="0C090001" w:tentative="1">
      <w:start w:val="1"/>
      <w:numFmt w:val="bullet"/>
      <w:lvlText w:val=""/>
      <w:lvlJc w:val="left"/>
      <w:pPr>
        <w:ind w:left="4830" w:hanging="360"/>
      </w:pPr>
      <w:rPr>
        <w:rFonts w:ascii="Symbol" w:hAnsi="Symbol" w:hint="default"/>
      </w:rPr>
    </w:lvl>
    <w:lvl w:ilvl="7" w:tplc="0C090003" w:tentative="1">
      <w:start w:val="1"/>
      <w:numFmt w:val="bullet"/>
      <w:lvlText w:val="o"/>
      <w:lvlJc w:val="left"/>
      <w:pPr>
        <w:ind w:left="5550" w:hanging="360"/>
      </w:pPr>
      <w:rPr>
        <w:rFonts w:ascii="Courier New" w:hAnsi="Courier New" w:cs="Courier New" w:hint="default"/>
      </w:rPr>
    </w:lvl>
    <w:lvl w:ilvl="8" w:tplc="0C090005" w:tentative="1">
      <w:start w:val="1"/>
      <w:numFmt w:val="bullet"/>
      <w:lvlText w:val=""/>
      <w:lvlJc w:val="left"/>
      <w:pPr>
        <w:ind w:left="6270" w:hanging="360"/>
      </w:pPr>
      <w:rPr>
        <w:rFonts w:ascii="Wingdings" w:hAnsi="Wingdings" w:hint="default"/>
      </w:rPr>
    </w:lvl>
  </w:abstractNum>
  <w:abstractNum w:abstractNumId="17" w15:restartNumberingAfterBreak="0">
    <w:nsid w:val="67420FB4"/>
    <w:multiLevelType w:val="hybridMultilevel"/>
    <w:tmpl w:val="9BDCEC00"/>
    <w:lvl w:ilvl="0" w:tplc="818683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B3948BA"/>
    <w:multiLevelType w:val="hybridMultilevel"/>
    <w:tmpl w:val="A2B0E842"/>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19" w15:restartNumberingAfterBreak="0">
    <w:nsid w:val="6E306844"/>
    <w:multiLevelType w:val="multilevel"/>
    <w:tmpl w:val="1374C2B2"/>
    <w:lvl w:ilvl="0">
      <w:start w:val="1"/>
      <w:numFmt w:val="bullet"/>
      <w:pStyle w:val="BulletPointL2"/>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2D06D6C"/>
    <w:multiLevelType w:val="hybridMultilevel"/>
    <w:tmpl w:val="49720826"/>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1" w15:restartNumberingAfterBreak="0">
    <w:nsid w:val="734023D4"/>
    <w:multiLevelType w:val="hybridMultilevel"/>
    <w:tmpl w:val="557CFDFC"/>
    <w:lvl w:ilvl="0" w:tplc="818683AA">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num w:numId="1" w16cid:durableId="1879471339">
    <w:abstractNumId w:val="4"/>
  </w:num>
  <w:num w:numId="2" w16cid:durableId="934901339">
    <w:abstractNumId w:val="19"/>
  </w:num>
  <w:num w:numId="3" w16cid:durableId="1460107213">
    <w:abstractNumId w:val="0"/>
  </w:num>
  <w:num w:numId="4" w16cid:durableId="1140150976">
    <w:abstractNumId w:val="12"/>
  </w:num>
  <w:num w:numId="5" w16cid:durableId="2059475070">
    <w:abstractNumId w:val="13"/>
  </w:num>
  <w:num w:numId="6" w16cid:durableId="1048720529">
    <w:abstractNumId w:val="18"/>
  </w:num>
  <w:num w:numId="7" w16cid:durableId="466164714">
    <w:abstractNumId w:val="8"/>
  </w:num>
  <w:num w:numId="8" w16cid:durableId="307134254">
    <w:abstractNumId w:val="17"/>
  </w:num>
  <w:num w:numId="9" w16cid:durableId="1649548878">
    <w:abstractNumId w:val="9"/>
  </w:num>
  <w:num w:numId="10" w16cid:durableId="1830290986">
    <w:abstractNumId w:val="7"/>
  </w:num>
  <w:num w:numId="11" w16cid:durableId="1484078211">
    <w:abstractNumId w:val="5"/>
  </w:num>
  <w:num w:numId="12" w16cid:durableId="519509856">
    <w:abstractNumId w:val="20"/>
  </w:num>
  <w:num w:numId="13" w16cid:durableId="663974972">
    <w:abstractNumId w:val="21"/>
  </w:num>
  <w:num w:numId="14" w16cid:durableId="1357383910">
    <w:abstractNumId w:val="3"/>
  </w:num>
  <w:num w:numId="15" w16cid:durableId="356779830">
    <w:abstractNumId w:val="10"/>
  </w:num>
  <w:num w:numId="16" w16cid:durableId="225262472">
    <w:abstractNumId w:val="1"/>
  </w:num>
  <w:num w:numId="17" w16cid:durableId="1569880286">
    <w:abstractNumId w:val="6"/>
  </w:num>
  <w:num w:numId="18" w16cid:durableId="992100058">
    <w:abstractNumId w:val="16"/>
  </w:num>
  <w:num w:numId="19" w16cid:durableId="973099545">
    <w:abstractNumId w:val="15"/>
  </w:num>
  <w:num w:numId="20" w16cid:durableId="313605442">
    <w:abstractNumId w:val="14"/>
  </w:num>
  <w:num w:numId="21" w16cid:durableId="2111970797">
    <w:abstractNumId w:val="11"/>
  </w:num>
  <w:num w:numId="22" w16cid:durableId="1642417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33"/>
    <w:rsid w:val="0003127E"/>
    <w:rsid w:val="0013178F"/>
    <w:rsid w:val="001E459A"/>
    <w:rsid w:val="002604A1"/>
    <w:rsid w:val="0027551F"/>
    <w:rsid w:val="0029575D"/>
    <w:rsid w:val="00312E94"/>
    <w:rsid w:val="00337F6A"/>
    <w:rsid w:val="003D09D1"/>
    <w:rsid w:val="003D11C7"/>
    <w:rsid w:val="003E16A7"/>
    <w:rsid w:val="004173F4"/>
    <w:rsid w:val="004334BB"/>
    <w:rsid w:val="004704C6"/>
    <w:rsid w:val="0047177C"/>
    <w:rsid w:val="004A16AC"/>
    <w:rsid w:val="004A717F"/>
    <w:rsid w:val="004B6A4E"/>
    <w:rsid w:val="004D526C"/>
    <w:rsid w:val="004F341D"/>
    <w:rsid w:val="00520D56"/>
    <w:rsid w:val="005324A0"/>
    <w:rsid w:val="0056105D"/>
    <w:rsid w:val="00584645"/>
    <w:rsid w:val="005A09FA"/>
    <w:rsid w:val="005E666D"/>
    <w:rsid w:val="00662D33"/>
    <w:rsid w:val="00682526"/>
    <w:rsid w:val="006C2116"/>
    <w:rsid w:val="006C4900"/>
    <w:rsid w:val="006E3A66"/>
    <w:rsid w:val="0072756A"/>
    <w:rsid w:val="007725F4"/>
    <w:rsid w:val="007E758F"/>
    <w:rsid w:val="008100AA"/>
    <w:rsid w:val="00827149"/>
    <w:rsid w:val="00827824"/>
    <w:rsid w:val="00883592"/>
    <w:rsid w:val="008A58C0"/>
    <w:rsid w:val="00971EFD"/>
    <w:rsid w:val="009C7DEE"/>
    <w:rsid w:val="00A40DD0"/>
    <w:rsid w:val="00A44472"/>
    <w:rsid w:val="00B37214"/>
    <w:rsid w:val="00B53E10"/>
    <w:rsid w:val="00B547F8"/>
    <w:rsid w:val="00B75178"/>
    <w:rsid w:val="00BA2188"/>
    <w:rsid w:val="00BB50AB"/>
    <w:rsid w:val="00CD1ED9"/>
    <w:rsid w:val="00E271D9"/>
    <w:rsid w:val="00E749E4"/>
    <w:rsid w:val="00E847A9"/>
    <w:rsid w:val="00EF56C6"/>
    <w:rsid w:val="00FF532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1CBF5"/>
  <w15:chartTrackingRefBased/>
  <w15:docId w15:val="{57E8D9E7-7438-4482-B641-4D414CB9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9D1"/>
    <w:pPr>
      <w:spacing w:after="240" w:line="240" w:lineRule="auto"/>
      <w:ind w:right="-329"/>
    </w:pPr>
    <w:rPr>
      <w:rFonts w:ascii="Arial" w:eastAsia="Times New Roman" w:hAnsi="Arial" w:cs="Arial"/>
      <w:kern w:val="0"/>
      <w:szCs w:val="24"/>
      <w14:ligatures w14:val="none"/>
    </w:rPr>
  </w:style>
  <w:style w:type="paragraph" w:styleId="Heading1">
    <w:name w:val="heading 1"/>
    <w:basedOn w:val="Normal"/>
    <w:next w:val="Normal"/>
    <w:link w:val="Heading1Char"/>
    <w:uiPriority w:val="9"/>
    <w:qFormat/>
    <w:rsid w:val="003D09D1"/>
    <w:pPr>
      <w:spacing w:after="100" w:afterAutospacing="1"/>
      <w:outlineLvl w:val="0"/>
    </w:pPr>
    <w:rPr>
      <w:rFonts w:ascii="Century Gothic" w:eastAsiaTheme="majorEastAsia" w:hAnsi="Century Gothic" w:cstheme="majorBidi"/>
      <w:spacing w:val="-10"/>
      <w:kern w:val="28"/>
      <w:sz w:val="56"/>
      <w:szCs w:val="56"/>
    </w:rPr>
  </w:style>
  <w:style w:type="paragraph" w:styleId="Heading2">
    <w:name w:val="heading 2"/>
    <w:basedOn w:val="Normal"/>
    <w:next w:val="Normal"/>
    <w:link w:val="Heading2Char"/>
    <w:uiPriority w:val="9"/>
    <w:semiHidden/>
    <w:unhideWhenUsed/>
    <w:qFormat/>
    <w:rsid w:val="007E758F"/>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7E758F"/>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7E7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9D1"/>
    <w:rPr>
      <w:rFonts w:ascii="Century Gothic" w:eastAsiaTheme="majorEastAsia" w:hAnsi="Century Gothic" w:cstheme="majorBidi"/>
      <w:spacing w:val="-10"/>
      <w:kern w:val="28"/>
      <w:sz w:val="56"/>
      <w:szCs w:val="56"/>
    </w:rPr>
  </w:style>
  <w:style w:type="character" w:customStyle="1" w:styleId="Heading2Char">
    <w:name w:val="Heading 2 Char"/>
    <w:basedOn w:val="DefaultParagraphFont"/>
    <w:link w:val="Heading2"/>
    <w:uiPriority w:val="9"/>
    <w:semiHidden/>
    <w:rsid w:val="007E758F"/>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7E758F"/>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7E7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58F"/>
    <w:rPr>
      <w:rFonts w:eastAsiaTheme="majorEastAsia" w:cstheme="majorBidi"/>
      <w:color w:val="272727" w:themeColor="text1" w:themeTint="D8"/>
    </w:rPr>
  </w:style>
  <w:style w:type="paragraph" w:styleId="Title">
    <w:name w:val="Title"/>
    <w:basedOn w:val="Normal"/>
    <w:next w:val="Normal"/>
    <w:link w:val="TitleChar"/>
    <w:uiPriority w:val="10"/>
    <w:qFormat/>
    <w:rsid w:val="007E758F"/>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E758F"/>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E758F"/>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E758F"/>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E758F"/>
    <w:pPr>
      <w:spacing w:before="160"/>
      <w:jc w:val="center"/>
    </w:pPr>
    <w:rPr>
      <w:i/>
      <w:iCs/>
      <w:color w:val="404040" w:themeColor="text1" w:themeTint="BF"/>
    </w:rPr>
  </w:style>
  <w:style w:type="character" w:customStyle="1" w:styleId="QuoteChar">
    <w:name w:val="Quote Char"/>
    <w:basedOn w:val="DefaultParagraphFont"/>
    <w:link w:val="Quote"/>
    <w:uiPriority w:val="29"/>
    <w:rsid w:val="007E758F"/>
    <w:rPr>
      <w:i/>
      <w:iCs/>
      <w:color w:val="404040" w:themeColor="text1" w:themeTint="BF"/>
    </w:rPr>
  </w:style>
  <w:style w:type="paragraph" w:styleId="ListParagraph">
    <w:name w:val="List Paragraph"/>
    <w:basedOn w:val="Normal"/>
    <w:link w:val="ListParagraphChar"/>
    <w:uiPriority w:val="1"/>
    <w:qFormat/>
    <w:rsid w:val="007E758F"/>
    <w:pPr>
      <w:ind w:left="720"/>
      <w:contextualSpacing/>
    </w:pPr>
  </w:style>
  <w:style w:type="character" w:styleId="IntenseEmphasis">
    <w:name w:val="Intense Emphasis"/>
    <w:basedOn w:val="DefaultParagraphFont"/>
    <w:uiPriority w:val="21"/>
    <w:qFormat/>
    <w:rsid w:val="007E758F"/>
    <w:rPr>
      <w:i/>
      <w:iCs/>
      <w:color w:val="0F4761" w:themeColor="accent1" w:themeShade="BF"/>
    </w:rPr>
  </w:style>
  <w:style w:type="paragraph" w:styleId="IntenseQuote">
    <w:name w:val="Intense Quote"/>
    <w:basedOn w:val="Normal"/>
    <w:next w:val="Normal"/>
    <w:link w:val="IntenseQuoteChar"/>
    <w:uiPriority w:val="30"/>
    <w:qFormat/>
    <w:rsid w:val="007E7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58F"/>
    <w:rPr>
      <w:i/>
      <w:iCs/>
      <w:color w:val="0F4761" w:themeColor="accent1" w:themeShade="BF"/>
    </w:rPr>
  </w:style>
  <w:style w:type="character" w:styleId="IntenseReference">
    <w:name w:val="Intense Reference"/>
    <w:basedOn w:val="DefaultParagraphFont"/>
    <w:uiPriority w:val="32"/>
    <w:qFormat/>
    <w:rsid w:val="007E758F"/>
    <w:rPr>
      <w:b/>
      <w:bCs/>
      <w:smallCaps/>
      <w:color w:val="0F4761" w:themeColor="accent1" w:themeShade="BF"/>
      <w:spacing w:val="5"/>
    </w:rPr>
  </w:style>
  <w:style w:type="table" w:styleId="TableGrid">
    <w:name w:val="Table Grid"/>
    <w:basedOn w:val="TableNormal"/>
    <w:uiPriority w:val="39"/>
    <w:rsid w:val="00772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09D1"/>
    <w:pPr>
      <w:tabs>
        <w:tab w:val="center" w:pos="4513"/>
        <w:tab w:val="right" w:pos="9026"/>
      </w:tabs>
      <w:spacing w:after="0"/>
    </w:pPr>
  </w:style>
  <w:style w:type="character" w:customStyle="1" w:styleId="HeaderChar">
    <w:name w:val="Header Char"/>
    <w:basedOn w:val="DefaultParagraphFont"/>
    <w:link w:val="Header"/>
    <w:uiPriority w:val="99"/>
    <w:rsid w:val="003D09D1"/>
  </w:style>
  <w:style w:type="paragraph" w:styleId="Footer">
    <w:name w:val="footer"/>
    <w:basedOn w:val="Normal"/>
    <w:link w:val="FooterChar"/>
    <w:uiPriority w:val="99"/>
    <w:unhideWhenUsed/>
    <w:rsid w:val="003D09D1"/>
    <w:pPr>
      <w:tabs>
        <w:tab w:val="center" w:pos="4513"/>
        <w:tab w:val="right" w:pos="9026"/>
      </w:tabs>
      <w:spacing w:after="0"/>
    </w:pPr>
  </w:style>
  <w:style w:type="character" w:customStyle="1" w:styleId="FooterChar">
    <w:name w:val="Footer Char"/>
    <w:basedOn w:val="DefaultParagraphFont"/>
    <w:link w:val="Footer"/>
    <w:uiPriority w:val="99"/>
    <w:rsid w:val="003D09D1"/>
  </w:style>
  <w:style w:type="paragraph" w:customStyle="1" w:styleId="BulletPointL1">
    <w:name w:val="Bullet Point L1"/>
    <w:basedOn w:val="Normal"/>
    <w:link w:val="BulletPointL1Char"/>
    <w:qFormat/>
    <w:rsid w:val="003D09D1"/>
    <w:pPr>
      <w:spacing w:after="120"/>
      <w:contextualSpacing/>
    </w:pPr>
  </w:style>
  <w:style w:type="character" w:customStyle="1" w:styleId="BulletPointL1Char">
    <w:name w:val="Bullet Point L1 Char"/>
    <w:basedOn w:val="DefaultParagraphFont"/>
    <w:link w:val="BulletPointL1"/>
    <w:rsid w:val="003D09D1"/>
    <w:rPr>
      <w:rFonts w:ascii="Arial" w:eastAsia="Times New Roman" w:hAnsi="Arial" w:cs="Arial"/>
      <w:kern w:val="0"/>
      <w:szCs w:val="24"/>
      <w14:ligatures w14:val="none"/>
    </w:rPr>
  </w:style>
  <w:style w:type="paragraph" w:customStyle="1" w:styleId="BulletPointL2">
    <w:name w:val="Bullet Point L2"/>
    <w:basedOn w:val="ListParagraph"/>
    <w:link w:val="BulletPointL2Char"/>
    <w:rsid w:val="003D09D1"/>
    <w:pPr>
      <w:numPr>
        <w:numId w:val="2"/>
      </w:numPr>
    </w:pPr>
  </w:style>
  <w:style w:type="character" w:customStyle="1" w:styleId="ListParagraphChar">
    <w:name w:val="List Paragraph Char"/>
    <w:basedOn w:val="DefaultParagraphFont"/>
    <w:link w:val="ListParagraph"/>
    <w:uiPriority w:val="34"/>
    <w:rsid w:val="003D09D1"/>
    <w:rPr>
      <w:rFonts w:ascii="Arial" w:eastAsia="Times New Roman" w:hAnsi="Arial" w:cs="Arial"/>
      <w:kern w:val="0"/>
      <w:szCs w:val="24"/>
      <w14:ligatures w14:val="none"/>
    </w:rPr>
  </w:style>
  <w:style w:type="character" w:customStyle="1" w:styleId="BulletPointL2Char">
    <w:name w:val="Bullet Point L2 Char"/>
    <w:basedOn w:val="ListParagraphChar"/>
    <w:link w:val="BulletPointL2"/>
    <w:rsid w:val="003D09D1"/>
    <w:rPr>
      <w:rFonts w:ascii="Arial" w:eastAsia="Times New Roman" w:hAnsi="Arial" w:cs="Arial"/>
      <w:kern w:val="0"/>
      <w:szCs w:val="24"/>
      <w14:ligatures w14:val="none"/>
    </w:rPr>
  </w:style>
  <w:style w:type="table" w:customStyle="1" w:styleId="CommissionTable1">
    <w:name w:val="Commission Table 1"/>
    <w:basedOn w:val="TableNormal"/>
    <w:uiPriority w:val="99"/>
    <w:rsid w:val="0056105D"/>
    <w:pPr>
      <w:spacing w:before="120" w:after="120" w:line="240" w:lineRule="auto"/>
      <w:ind w:left="141" w:right="-329" w:hanging="425"/>
      <w:contextualSpacing/>
    </w:pPr>
    <w:rPr>
      <w:rFonts w:ascii="Arial" w:eastAsiaTheme="minorHAnsi" w:hAnsi="Arial"/>
      <w:kern w:val="0"/>
      <w:szCs w:val="22"/>
      <w:lang w:eastAsia="en-US" w:bidi="ar-SA"/>
      <w14:ligatures w14:val="none"/>
    </w:rPr>
    <w:tblPr>
      <w:tblStyleRowBandSize w:val="1"/>
      <w:tblBorders>
        <w:insideH w:val="single" w:sz="4" w:space="0" w:color="404040"/>
      </w:tblBorders>
    </w:tblPr>
    <w:tcPr>
      <w:vAlign w:val="center"/>
    </w:tcPr>
    <w:tblStylePr w:type="firstRow">
      <w:pPr>
        <w:jc w:val="left"/>
      </w:pPr>
      <w:rPr>
        <w:rFonts w:ascii="Arial" w:hAnsi="Arial"/>
        <w:b w:val="0"/>
        <w:color w:val="FFFFFF" w:themeColor="background1"/>
        <w:sz w:val="24"/>
      </w:rPr>
      <w:tblPr/>
      <w:tcPr>
        <w:tcBorders>
          <w:top w:val="single" w:sz="4" w:space="0" w:color="404040"/>
          <w:left w:val="single" w:sz="4" w:space="0" w:color="404040"/>
          <w:bottom w:val="single" w:sz="4" w:space="0" w:color="404040"/>
          <w:right w:val="single" w:sz="4" w:space="0" w:color="404040"/>
          <w:insideH w:val="single" w:sz="6" w:space="0" w:color="FFFFFF" w:themeColor="background1"/>
          <w:insideV w:val="single" w:sz="4" w:space="0" w:color="FFFFFF" w:themeColor="background1"/>
        </w:tcBorders>
        <w:shd w:val="clear" w:color="auto" w:fill="404040"/>
      </w:tcPr>
    </w:tblStylePr>
    <w:tblStylePr w:type="lastRow">
      <w:rPr>
        <w:color w:val="FFFFFF" w:themeColor="background1"/>
      </w:rPr>
      <w:tblPr/>
      <w:tcPr>
        <w:shd w:val="clear" w:color="auto" w:fill="808080" w:themeFill="background1" w:themeFillShade="80"/>
      </w:tcPr>
    </w:tblStylePr>
    <w:tblStylePr w:type="firstCol">
      <w:rPr>
        <w:rFonts w:ascii="Arial" w:hAnsi="Arial"/>
        <w:color w:val="FFFFFF" w:themeColor="background1"/>
        <w:sz w:val="24"/>
      </w:rPr>
      <w:tblPr/>
      <w:tcPr>
        <w:shd w:val="clear" w:color="auto" w:fill="404040"/>
      </w:tcPr>
    </w:tblStylePr>
    <w:tblStylePr w:type="band2Horz">
      <w:rPr>
        <w:rFonts w:ascii="Arial" w:hAnsi="Arial"/>
        <w:color w:val="auto"/>
        <w:sz w:val="24"/>
      </w:rPr>
      <w:tblPr/>
      <w:tcPr>
        <w:shd w:val="clear" w:color="auto" w:fill="D9D9D9" w:themeFill="background1" w:themeFillShade="D9"/>
      </w:tcPr>
    </w:tblStylePr>
  </w:style>
  <w:style w:type="paragraph" w:styleId="ListBullet3">
    <w:name w:val="List Bullet 3"/>
    <w:basedOn w:val="Normal"/>
    <w:uiPriority w:val="99"/>
    <w:unhideWhenUsed/>
    <w:rsid w:val="0056105D"/>
    <w:pPr>
      <w:numPr>
        <w:numId w:val="3"/>
      </w:numPr>
      <w:tabs>
        <w:tab w:val="clear" w:pos="926"/>
      </w:tabs>
      <w:spacing w:after="120" w:line="259" w:lineRule="auto"/>
      <w:ind w:left="0" w:firstLine="0"/>
      <w:contextualSpacing/>
    </w:pPr>
    <w:rPr>
      <w:rFonts w:eastAsiaTheme="minorHAnsi" w:cstheme="minorBidi"/>
      <w:szCs w:val="22"/>
      <w:lang w:eastAsia="en-US" w:bidi="ar-SA"/>
    </w:rPr>
  </w:style>
  <w:style w:type="paragraph" w:styleId="NormalWeb">
    <w:name w:val="Normal (Web)"/>
    <w:basedOn w:val="Normal"/>
    <w:uiPriority w:val="99"/>
    <w:semiHidden/>
    <w:unhideWhenUsed/>
    <w:rsid w:val="00B53E10"/>
    <w:pPr>
      <w:spacing w:before="100" w:beforeAutospacing="1" w:after="100" w:afterAutospacing="1"/>
      <w:ind w:right="0"/>
    </w:pPr>
    <w:rPr>
      <w:rFonts w:ascii="Times New Roman" w:hAnsi="Times New Roman" w:cs="Times New Roman"/>
    </w:rPr>
  </w:style>
  <w:style w:type="character" w:styleId="Hyperlink">
    <w:name w:val="Hyperlink"/>
    <w:basedOn w:val="DefaultParagraphFont"/>
    <w:uiPriority w:val="99"/>
    <w:unhideWhenUsed/>
    <w:rsid w:val="00FF532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rgess02\Desktop\Managers%20Toolkit%20work\HMT%20resourc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D97CF-38EC-466B-9382-2A211533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HMT resource template.dotx</Template>
  <TotalTime>0</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Burgess, Mckay</dc:creator>
  <cp:keywords/>
  <dc:description/>
  <cp:lastModifiedBy>Rae, Marlo</cp:lastModifiedBy>
  <cp:revision>2</cp:revision>
  <dcterms:created xsi:type="dcterms:W3CDTF">2026-06-30T03:13:00Z</dcterms:created>
  <dcterms:modified xsi:type="dcterms:W3CDTF">2026-06-30T03:13:00Z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ebd643-ebde-44ed-8e8b-40a2ae139fe2_Enabled">
    <vt:lpwstr>true</vt:lpwstr>
  </property>
  <property fmtid="{D5CDD505-2E9C-101B-9397-08002B2CF9AE}" pid="3" name="MSIP_Label_9debd643-ebde-44ed-8e8b-40a2ae139fe2_SetDate">
    <vt:lpwstr>2026-06-25T01:29:51Z</vt:lpwstr>
  </property>
  <property fmtid="{D5CDD505-2E9C-101B-9397-08002B2CF9AE}" pid="4" name="MSIP_Label_9debd643-ebde-44ed-8e8b-40a2ae139fe2_Method">
    <vt:lpwstr>Standard</vt:lpwstr>
  </property>
  <property fmtid="{D5CDD505-2E9C-101B-9397-08002B2CF9AE}" pid="5" name="MSIP_Label_9debd643-ebde-44ed-8e8b-40a2ae139fe2_Name">
    <vt:lpwstr>OFFICIAL PSC.</vt:lpwstr>
  </property>
  <property fmtid="{D5CDD505-2E9C-101B-9397-08002B2CF9AE}" pid="6" name="MSIP_Label_9debd643-ebde-44ed-8e8b-40a2ae139fe2_SiteId">
    <vt:lpwstr>d48144b5-571f-4b68-9721-e41bc0071e17</vt:lpwstr>
  </property>
  <property fmtid="{D5CDD505-2E9C-101B-9397-08002B2CF9AE}" pid="7" name="MSIP_Label_9debd643-ebde-44ed-8e8b-40a2ae139fe2_ActionId">
    <vt:lpwstr>9f05ab05-6e38-42d8-bf5a-3a02dd581197</vt:lpwstr>
  </property>
  <property fmtid="{D5CDD505-2E9C-101B-9397-08002B2CF9AE}" pid="8" name="MSIP_Label_9debd643-ebde-44ed-8e8b-40a2ae139fe2_ContentBits">
    <vt:lpwstr>0</vt:lpwstr>
  </property>
  <property fmtid="{D5CDD505-2E9C-101B-9397-08002B2CF9AE}" pid="9" name="MSIP_Label_9debd643-ebde-44ed-8e8b-40a2ae139fe2_Tag">
    <vt:lpwstr>10, 3, 0, 1</vt:lpwstr>
  </property>
  <property fmtid="{D5CDD505-2E9C-101B-9397-08002B2CF9AE}" pid="10" name="_AdHocReviewCycleID">
    <vt:i4>1758172659</vt:i4>
  </property>
  <property fmtid="{D5CDD505-2E9C-101B-9397-08002B2CF9AE}" pid="11" name="_NewReviewCycle">
    <vt:lpwstr/>
  </property>
  <property fmtid="{D5CDD505-2E9C-101B-9397-08002B2CF9AE}" pid="12" name="_EmailSubject">
    <vt:lpwstr>HMT resource CH 4 - Checklist - Effective advertisement - June 2026</vt:lpwstr>
  </property>
  <property fmtid="{D5CDD505-2E9C-101B-9397-08002B2CF9AE}" pid="13" name="_AuthorEmail">
    <vt:lpwstr>Jane.MachinEverill@psc.wa.gov.au</vt:lpwstr>
  </property>
  <property fmtid="{D5CDD505-2E9C-101B-9397-08002B2CF9AE}" pid="14" name="_AuthorEmailDisplayName">
    <vt:lpwstr>Machin-Everill, Jane</vt:lpwstr>
  </property>
  <property fmtid="{D5CDD505-2E9C-101B-9397-08002B2CF9AE}" pid="15" name="_PreviousAdHocReviewCycleID">
    <vt:i4>362485542</vt:i4>
  </property>
  <property fmtid="{D5CDD505-2E9C-101B-9397-08002B2CF9AE}" pid="16" name="_ReviewingToolsShownOnce">
    <vt:lpwstr/>
  </property>
</Properties>
</file>