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43DD" w14:textId="5E6A7176" w:rsidR="005374BD" w:rsidRDefault="005374BD" w:rsidP="005374BD">
      <w:pPr>
        <w:spacing w:before="240"/>
        <w:ind w:left="0"/>
      </w:pPr>
      <w:r>
        <w:rPr>
          <w:noProof/>
        </w:rPr>
        <w:drawing>
          <wp:anchor distT="0" distB="0" distL="114300" distR="114300" simplePos="0" relativeHeight="251659264" behindDoc="1" locked="0" layoutInCell="1" allowOverlap="1" wp14:anchorId="6FF56431" wp14:editId="6AE06DFA">
            <wp:simplePos x="0" y="0"/>
            <wp:positionH relativeFrom="page">
              <wp:posOffset>0</wp:posOffset>
            </wp:positionH>
            <wp:positionV relativeFrom="paragraph">
              <wp:posOffset>-183707</wp:posOffset>
            </wp:positionV>
            <wp:extent cx="7586505" cy="1134916"/>
            <wp:effectExtent l="0" t="0" r="0" b="0"/>
            <wp:wrapNone/>
            <wp:docPr id="9" name="Picture 3" descr="WA Government state crest with Public Sector Commission name and title Hiring Manager's 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WA Government state crest with Public Sector Commission name and title Hiring Manager's Toolki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86505" cy="11349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90296" w14:textId="77777777" w:rsidR="005374BD" w:rsidRDefault="005374BD" w:rsidP="005374BD">
      <w:pPr>
        <w:spacing w:before="240"/>
        <w:ind w:left="0"/>
      </w:pPr>
    </w:p>
    <w:p w14:paraId="71586872" w14:textId="77777777" w:rsidR="005374BD" w:rsidRDefault="005374BD" w:rsidP="005374BD">
      <w:pPr>
        <w:spacing w:after="0"/>
        <w:ind w:left="0"/>
      </w:pPr>
    </w:p>
    <w:p w14:paraId="70BE1057" w14:textId="0069AE82" w:rsidR="00B53E10" w:rsidRDefault="006C4900" w:rsidP="005374BD">
      <w:pPr>
        <w:ind w:left="0"/>
        <w:jc w:val="right"/>
      </w:pPr>
      <w:r>
        <w:t>Change</w:t>
      </w:r>
      <w:r w:rsidR="008100AA">
        <w:t xml:space="preserve"> header if using for agency purposes</w:t>
      </w:r>
    </w:p>
    <w:p w14:paraId="45D26FCE" w14:textId="77777777" w:rsidR="005374BD" w:rsidRPr="005374BD" w:rsidRDefault="005374BD" w:rsidP="005374BD">
      <w:pPr>
        <w:pStyle w:val="Heading1"/>
      </w:pPr>
      <w:r w:rsidRPr="005374BD">
        <w:t>Factsheet: Unconscious bias</w:t>
      </w:r>
    </w:p>
    <w:p w14:paraId="31E876FD" w14:textId="77777777" w:rsidR="005374BD" w:rsidRDefault="005374BD" w:rsidP="00093ABF">
      <w:pPr>
        <w:spacing w:after="120"/>
      </w:pPr>
      <w:r w:rsidRPr="005374BD">
        <w:t>Unconscious bias refers to deeply held beliefs, assumptions, stereotypes and first impressions that operate automatically and outside our awareness. In recruitment, unconscious bias can unintentionally influence how applicants are assessed, discussed and selected.</w:t>
      </w:r>
    </w:p>
    <w:p w14:paraId="64D81A3A" w14:textId="063A7426" w:rsidR="005374BD" w:rsidRDefault="005374BD" w:rsidP="00093ABF">
      <w:pPr>
        <w:spacing w:after="120"/>
      </w:pPr>
      <w:r w:rsidRPr="005374BD">
        <w:t>Unconscious bias can be linked to personal characteristics such as age, gender, cultural background, disability, education, communication style or perceived “fit”. While unintentional, its impact can reduce fairness, diversity and the quality of hiring decisions.</w:t>
      </w:r>
    </w:p>
    <w:p w14:paraId="51020E08" w14:textId="54604072" w:rsidR="003D11C7" w:rsidRPr="00A32349" w:rsidRDefault="005374BD" w:rsidP="005374BD">
      <w:pPr>
        <w:spacing w:after="0"/>
      </w:pPr>
      <w:r w:rsidRPr="005374BD">
        <w:t>Unconscious bias matters because it can</w:t>
      </w:r>
    </w:p>
    <w:p w14:paraId="107BD50B" w14:textId="77777777" w:rsidR="005374BD" w:rsidRPr="005374BD" w:rsidRDefault="005374BD" w:rsidP="005374BD">
      <w:pPr>
        <w:pStyle w:val="BulletPointL1"/>
      </w:pPr>
      <w:r w:rsidRPr="005374BD">
        <w:t>affect judgement and decision making at every stage of recruitment</w:t>
      </w:r>
    </w:p>
    <w:p w14:paraId="23E8EA84" w14:textId="13505DBB" w:rsidR="005374BD" w:rsidRPr="005374BD" w:rsidRDefault="005374BD" w:rsidP="00093ABF">
      <w:pPr>
        <w:pStyle w:val="BulletPointL1"/>
        <w:spacing w:after="120"/>
      </w:pPr>
      <w:r w:rsidRPr="005374BD">
        <w:t>lead to overlooking capable candidates or favouring applicants who feel familiar.</w:t>
      </w:r>
    </w:p>
    <w:p w14:paraId="1A68039D" w14:textId="5D3AEE18" w:rsidR="005374BD" w:rsidRDefault="005374BD" w:rsidP="00093ABF">
      <w:pPr>
        <w:spacing w:after="120"/>
      </w:pPr>
      <w:r>
        <w:t>Awareness and deliberate action help ensure decisions are based on merit and not perception.</w:t>
      </w:r>
    </w:p>
    <w:p w14:paraId="26D9814D" w14:textId="2337453D" w:rsidR="005374BD" w:rsidRDefault="005374BD" w:rsidP="00093ABF">
      <w:r>
        <w:t>Everyone has unconscious biases. Managing them is a shared responsibility for everyone involved in hiring.</w:t>
      </w:r>
    </w:p>
    <w:p w14:paraId="29419945" w14:textId="58C3F5CE" w:rsidR="005374BD" w:rsidRPr="005374BD" w:rsidRDefault="005374BD" w:rsidP="00093ABF">
      <w:pPr>
        <w:spacing w:after="120"/>
        <w:rPr>
          <w:b/>
          <w:bCs/>
        </w:rPr>
      </w:pPr>
      <w:r w:rsidRPr="005374BD">
        <w:rPr>
          <w:b/>
          <w:bCs/>
        </w:rPr>
        <w:t>How to manage unconscious bias in recruitment</w:t>
      </w:r>
    </w:p>
    <w:p w14:paraId="740423BC" w14:textId="77777777" w:rsidR="005374BD" w:rsidRDefault="005374BD" w:rsidP="005374BD">
      <w:pPr>
        <w:spacing w:after="0"/>
      </w:pPr>
      <w:r>
        <w:t>Build personal awareness of unconscious bias by:</w:t>
      </w:r>
    </w:p>
    <w:p w14:paraId="5DDBCA2C" w14:textId="77777777" w:rsidR="005374BD" w:rsidRPr="005374BD" w:rsidRDefault="005374BD" w:rsidP="005374BD">
      <w:pPr>
        <w:pStyle w:val="BulletPointL1"/>
      </w:pPr>
      <w:r w:rsidRPr="005374BD">
        <w:t>understanding the different types and examples of unconscious bias</w:t>
      </w:r>
    </w:p>
    <w:p w14:paraId="53E7E2F5" w14:textId="77777777" w:rsidR="005374BD" w:rsidRDefault="005374BD" w:rsidP="00093ABF">
      <w:pPr>
        <w:pStyle w:val="BulletPointL1"/>
        <w:spacing w:after="120"/>
      </w:pPr>
      <w:r w:rsidRPr="005374BD">
        <w:t xml:space="preserve">undertaking training to improve </w:t>
      </w:r>
      <w:proofErr w:type="spellStart"/>
      <w:r w:rsidRPr="005374BD">
        <w:t>self awareness</w:t>
      </w:r>
      <w:proofErr w:type="spellEnd"/>
      <w:r w:rsidRPr="005374BD">
        <w:t xml:space="preserve"> (</w:t>
      </w:r>
      <w:hyperlink r:id="rId9" w:history="1">
        <w:r w:rsidRPr="005374BD">
          <w:t>Project Implicit</w:t>
        </w:r>
      </w:hyperlink>
      <w:r w:rsidRPr="005374BD">
        <w:t xml:space="preserve"> is a free resource that explores hidden attitudes, stereotypes and biases that influence perception, judgement</w:t>
      </w:r>
      <w:r>
        <w:t xml:space="preserve"> and action).</w:t>
      </w:r>
    </w:p>
    <w:p w14:paraId="01FABD34" w14:textId="77777777" w:rsidR="005374BD" w:rsidRDefault="005374BD" w:rsidP="005374BD">
      <w:pPr>
        <w:spacing w:after="0"/>
      </w:pPr>
      <w:r>
        <w:t>Plan the selection process to reduce reliance on subjective judgement by:</w:t>
      </w:r>
    </w:p>
    <w:p w14:paraId="0B393276" w14:textId="77777777" w:rsidR="005374BD" w:rsidRPr="005374BD" w:rsidRDefault="005374BD" w:rsidP="005374BD">
      <w:pPr>
        <w:pStyle w:val="BulletPointL1"/>
      </w:pPr>
      <w:r w:rsidRPr="005374BD">
        <w:t>defining the job requirements as guideposts for assessing suitability</w:t>
      </w:r>
    </w:p>
    <w:p w14:paraId="2C517FAF" w14:textId="77777777" w:rsidR="005374BD" w:rsidRPr="005374BD" w:rsidRDefault="005374BD" w:rsidP="005374BD">
      <w:pPr>
        <w:pStyle w:val="BulletPointL1"/>
      </w:pPr>
      <w:r w:rsidRPr="005374BD">
        <w:t>reviewing and modifying processes so they only collect information essential for making decisions and undertaking administration</w:t>
      </w:r>
    </w:p>
    <w:p w14:paraId="4D9C2A7D" w14:textId="77777777" w:rsidR="005374BD" w:rsidRPr="005374BD" w:rsidRDefault="005374BD" w:rsidP="005374BD">
      <w:pPr>
        <w:pStyle w:val="BulletPointL1"/>
      </w:pPr>
      <w:r w:rsidRPr="005374BD">
        <w:t>using technology to redact personal information from applications to support objective shortlisting</w:t>
      </w:r>
    </w:p>
    <w:p w14:paraId="7B16EAC4" w14:textId="77777777" w:rsidR="005374BD" w:rsidRDefault="005374BD" w:rsidP="00093ABF">
      <w:pPr>
        <w:pStyle w:val="BulletPointL1"/>
        <w:spacing w:after="120"/>
      </w:pPr>
      <w:r w:rsidRPr="005374BD">
        <w:t>using a range of structured a</w:t>
      </w:r>
      <w:r>
        <w:t>ssessments to focus on merit rather than “gut feel”.</w:t>
      </w:r>
    </w:p>
    <w:p w14:paraId="39395232" w14:textId="77777777" w:rsidR="005374BD" w:rsidRDefault="005374BD" w:rsidP="00923326">
      <w:pPr>
        <w:spacing w:after="0"/>
      </w:pPr>
      <w:r>
        <w:t>Manage bias during hiring team discussions by:</w:t>
      </w:r>
    </w:p>
    <w:p w14:paraId="67131EB4" w14:textId="77777777" w:rsidR="005374BD" w:rsidRDefault="005374BD" w:rsidP="00093ABF">
      <w:pPr>
        <w:pStyle w:val="BulletPointL1"/>
        <w:numPr>
          <w:ilvl w:val="0"/>
          <w:numId w:val="24"/>
        </w:numPr>
        <w:ind w:left="142"/>
      </w:pPr>
      <w:r>
        <w:t>acknowledging similarities you share with an applicant and distinguishing personal preference or perceived cultural fit from objective, merit based suitability</w:t>
      </w:r>
    </w:p>
    <w:p w14:paraId="638DD7B9" w14:textId="77777777" w:rsidR="005374BD" w:rsidRDefault="005374BD" w:rsidP="00093ABF">
      <w:pPr>
        <w:pStyle w:val="BulletPointL1"/>
        <w:numPr>
          <w:ilvl w:val="0"/>
          <w:numId w:val="24"/>
        </w:numPr>
        <w:ind w:left="142"/>
      </w:pPr>
      <w:r>
        <w:t>talking openly about unconscious bias and creating a safe environment to acknowledge when views may be influenced by bias rather than evidence</w:t>
      </w:r>
    </w:p>
    <w:p w14:paraId="5399C978" w14:textId="77777777" w:rsidR="005374BD" w:rsidRDefault="005374BD" w:rsidP="00093ABF">
      <w:pPr>
        <w:pStyle w:val="BulletPointL1"/>
        <w:numPr>
          <w:ilvl w:val="0"/>
          <w:numId w:val="24"/>
        </w:numPr>
        <w:ind w:left="142"/>
      </w:pPr>
      <w:r>
        <w:t>recognising and addressing groupthink, for example where panel members conform to the hiring manager’s or dominant view</w:t>
      </w:r>
    </w:p>
    <w:p w14:paraId="1CA73C13" w14:textId="74C3E32F" w:rsidR="001836C9" w:rsidRDefault="005374BD" w:rsidP="00093ABF">
      <w:pPr>
        <w:pStyle w:val="BulletPointL1"/>
        <w:numPr>
          <w:ilvl w:val="0"/>
          <w:numId w:val="24"/>
        </w:numPr>
        <w:spacing w:after="0"/>
        <w:ind w:left="142"/>
        <w:sectPr w:rsidR="001836C9" w:rsidSect="005374BD">
          <w:headerReference w:type="default" r:id="rId10"/>
          <w:footerReference w:type="default" r:id="rId11"/>
          <w:footerReference w:type="first" r:id="rId12"/>
          <w:pgSz w:w="11906" w:h="16838"/>
          <w:pgMar w:top="284" w:right="1134" w:bottom="1440" w:left="1134" w:header="811" w:footer="709" w:gutter="0"/>
          <w:cols w:space="708"/>
          <w:titlePg/>
          <w:docGrid w:linePitch="360"/>
        </w:sectPr>
      </w:pPr>
      <w:r>
        <w:t>including people from diverse backgrounds as part of the hiring tea</w:t>
      </w:r>
    </w:p>
    <w:p w14:paraId="2E9C7448" w14:textId="77777777" w:rsidR="005374BD" w:rsidRDefault="005374BD" w:rsidP="00093ABF">
      <w:pPr>
        <w:pStyle w:val="BulletPointL1"/>
        <w:numPr>
          <w:ilvl w:val="0"/>
          <w:numId w:val="24"/>
        </w:numPr>
        <w:ind w:left="142"/>
      </w:pPr>
      <w:r>
        <w:t>testing the reasons why an applicant could be included, not just excluded, especially if they come from a different age group, gender or cultural background to those assessed positively</w:t>
      </w:r>
    </w:p>
    <w:p w14:paraId="258FC37F" w14:textId="22663C2A" w:rsidR="000D0BED" w:rsidRDefault="005374BD" w:rsidP="00093ABF">
      <w:pPr>
        <w:pStyle w:val="BulletPointL1"/>
        <w:numPr>
          <w:ilvl w:val="0"/>
          <w:numId w:val="24"/>
        </w:numPr>
        <w:spacing w:after="160" w:line="278" w:lineRule="auto"/>
        <w:ind w:left="142" w:right="0"/>
      </w:pPr>
      <w:r>
        <w:t>being an active and constructive contributor if biased comments arise by redirecting discussion back to the job requirements and evidence.</w:t>
      </w:r>
    </w:p>
    <w:p w14:paraId="71221D78" w14:textId="77777777" w:rsidR="000D0BED" w:rsidRDefault="000D0BED" w:rsidP="000D0BED">
      <w:pPr>
        <w:spacing w:after="120"/>
        <w:rPr>
          <w:b/>
          <w:bCs/>
        </w:rPr>
        <w:sectPr w:rsidR="000D0BED" w:rsidSect="001836C9">
          <w:type w:val="continuous"/>
          <w:pgSz w:w="11906" w:h="16838"/>
          <w:pgMar w:top="284" w:right="1134" w:bottom="1440" w:left="1134" w:header="811" w:footer="709" w:gutter="0"/>
          <w:cols w:space="708"/>
          <w:titlePg/>
          <w:docGrid w:linePitch="360"/>
        </w:sectPr>
      </w:pPr>
    </w:p>
    <w:p w14:paraId="410BC72C" w14:textId="77777777" w:rsidR="000D0BED" w:rsidRPr="00E41314" w:rsidRDefault="000D0BED" w:rsidP="000D0BED">
      <w:pPr>
        <w:spacing w:after="120"/>
        <w:rPr>
          <w:b/>
          <w:bCs/>
        </w:rPr>
      </w:pPr>
      <w:r w:rsidRPr="00E41314">
        <w:rPr>
          <w:b/>
          <w:bCs/>
        </w:rPr>
        <w:lastRenderedPageBreak/>
        <w:t>Common types and examples of unconscious bias</w:t>
      </w:r>
    </w:p>
    <w:tbl>
      <w:tblPr>
        <w:tblW w:w="14888"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8" w:type="dxa"/>
          <w:bottom w:w="8" w:type="dxa"/>
          <w:right w:w="8" w:type="dxa"/>
        </w:tblCellMar>
        <w:tblLook w:val="04A0" w:firstRow="1" w:lastRow="0" w:firstColumn="1" w:lastColumn="0" w:noHBand="0" w:noVBand="1"/>
      </w:tblPr>
      <w:tblGrid>
        <w:gridCol w:w="2555"/>
        <w:gridCol w:w="6096"/>
        <w:gridCol w:w="6237"/>
      </w:tblGrid>
      <w:tr w:rsidR="000D0BED" w:rsidRPr="00E41314" w14:paraId="2AAACF0A" w14:textId="77777777" w:rsidTr="00093ABF">
        <w:trPr>
          <w:tblHeader/>
        </w:trPr>
        <w:tc>
          <w:tcPr>
            <w:tcW w:w="2555" w:type="dxa"/>
            <w:tcBorders>
              <w:right w:val="single" w:sz="8" w:space="0" w:color="FFFFFF" w:themeColor="background1"/>
            </w:tcBorders>
            <w:shd w:val="clear" w:color="auto" w:fill="000000" w:themeFill="text1"/>
            <w:vAlign w:val="center"/>
            <w:hideMark/>
          </w:tcPr>
          <w:p w14:paraId="7BE4B52D" w14:textId="77777777" w:rsidR="000D0BED" w:rsidRPr="00E41314" w:rsidRDefault="000D0BED" w:rsidP="00093ABF">
            <w:pPr>
              <w:spacing w:before="60" w:after="60"/>
              <w:ind w:left="143" w:right="0"/>
              <w:rPr>
                <w:b/>
                <w:bCs/>
              </w:rPr>
            </w:pPr>
            <w:r w:rsidRPr="00E41314">
              <w:rPr>
                <w:b/>
                <w:bCs/>
                <w:lang w:eastAsia="en-AU"/>
              </w:rPr>
              <w:t>Type</w:t>
            </w:r>
          </w:p>
        </w:tc>
        <w:tc>
          <w:tcPr>
            <w:tcW w:w="6096" w:type="dxa"/>
            <w:tcBorders>
              <w:left w:val="single" w:sz="8" w:space="0" w:color="FFFFFF" w:themeColor="background1"/>
              <w:right w:val="single" w:sz="8" w:space="0" w:color="FFFFFF" w:themeColor="background1"/>
            </w:tcBorders>
            <w:shd w:val="clear" w:color="auto" w:fill="000000" w:themeFill="text1"/>
            <w:vAlign w:val="center"/>
            <w:hideMark/>
          </w:tcPr>
          <w:p w14:paraId="10078985" w14:textId="77777777" w:rsidR="000D0BED" w:rsidRPr="00E41314" w:rsidRDefault="000D0BED" w:rsidP="00093ABF">
            <w:pPr>
              <w:spacing w:before="60" w:after="60"/>
              <w:ind w:left="131" w:right="130"/>
              <w:rPr>
                <w:b/>
                <w:bCs/>
              </w:rPr>
            </w:pPr>
            <w:r w:rsidRPr="00E41314">
              <w:rPr>
                <w:b/>
                <w:bCs/>
                <w:lang w:eastAsia="en-AU"/>
              </w:rPr>
              <w:t>Explanation</w:t>
            </w:r>
          </w:p>
        </w:tc>
        <w:tc>
          <w:tcPr>
            <w:tcW w:w="6237" w:type="dxa"/>
            <w:tcBorders>
              <w:left w:val="single" w:sz="8" w:space="0" w:color="FFFFFF" w:themeColor="background1"/>
            </w:tcBorders>
            <w:shd w:val="clear" w:color="auto" w:fill="000000" w:themeFill="text1"/>
          </w:tcPr>
          <w:p w14:paraId="0C3364B3" w14:textId="77777777" w:rsidR="000D0BED" w:rsidRPr="00E41314" w:rsidRDefault="000D0BED" w:rsidP="00093ABF">
            <w:pPr>
              <w:spacing w:before="60" w:after="60"/>
              <w:ind w:left="139" w:right="0"/>
              <w:rPr>
                <w:b/>
                <w:bCs/>
                <w:lang w:eastAsia="en-AU"/>
              </w:rPr>
            </w:pPr>
            <w:r w:rsidRPr="00E41314">
              <w:rPr>
                <w:b/>
                <w:bCs/>
                <w:lang w:eastAsia="en-AU"/>
              </w:rPr>
              <w:t>Example during a recruitment process</w:t>
            </w:r>
          </w:p>
        </w:tc>
      </w:tr>
      <w:tr w:rsidR="000D0BED" w:rsidRPr="00E41314" w14:paraId="722EB07C" w14:textId="77777777" w:rsidTr="00093ABF">
        <w:trPr>
          <w:cantSplit/>
          <w:trHeight w:val="2275"/>
        </w:trPr>
        <w:tc>
          <w:tcPr>
            <w:tcW w:w="2555" w:type="dxa"/>
            <w:shd w:val="clear" w:color="auto" w:fill="FFFFFF" w:themeFill="background1"/>
          </w:tcPr>
          <w:p w14:paraId="75D58C52" w14:textId="77777777" w:rsidR="000D0BED" w:rsidRPr="00E41314" w:rsidRDefault="000D0BED" w:rsidP="00093ABF">
            <w:pPr>
              <w:spacing w:before="60" w:after="60"/>
              <w:ind w:left="143" w:right="0"/>
            </w:pPr>
            <w:r w:rsidRPr="00E41314">
              <w:t>Affinity bias</w:t>
            </w:r>
          </w:p>
        </w:tc>
        <w:tc>
          <w:tcPr>
            <w:tcW w:w="6096" w:type="dxa"/>
            <w:shd w:val="clear" w:color="auto" w:fill="FFFFFF"/>
          </w:tcPr>
          <w:p w14:paraId="1C750FE4" w14:textId="77777777" w:rsidR="000D0BED" w:rsidRDefault="000D0BED" w:rsidP="00093ABF">
            <w:pPr>
              <w:spacing w:before="60" w:after="60"/>
              <w:ind w:left="130" w:right="133"/>
            </w:pPr>
            <w:r>
              <w:t xml:space="preserve">Tendency to like people who are </w:t>
            </w:r>
            <w:proofErr w:type="gramStart"/>
            <w:r>
              <w:t>similar to</w:t>
            </w:r>
            <w:proofErr w:type="gramEnd"/>
            <w:r>
              <w:t xml:space="preserve"> us or remind us of someone we like. </w:t>
            </w:r>
          </w:p>
          <w:p w14:paraId="51EF5918" w14:textId="77777777" w:rsidR="000D0BED" w:rsidRPr="00E41314" w:rsidRDefault="000D0BED" w:rsidP="00093ABF">
            <w:pPr>
              <w:spacing w:before="60" w:after="60"/>
              <w:ind w:left="130" w:right="133"/>
            </w:pPr>
            <w:r>
              <w:t>This bias means we may gravitate towards applicants who we feel share our interests, beliefs and background.</w:t>
            </w:r>
          </w:p>
        </w:tc>
        <w:tc>
          <w:tcPr>
            <w:tcW w:w="6237" w:type="dxa"/>
          </w:tcPr>
          <w:p w14:paraId="6639E18E" w14:textId="77777777" w:rsidR="000D0BED" w:rsidRPr="00E41314" w:rsidRDefault="000D0BED" w:rsidP="00093ABF">
            <w:pPr>
              <w:spacing w:before="60" w:after="60"/>
              <w:ind w:left="130" w:right="130"/>
            </w:pPr>
            <w:r w:rsidRPr="00E41314">
              <w:t>Assessors identify certain things in common with an applicant resulting in an increased sense of rapport and assumption that the applicant is:</w:t>
            </w:r>
          </w:p>
          <w:p w14:paraId="558EFDBE" w14:textId="77777777" w:rsidR="000D0BED" w:rsidRPr="00E41314" w:rsidRDefault="000D0BED" w:rsidP="00093ABF">
            <w:pPr>
              <w:pStyle w:val="BulletPointL1"/>
              <w:numPr>
                <w:ilvl w:val="0"/>
                <w:numId w:val="24"/>
              </w:numPr>
              <w:spacing w:before="60" w:after="60"/>
              <w:ind w:left="496"/>
            </w:pPr>
            <w:r w:rsidRPr="00E41314">
              <w:t>intelligent because they attended the same university</w:t>
            </w:r>
          </w:p>
          <w:p w14:paraId="69A95736" w14:textId="77777777" w:rsidR="000D0BED" w:rsidRPr="00E41314" w:rsidRDefault="000D0BED" w:rsidP="00093ABF">
            <w:pPr>
              <w:pStyle w:val="BulletPointL1"/>
              <w:numPr>
                <w:ilvl w:val="0"/>
                <w:numId w:val="24"/>
              </w:numPr>
              <w:spacing w:before="60" w:after="60"/>
              <w:ind w:left="496"/>
            </w:pPr>
            <w:r w:rsidRPr="00E41314">
              <w:t xml:space="preserve">qualified for the role as they share the same </w:t>
            </w:r>
            <w:r>
              <w:br/>
            </w:r>
            <w:r w:rsidRPr="00E41314">
              <w:t>qualification</w:t>
            </w:r>
          </w:p>
          <w:p w14:paraId="20838FC1" w14:textId="77777777" w:rsidR="000D0BED" w:rsidRPr="00E41314" w:rsidRDefault="000D0BED" w:rsidP="00093ABF">
            <w:pPr>
              <w:pStyle w:val="BulletPointL1"/>
              <w:numPr>
                <w:ilvl w:val="0"/>
                <w:numId w:val="24"/>
              </w:numPr>
              <w:spacing w:before="60" w:after="60"/>
              <w:ind w:left="496"/>
            </w:pPr>
            <w:r w:rsidRPr="00E41314">
              <w:t>a ‘good fit’ for the team as they are of a similar age.</w:t>
            </w:r>
          </w:p>
        </w:tc>
      </w:tr>
      <w:tr w:rsidR="000D0BED" w:rsidRPr="00E41314" w14:paraId="1A7126BF" w14:textId="77777777" w:rsidTr="00093ABF">
        <w:trPr>
          <w:trHeight w:val="2675"/>
        </w:trPr>
        <w:tc>
          <w:tcPr>
            <w:tcW w:w="2555" w:type="dxa"/>
            <w:shd w:val="clear" w:color="auto" w:fill="FFFFFF" w:themeFill="background1"/>
            <w:hideMark/>
          </w:tcPr>
          <w:p w14:paraId="043568EE" w14:textId="77777777" w:rsidR="000D0BED" w:rsidRPr="00E41314" w:rsidRDefault="000D0BED" w:rsidP="00093ABF">
            <w:pPr>
              <w:spacing w:before="60" w:after="60"/>
              <w:ind w:left="143" w:right="0"/>
            </w:pPr>
            <w:r w:rsidRPr="00E41314">
              <w:t>Availability heuristic bias</w:t>
            </w:r>
          </w:p>
        </w:tc>
        <w:tc>
          <w:tcPr>
            <w:tcW w:w="6096" w:type="dxa"/>
            <w:shd w:val="clear" w:color="auto" w:fill="FFFFFF"/>
            <w:hideMark/>
          </w:tcPr>
          <w:p w14:paraId="10072AE3" w14:textId="77777777" w:rsidR="000D0BED" w:rsidRPr="00E41314" w:rsidRDefault="000D0BED" w:rsidP="00093ABF">
            <w:pPr>
              <w:spacing w:before="60" w:after="60"/>
              <w:ind w:left="130" w:right="133"/>
            </w:pPr>
            <w:r w:rsidRPr="00E41314">
              <w:t xml:space="preserve">Our brain using mental short cuts to make quick decisions. </w:t>
            </w:r>
          </w:p>
          <w:p w14:paraId="7E04F152" w14:textId="77777777" w:rsidR="000D0BED" w:rsidRPr="00E41314" w:rsidRDefault="000D0BED" w:rsidP="00093ABF">
            <w:pPr>
              <w:spacing w:before="60" w:after="60"/>
              <w:ind w:left="130" w:right="133"/>
            </w:pPr>
            <w:r w:rsidRPr="00E41314">
              <w:t>This bias makes decision making easier by drawing on emotional cues, familiar facts and vivid images we have experienced. We may take attributes of the applicant and make assumptions about them based on our recollection and experiences of a person with similar attributes.</w:t>
            </w:r>
          </w:p>
        </w:tc>
        <w:tc>
          <w:tcPr>
            <w:tcW w:w="6237" w:type="dxa"/>
          </w:tcPr>
          <w:p w14:paraId="1EAAD319" w14:textId="77777777" w:rsidR="000D0BED" w:rsidRPr="00E41314" w:rsidRDefault="000D0BED" w:rsidP="00093ABF">
            <w:pPr>
              <w:spacing w:before="60" w:after="60"/>
              <w:ind w:left="130" w:right="133"/>
            </w:pPr>
            <w:r w:rsidRPr="00E41314">
              <w:t>Lead assessor identifies an applicant has shared their birth date on their resume. The applicant is under 25 years old and the assessor remembers a previous staff member of a similar age who rarely completed assigned tasks and was eventually managed for underperformance. The assessor worries that, although the applicant has submitted a strong application, they could repeat behaviours and performance like the previous staff member.</w:t>
            </w:r>
          </w:p>
        </w:tc>
      </w:tr>
      <w:tr w:rsidR="000D0BED" w:rsidRPr="00E41314" w14:paraId="5EC81A38" w14:textId="77777777" w:rsidTr="00E7653E">
        <w:tc>
          <w:tcPr>
            <w:tcW w:w="2555" w:type="dxa"/>
            <w:shd w:val="clear" w:color="auto" w:fill="FFFFFF" w:themeFill="background1"/>
            <w:hideMark/>
          </w:tcPr>
          <w:p w14:paraId="01E83DDD" w14:textId="77777777" w:rsidR="000D0BED" w:rsidRPr="00E41314" w:rsidRDefault="000D0BED" w:rsidP="00093ABF">
            <w:pPr>
              <w:spacing w:before="60" w:after="60"/>
              <w:ind w:left="143" w:right="0"/>
            </w:pPr>
            <w:r w:rsidRPr="00E41314">
              <w:t>Confirmation bias</w:t>
            </w:r>
          </w:p>
        </w:tc>
        <w:tc>
          <w:tcPr>
            <w:tcW w:w="6096" w:type="dxa"/>
            <w:shd w:val="clear" w:color="auto" w:fill="FFFFFF"/>
            <w:hideMark/>
          </w:tcPr>
          <w:p w14:paraId="4599FDE8" w14:textId="77777777" w:rsidR="000D0BED" w:rsidRPr="00E41314" w:rsidRDefault="000D0BED" w:rsidP="00093ABF">
            <w:pPr>
              <w:spacing w:before="60" w:after="60"/>
              <w:ind w:left="130" w:right="133"/>
            </w:pPr>
            <w:r w:rsidRPr="00E41314">
              <w:t>Seeking and/or favouring information that confirms our beliefs or what we already think to be true rather than assessing the facts objectively.</w:t>
            </w:r>
          </w:p>
          <w:p w14:paraId="3FAE9715" w14:textId="77777777" w:rsidR="000D0BED" w:rsidRPr="00E41314" w:rsidRDefault="000D0BED" w:rsidP="00093ABF">
            <w:pPr>
              <w:spacing w:before="60" w:after="60"/>
              <w:ind w:left="130" w:right="133"/>
            </w:pPr>
            <w:r w:rsidRPr="00E41314">
              <w:t>This bias can lead to discrimination based on preconceived ideas about social group, race, sex, gender orientation, disability or age.</w:t>
            </w:r>
          </w:p>
        </w:tc>
        <w:tc>
          <w:tcPr>
            <w:tcW w:w="6237" w:type="dxa"/>
          </w:tcPr>
          <w:p w14:paraId="27E6DD64" w14:textId="4B3455D5" w:rsidR="001836C9" w:rsidRPr="001836C9" w:rsidRDefault="000D0BED" w:rsidP="00093ABF">
            <w:pPr>
              <w:spacing w:before="60" w:after="60"/>
              <w:ind w:left="130" w:right="133"/>
            </w:pPr>
            <w:r w:rsidRPr="00E41314">
              <w:t>At interview an applicant shares they are the parent of young children. An assessor seeks to confirm their perception that this applicant is going to need a lot of leave by asking them questions framed around their family and caring responsibilities that they do not ask other applicants.</w:t>
            </w:r>
          </w:p>
        </w:tc>
      </w:tr>
      <w:tr w:rsidR="000D0BED" w:rsidRPr="00E41314" w14:paraId="036123FE" w14:textId="77777777" w:rsidTr="00E7653E">
        <w:trPr>
          <w:cantSplit/>
        </w:trPr>
        <w:tc>
          <w:tcPr>
            <w:tcW w:w="2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A2CED4" w14:textId="77777777" w:rsidR="000D0BED" w:rsidRPr="00E41314" w:rsidRDefault="000D0BED" w:rsidP="00093ABF">
            <w:pPr>
              <w:spacing w:before="60" w:after="60"/>
              <w:ind w:left="143" w:right="0"/>
            </w:pPr>
            <w:r w:rsidRPr="00E41314">
              <w:lastRenderedPageBreak/>
              <w:t>Endowment effect bias</w:t>
            </w:r>
          </w:p>
        </w:tc>
        <w:tc>
          <w:tcPr>
            <w:tcW w:w="6096" w:type="dxa"/>
            <w:tcBorders>
              <w:top w:val="single" w:sz="4" w:space="0" w:color="auto"/>
              <w:left w:val="single" w:sz="4" w:space="0" w:color="auto"/>
              <w:bottom w:val="single" w:sz="4" w:space="0" w:color="auto"/>
              <w:right w:val="single" w:sz="4" w:space="0" w:color="auto"/>
            </w:tcBorders>
            <w:shd w:val="clear" w:color="auto" w:fill="FFFFFF"/>
            <w:hideMark/>
          </w:tcPr>
          <w:p w14:paraId="29E577DA" w14:textId="77777777" w:rsidR="000D0BED" w:rsidRPr="00E41314" w:rsidRDefault="000D0BED" w:rsidP="00093ABF">
            <w:pPr>
              <w:spacing w:before="60" w:after="60"/>
              <w:ind w:left="130" w:right="133"/>
            </w:pPr>
            <w:r w:rsidRPr="00E41314">
              <w:t>Tendency to assign more value to objects or resources that we own compared to those belonging to someone else.</w:t>
            </w:r>
          </w:p>
          <w:p w14:paraId="6333C20E" w14:textId="77777777" w:rsidR="000D0BED" w:rsidRPr="00E41314" w:rsidRDefault="000D0BED" w:rsidP="00093ABF">
            <w:pPr>
              <w:spacing w:before="60" w:after="60"/>
              <w:ind w:left="130" w:right="133"/>
            </w:pPr>
            <w:r w:rsidRPr="00E41314">
              <w:t>This bias could mean the skills and characteristics of current staff are valued more than considering new talent.</w:t>
            </w:r>
          </w:p>
        </w:tc>
        <w:tc>
          <w:tcPr>
            <w:tcW w:w="6237" w:type="dxa"/>
            <w:tcBorders>
              <w:top w:val="single" w:sz="4" w:space="0" w:color="auto"/>
              <w:left w:val="single" w:sz="4" w:space="0" w:color="auto"/>
              <w:bottom w:val="single" w:sz="4" w:space="0" w:color="auto"/>
              <w:right w:val="single" w:sz="4" w:space="0" w:color="auto"/>
            </w:tcBorders>
          </w:tcPr>
          <w:p w14:paraId="53A88773" w14:textId="77777777" w:rsidR="000D0BED" w:rsidRPr="00E41314" w:rsidRDefault="000D0BED" w:rsidP="00093ABF">
            <w:pPr>
              <w:spacing w:before="60" w:after="60"/>
              <w:ind w:left="130" w:right="133"/>
            </w:pPr>
            <w:r w:rsidRPr="00E41314">
              <w:t>An applicant is applying for a role they are currently working in. The lead assessor has a direct working relationship with the applicant and values their contribution to the role. Another applicant has the same skills, experience and abilities but the assessor does not give these the same consideration or recognition as the current staff member.</w:t>
            </w:r>
          </w:p>
        </w:tc>
      </w:tr>
      <w:tr w:rsidR="000D0BED" w:rsidRPr="00E41314" w14:paraId="5598FD92" w14:textId="77777777" w:rsidTr="00093ABF">
        <w:trPr>
          <w:trHeight w:val="2150"/>
        </w:trPr>
        <w:tc>
          <w:tcPr>
            <w:tcW w:w="2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AE7940" w14:textId="77777777" w:rsidR="000D0BED" w:rsidRPr="00E41314" w:rsidRDefault="000D0BED" w:rsidP="00093ABF">
            <w:pPr>
              <w:spacing w:before="60" w:after="60"/>
              <w:ind w:left="143" w:right="0"/>
            </w:pPr>
            <w:r w:rsidRPr="00E41314">
              <w:t>Conformity bias</w:t>
            </w:r>
          </w:p>
        </w:tc>
        <w:tc>
          <w:tcPr>
            <w:tcW w:w="6096" w:type="dxa"/>
            <w:tcBorders>
              <w:top w:val="single" w:sz="4" w:space="0" w:color="auto"/>
              <w:left w:val="single" w:sz="4" w:space="0" w:color="auto"/>
              <w:bottom w:val="single" w:sz="4" w:space="0" w:color="auto"/>
              <w:right w:val="single" w:sz="4" w:space="0" w:color="auto"/>
            </w:tcBorders>
            <w:shd w:val="clear" w:color="auto" w:fill="FFFFFF"/>
            <w:hideMark/>
          </w:tcPr>
          <w:p w14:paraId="006E6C03" w14:textId="77777777" w:rsidR="000D0BED" w:rsidRPr="00E41314" w:rsidRDefault="000D0BED" w:rsidP="00093ABF">
            <w:pPr>
              <w:spacing w:before="60" w:after="60"/>
              <w:ind w:left="130" w:right="133"/>
            </w:pPr>
            <w:r w:rsidRPr="00E41314">
              <w:t>When members of a group make decisions and behave like those around them rather than using their own personal judgment (sometimes referred to as groupthink).</w:t>
            </w:r>
          </w:p>
          <w:p w14:paraId="273267D0" w14:textId="77777777" w:rsidR="000D0BED" w:rsidRPr="00E41314" w:rsidRDefault="000D0BED" w:rsidP="00093ABF">
            <w:pPr>
              <w:spacing w:before="60" w:after="60"/>
              <w:ind w:left="130" w:right="133"/>
            </w:pPr>
            <w:r w:rsidRPr="00E41314">
              <w:t xml:space="preserve">This bias means a person may change or not voice their own opinions to avoid conflict and maintain the perceived group views. </w:t>
            </w:r>
          </w:p>
        </w:tc>
        <w:tc>
          <w:tcPr>
            <w:tcW w:w="6237" w:type="dxa"/>
            <w:tcBorders>
              <w:top w:val="single" w:sz="4" w:space="0" w:color="auto"/>
              <w:left w:val="single" w:sz="4" w:space="0" w:color="auto"/>
              <w:bottom w:val="single" w:sz="4" w:space="0" w:color="auto"/>
              <w:right w:val="single" w:sz="4" w:space="0" w:color="auto"/>
            </w:tcBorders>
          </w:tcPr>
          <w:p w14:paraId="53C55D4C" w14:textId="77777777" w:rsidR="000D0BED" w:rsidRPr="00E41314" w:rsidDel="00751C19" w:rsidRDefault="000D0BED" w:rsidP="00093ABF">
            <w:pPr>
              <w:spacing w:before="60" w:after="60"/>
              <w:ind w:left="130" w:right="133"/>
            </w:pPr>
            <w:r w:rsidRPr="00E41314">
              <w:t>An assessment panel includes a senior executive manager, long term manager and junior staff member. Both managers share the same opinion about an applicant which the junior staff member does not agree with. The junior staff member does not discuss their differing opinion as they want to avoid conflict.</w:t>
            </w:r>
          </w:p>
        </w:tc>
      </w:tr>
      <w:tr w:rsidR="000D0BED" w:rsidRPr="00E41314" w14:paraId="11E7D4BE" w14:textId="77777777" w:rsidTr="00093ABF">
        <w:trPr>
          <w:trHeight w:val="2238"/>
        </w:trPr>
        <w:tc>
          <w:tcPr>
            <w:tcW w:w="2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449ACF" w14:textId="77777777" w:rsidR="000D0BED" w:rsidRPr="00E41314" w:rsidRDefault="000D0BED" w:rsidP="00093ABF">
            <w:pPr>
              <w:spacing w:before="60" w:after="60"/>
              <w:ind w:left="143" w:right="0"/>
            </w:pPr>
            <w:r w:rsidRPr="00E41314">
              <w:t>Halo effect bias</w:t>
            </w:r>
          </w:p>
        </w:tc>
        <w:tc>
          <w:tcPr>
            <w:tcW w:w="6096" w:type="dxa"/>
            <w:tcBorders>
              <w:top w:val="single" w:sz="4" w:space="0" w:color="auto"/>
              <w:left w:val="single" w:sz="4" w:space="0" w:color="auto"/>
              <w:bottom w:val="single" w:sz="4" w:space="0" w:color="auto"/>
              <w:right w:val="single" w:sz="4" w:space="0" w:color="auto"/>
            </w:tcBorders>
            <w:shd w:val="clear" w:color="auto" w:fill="FFFFFF"/>
            <w:hideMark/>
          </w:tcPr>
          <w:p w14:paraId="07F3F010" w14:textId="77777777" w:rsidR="000D0BED" w:rsidRPr="00E41314" w:rsidRDefault="000D0BED" w:rsidP="00093ABF">
            <w:pPr>
              <w:spacing w:before="60" w:after="60"/>
              <w:ind w:left="130" w:right="133"/>
            </w:pPr>
            <w:r w:rsidRPr="00E41314">
              <w:t>Overall positive impression of someone because of one or more of their qualities or traits.</w:t>
            </w:r>
          </w:p>
          <w:p w14:paraId="344D48C4" w14:textId="77777777" w:rsidR="000D0BED" w:rsidRPr="00E41314" w:rsidRDefault="000D0BED" w:rsidP="00093ABF">
            <w:pPr>
              <w:spacing w:before="60" w:after="60"/>
              <w:ind w:left="130" w:right="133"/>
            </w:pPr>
            <w:r w:rsidRPr="00E41314">
              <w:t>This bias puts too much positive weight or judgement on a trait, characteristic or quality which may influence the assessment of an applicant and lead to assumptions they are suitable for the role rather than relying on objective factors.</w:t>
            </w:r>
          </w:p>
        </w:tc>
        <w:tc>
          <w:tcPr>
            <w:tcW w:w="6237" w:type="dxa"/>
            <w:tcBorders>
              <w:top w:val="single" w:sz="4" w:space="0" w:color="auto"/>
              <w:left w:val="single" w:sz="4" w:space="0" w:color="auto"/>
              <w:bottom w:val="single" w:sz="4" w:space="0" w:color="auto"/>
              <w:right w:val="single" w:sz="4" w:space="0" w:color="auto"/>
            </w:tcBorders>
          </w:tcPr>
          <w:p w14:paraId="13ED4E77" w14:textId="77777777" w:rsidR="000D0BED" w:rsidRPr="00E41314" w:rsidDel="00751C19" w:rsidRDefault="000D0BED" w:rsidP="00093ABF">
            <w:pPr>
              <w:spacing w:before="60" w:after="60"/>
              <w:ind w:left="130" w:right="133"/>
            </w:pPr>
            <w:r w:rsidRPr="00E41314">
              <w:t xml:space="preserve">An applicant has the same skills, experience and ability as another but, after an assessor notes they graduated from a highly reputable university, some or </w:t>
            </w:r>
            <w:proofErr w:type="gramStart"/>
            <w:r w:rsidRPr="00E41314">
              <w:t>all of</w:t>
            </w:r>
            <w:proofErr w:type="gramEnd"/>
            <w:r w:rsidRPr="00E41314">
              <w:t xml:space="preserve"> the assessors now view the applicant in a more positive light and more suitable for the role.</w:t>
            </w:r>
          </w:p>
        </w:tc>
      </w:tr>
    </w:tbl>
    <w:p w14:paraId="264A295D" w14:textId="77777777" w:rsidR="005374BD" w:rsidRPr="00A32349" w:rsidRDefault="005374BD" w:rsidP="000D0BED">
      <w:pPr>
        <w:spacing w:after="120"/>
        <w:ind w:left="-215"/>
      </w:pPr>
    </w:p>
    <w:sectPr w:rsidR="005374BD" w:rsidRPr="00A32349" w:rsidSect="001836C9">
      <w:footerReference w:type="default" r:id="rId13"/>
      <w:footerReference w:type="first" r:id="rId14"/>
      <w:pgSz w:w="16838" w:h="11906" w:orient="landscape" w:code="9"/>
      <w:pgMar w:top="1134" w:right="284" w:bottom="1134" w:left="1440" w:header="81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728B" w14:textId="77777777" w:rsidR="0070722D" w:rsidRDefault="0070722D" w:rsidP="005374BD">
      <w:r>
        <w:separator/>
      </w:r>
    </w:p>
  </w:endnote>
  <w:endnote w:type="continuationSeparator" w:id="0">
    <w:p w14:paraId="0C5CE93D" w14:textId="77777777" w:rsidR="0070722D" w:rsidRDefault="0070722D" w:rsidP="0053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704047"/>
      <w:docPartObj>
        <w:docPartGallery w:val="Page Numbers (Bottom of Page)"/>
        <w:docPartUnique/>
      </w:docPartObj>
    </w:sdtPr>
    <w:sdtEndPr>
      <w:rPr>
        <w:noProof/>
      </w:rPr>
    </w:sdtEndPr>
    <w:sdtContent>
      <w:p w14:paraId="228A7300" w14:textId="5D7C757B" w:rsidR="000D0BED" w:rsidRDefault="001836C9" w:rsidP="001836C9">
        <w:pPr>
          <w:pStyle w:val="Footer"/>
          <w:tabs>
            <w:tab w:val="clear" w:pos="9026"/>
          </w:tabs>
          <w:ind w:right="-427"/>
          <w:jc w:val="right"/>
        </w:pP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tab/>
        </w:r>
        <w:r w:rsidRPr="001836C9">
          <w:t>PSC26025776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82BA" w14:textId="072B1469" w:rsidR="000D0BED" w:rsidRDefault="001836C9" w:rsidP="001836C9">
    <w:pPr>
      <w:pStyle w:val="Footer"/>
      <w:jc w:val="right"/>
    </w:pPr>
    <w:r w:rsidRPr="001836C9">
      <w:t>PSC26025776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996765"/>
      <w:docPartObj>
        <w:docPartGallery w:val="Page Numbers (Bottom of Page)"/>
        <w:docPartUnique/>
      </w:docPartObj>
    </w:sdtPr>
    <w:sdtEndPr>
      <w:rPr>
        <w:noProof/>
      </w:rPr>
    </w:sdtEndPr>
    <w:sdtContent>
      <w:p w14:paraId="7E0A2E34" w14:textId="6AA660F6" w:rsidR="001836C9" w:rsidRDefault="001836C9" w:rsidP="001836C9">
        <w:pPr>
          <w:pStyle w:val="Footer"/>
          <w:ind w:right="513"/>
          <w:jc w:val="right"/>
        </w:pPr>
        <w:r>
          <w:fldChar w:fldCharType="begin"/>
        </w:r>
        <w:r>
          <w:instrText xml:space="preserve"> PAGE   \* MERGEFORMAT </w:instrText>
        </w:r>
        <w:r>
          <w:fldChar w:fldCharType="separate"/>
        </w:r>
        <w:r>
          <w:rPr>
            <w:noProof/>
          </w:rPr>
          <w:t>2</w:t>
        </w:r>
        <w:r>
          <w:rPr>
            <w:noProof/>
          </w:rPr>
          <w:fldChar w:fldCharType="end"/>
        </w:r>
        <w:r>
          <w:rPr>
            <w:noProof/>
          </w:rPr>
          <w:tab/>
          <w:t xml:space="preserve">                                           </w:t>
        </w:r>
        <w:r w:rsidRPr="001836C9">
          <w:rPr>
            <w:noProof/>
          </w:rPr>
          <w:t>PSC26025776</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364B" w14:textId="77777777" w:rsidR="001836C9" w:rsidRDefault="001836C9" w:rsidP="001836C9">
    <w:pPr>
      <w:pStyle w:val="Footer"/>
      <w:ind w:right="513"/>
      <w:jc w:val="right"/>
    </w:pPr>
    <w:r w:rsidRPr="001836C9">
      <w:t>PSC26025776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DB12" w14:textId="77777777" w:rsidR="0070722D" w:rsidRDefault="0070722D" w:rsidP="005374BD">
      <w:r>
        <w:separator/>
      </w:r>
    </w:p>
  </w:footnote>
  <w:footnote w:type="continuationSeparator" w:id="0">
    <w:p w14:paraId="7CDEE354" w14:textId="77777777" w:rsidR="0070722D" w:rsidRDefault="0070722D" w:rsidP="0053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3715" w14:textId="5A359643" w:rsidR="001836C9" w:rsidRPr="001836C9" w:rsidRDefault="001836C9" w:rsidP="001836C9">
    <w:pPr>
      <w:pStyle w:val="Heade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9A48F0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41548C1"/>
    <w:multiLevelType w:val="hybridMultilevel"/>
    <w:tmpl w:val="9A90F566"/>
    <w:lvl w:ilvl="0" w:tplc="818683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E04CF2"/>
    <w:multiLevelType w:val="hybridMultilevel"/>
    <w:tmpl w:val="26248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BB6526"/>
    <w:multiLevelType w:val="hybridMultilevel"/>
    <w:tmpl w:val="546AF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1057473"/>
    <w:multiLevelType w:val="hybridMultilevel"/>
    <w:tmpl w:val="4370A2EA"/>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27A21F38"/>
    <w:multiLevelType w:val="multilevel"/>
    <w:tmpl w:val="10A26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C3EA8"/>
    <w:multiLevelType w:val="hybridMultilevel"/>
    <w:tmpl w:val="CDF4BA56"/>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303635F0"/>
    <w:multiLevelType w:val="hybridMultilevel"/>
    <w:tmpl w:val="EB4C7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511120A"/>
    <w:multiLevelType w:val="hybridMultilevel"/>
    <w:tmpl w:val="98C2C576"/>
    <w:lvl w:ilvl="0" w:tplc="818683A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5762B51"/>
    <w:multiLevelType w:val="hybridMultilevel"/>
    <w:tmpl w:val="1C625D06"/>
    <w:lvl w:ilvl="0" w:tplc="2116AACE">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B30D47"/>
    <w:multiLevelType w:val="hybridMultilevel"/>
    <w:tmpl w:val="11926DE6"/>
    <w:lvl w:ilvl="0" w:tplc="818683A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F30D7E"/>
    <w:multiLevelType w:val="hybridMultilevel"/>
    <w:tmpl w:val="A21440C4"/>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44430631"/>
    <w:multiLevelType w:val="hybridMultilevel"/>
    <w:tmpl w:val="4A0E8650"/>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13" w15:restartNumberingAfterBreak="0">
    <w:nsid w:val="46336198"/>
    <w:multiLevelType w:val="hybridMultilevel"/>
    <w:tmpl w:val="240C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9E7315"/>
    <w:multiLevelType w:val="hybridMultilevel"/>
    <w:tmpl w:val="849CC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B050F80"/>
    <w:multiLevelType w:val="hybridMultilevel"/>
    <w:tmpl w:val="A184BB7A"/>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6" w15:restartNumberingAfterBreak="0">
    <w:nsid w:val="5DB247B2"/>
    <w:multiLevelType w:val="hybridMultilevel"/>
    <w:tmpl w:val="851CE57C"/>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7" w15:restartNumberingAfterBreak="0">
    <w:nsid w:val="5F307DF7"/>
    <w:multiLevelType w:val="hybridMultilevel"/>
    <w:tmpl w:val="695A3D7E"/>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18" w15:restartNumberingAfterBreak="0">
    <w:nsid w:val="67420FB4"/>
    <w:multiLevelType w:val="hybridMultilevel"/>
    <w:tmpl w:val="9BDCEC00"/>
    <w:lvl w:ilvl="0" w:tplc="818683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3948BA"/>
    <w:multiLevelType w:val="hybridMultilevel"/>
    <w:tmpl w:val="A2B0E84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20" w15:restartNumberingAfterBreak="0">
    <w:nsid w:val="6E306844"/>
    <w:multiLevelType w:val="multilevel"/>
    <w:tmpl w:val="1374C2B2"/>
    <w:lvl w:ilvl="0">
      <w:start w:val="1"/>
      <w:numFmt w:val="bullet"/>
      <w:pStyle w:val="BulletPointL2"/>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0431951"/>
    <w:multiLevelType w:val="hybridMultilevel"/>
    <w:tmpl w:val="2F5E878A"/>
    <w:lvl w:ilvl="0" w:tplc="207EEB6A">
      <w:start w:val="1"/>
      <w:numFmt w:val="bullet"/>
      <w:pStyle w:val="BulletPointL1"/>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2" w15:restartNumberingAfterBreak="0">
    <w:nsid w:val="72D06D6C"/>
    <w:multiLevelType w:val="hybridMultilevel"/>
    <w:tmpl w:val="49720826"/>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3" w15:restartNumberingAfterBreak="0">
    <w:nsid w:val="734023D4"/>
    <w:multiLevelType w:val="hybridMultilevel"/>
    <w:tmpl w:val="557CFDFC"/>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1879471339">
    <w:abstractNumId w:val="5"/>
  </w:num>
  <w:num w:numId="2" w16cid:durableId="934901339">
    <w:abstractNumId w:val="20"/>
  </w:num>
  <w:num w:numId="3" w16cid:durableId="1460107213">
    <w:abstractNumId w:val="0"/>
  </w:num>
  <w:num w:numId="4" w16cid:durableId="1140150976">
    <w:abstractNumId w:val="13"/>
  </w:num>
  <w:num w:numId="5" w16cid:durableId="2059475070">
    <w:abstractNumId w:val="14"/>
  </w:num>
  <w:num w:numId="6" w16cid:durableId="1048720529">
    <w:abstractNumId w:val="19"/>
  </w:num>
  <w:num w:numId="7" w16cid:durableId="466164714">
    <w:abstractNumId w:val="9"/>
  </w:num>
  <w:num w:numId="8" w16cid:durableId="307134254">
    <w:abstractNumId w:val="18"/>
  </w:num>
  <w:num w:numId="9" w16cid:durableId="1649548878">
    <w:abstractNumId w:val="10"/>
  </w:num>
  <w:num w:numId="10" w16cid:durableId="1830290986">
    <w:abstractNumId w:val="8"/>
  </w:num>
  <w:num w:numId="11" w16cid:durableId="1484078211">
    <w:abstractNumId w:val="6"/>
  </w:num>
  <w:num w:numId="12" w16cid:durableId="519509856">
    <w:abstractNumId w:val="22"/>
  </w:num>
  <w:num w:numId="13" w16cid:durableId="663974972">
    <w:abstractNumId w:val="23"/>
  </w:num>
  <w:num w:numId="14" w16cid:durableId="1357383910">
    <w:abstractNumId w:val="4"/>
  </w:num>
  <w:num w:numId="15" w16cid:durableId="356779830">
    <w:abstractNumId w:val="11"/>
  </w:num>
  <w:num w:numId="16" w16cid:durableId="225262472">
    <w:abstractNumId w:val="1"/>
  </w:num>
  <w:num w:numId="17" w16cid:durableId="1569880286">
    <w:abstractNumId w:val="7"/>
  </w:num>
  <w:num w:numId="18" w16cid:durableId="992100058">
    <w:abstractNumId w:val="17"/>
  </w:num>
  <w:num w:numId="19" w16cid:durableId="973099545">
    <w:abstractNumId w:val="16"/>
  </w:num>
  <w:num w:numId="20" w16cid:durableId="313605442">
    <w:abstractNumId w:val="15"/>
  </w:num>
  <w:num w:numId="21" w16cid:durableId="2111970797">
    <w:abstractNumId w:val="12"/>
  </w:num>
  <w:num w:numId="22" w16cid:durableId="1642417477">
    <w:abstractNumId w:val="2"/>
  </w:num>
  <w:num w:numId="23" w16cid:durableId="2044549852">
    <w:abstractNumId w:val="21"/>
  </w:num>
  <w:num w:numId="24" w16cid:durableId="1402169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33"/>
    <w:rsid w:val="0003127E"/>
    <w:rsid w:val="00093ABF"/>
    <w:rsid w:val="000D0BED"/>
    <w:rsid w:val="0013178F"/>
    <w:rsid w:val="001836C9"/>
    <w:rsid w:val="001E459A"/>
    <w:rsid w:val="00204283"/>
    <w:rsid w:val="0027551F"/>
    <w:rsid w:val="0029575D"/>
    <w:rsid w:val="00312E94"/>
    <w:rsid w:val="00337F6A"/>
    <w:rsid w:val="00341AA2"/>
    <w:rsid w:val="003D09D1"/>
    <w:rsid w:val="003D11C7"/>
    <w:rsid w:val="003E16A7"/>
    <w:rsid w:val="00411A88"/>
    <w:rsid w:val="004173F4"/>
    <w:rsid w:val="004334BB"/>
    <w:rsid w:val="0047177C"/>
    <w:rsid w:val="004A16AC"/>
    <w:rsid w:val="004B6A4E"/>
    <w:rsid w:val="004D526C"/>
    <w:rsid w:val="00520D56"/>
    <w:rsid w:val="005324A0"/>
    <w:rsid w:val="005374BD"/>
    <w:rsid w:val="0056105D"/>
    <w:rsid w:val="00584645"/>
    <w:rsid w:val="005A09FA"/>
    <w:rsid w:val="00610BB7"/>
    <w:rsid w:val="00662D33"/>
    <w:rsid w:val="00682526"/>
    <w:rsid w:val="006C2116"/>
    <w:rsid w:val="006C4900"/>
    <w:rsid w:val="006E3A66"/>
    <w:rsid w:val="0070722D"/>
    <w:rsid w:val="0072756A"/>
    <w:rsid w:val="007725F4"/>
    <w:rsid w:val="007978C3"/>
    <w:rsid w:val="007E758F"/>
    <w:rsid w:val="008100AA"/>
    <w:rsid w:val="00827149"/>
    <w:rsid w:val="00827824"/>
    <w:rsid w:val="00883592"/>
    <w:rsid w:val="008A58C0"/>
    <w:rsid w:val="00923326"/>
    <w:rsid w:val="009448B3"/>
    <w:rsid w:val="00971EFD"/>
    <w:rsid w:val="00A40DD0"/>
    <w:rsid w:val="00A44472"/>
    <w:rsid w:val="00B37214"/>
    <w:rsid w:val="00B53E10"/>
    <w:rsid w:val="00B75178"/>
    <w:rsid w:val="00BA2188"/>
    <w:rsid w:val="00BB50AB"/>
    <w:rsid w:val="00CD1ED9"/>
    <w:rsid w:val="00E271D9"/>
    <w:rsid w:val="00E749E4"/>
    <w:rsid w:val="00E847A9"/>
    <w:rsid w:val="00EF56C6"/>
    <w:rsid w:val="00FF532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CBF5"/>
  <w15:chartTrackingRefBased/>
  <w15:docId w15:val="{57E8D9E7-7438-4482-B641-4D414CB9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BD"/>
    <w:pPr>
      <w:spacing w:after="240" w:line="240" w:lineRule="auto"/>
      <w:ind w:left="-284" w:right="-329"/>
    </w:pPr>
    <w:rPr>
      <w:rFonts w:ascii="Arial" w:eastAsia="Times New Roman" w:hAnsi="Arial" w:cs="Arial"/>
      <w:kern w:val="0"/>
      <w:szCs w:val="24"/>
      <w14:ligatures w14:val="none"/>
    </w:rPr>
  </w:style>
  <w:style w:type="paragraph" w:styleId="Heading1">
    <w:name w:val="heading 1"/>
    <w:basedOn w:val="Normal"/>
    <w:next w:val="Normal"/>
    <w:link w:val="Heading1Char"/>
    <w:uiPriority w:val="9"/>
    <w:qFormat/>
    <w:rsid w:val="005374BD"/>
    <w:pPr>
      <w:outlineLvl w:val="0"/>
    </w:pPr>
    <w:rPr>
      <w:rFonts w:ascii="Century Gothic" w:eastAsiaTheme="majorEastAsia" w:hAnsi="Century Gothic" w:cstheme="majorBidi"/>
      <w:spacing w:val="-10"/>
      <w:kern w:val="28"/>
      <w:sz w:val="56"/>
      <w:szCs w:val="56"/>
    </w:rPr>
  </w:style>
  <w:style w:type="paragraph" w:styleId="Heading2">
    <w:name w:val="heading 2"/>
    <w:basedOn w:val="Normal"/>
    <w:next w:val="Normal"/>
    <w:link w:val="Heading2Char"/>
    <w:uiPriority w:val="9"/>
    <w:semiHidden/>
    <w:unhideWhenUsed/>
    <w:qFormat/>
    <w:rsid w:val="007E758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E758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E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4BD"/>
    <w:rPr>
      <w:rFonts w:ascii="Century Gothic" w:eastAsiaTheme="majorEastAsia" w:hAnsi="Century Gothic" w:cstheme="majorBidi"/>
      <w:spacing w:val="-10"/>
      <w:kern w:val="28"/>
      <w:sz w:val="56"/>
      <w:szCs w:val="56"/>
      <w14:ligatures w14:val="none"/>
    </w:rPr>
  </w:style>
  <w:style w:type="character" w:customStyle="1" w:styleId="Heading2Char">
    <w:name w:val="Heading 2 Char"/>
    <w:basedOn w:val="DefaultParagraphFont"/>
    <w:link w:val="Heading2"/>
    <w:uiPriority w:val="9"/>
    <w:semiHidden/>
    <w:rsid w:val="007E758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E758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E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58F"/>
    <w:rPr>
      <w:rFonts w:eastAsiaTheme="majorEastAsia" w:cstheme="majorBidi"/>
      <w:color w:val="272727" w:themeColor="text1" w:themeTint="D8"/>
    </w:rPr>
  </w:style>
  <w:style w:type="paragraph" w:styleId="Title">
    <w:name w:val="Title"/>
    <w:basedOn w:val="Normal"/>
    <w:next w:val="Normal"/>
    <w:link w:val="TitleChar"/>
    <w:uiPriority w:val="10"/>
    <w:qFormat/>
    <w:rsid w:val="007E758F"/>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E758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758F"/>
    <w:pPr>
      <w:numPr>
        <w:ilvl w:val="1"/>
      </w:numPr>
      <w:ind w:left="-284"/>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E758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758F"/>
    <w:pPr>
      <w:spacing w:before="160"/>
      <w:jc w:val="center"/>
    </w:pPr>
    <w:rPr>
      <w:i/>
      <w:iCs/>
      <w:color w:val="404040" w:themeColor="text1" w:themeTint="BF"/>
    </w:rPr>
  </w:style>
  <w:style w:type="character" w:customStyle="1" w:styleId="QuoteChar">
    <w:name w:val="Quote Char"/>
    <w:basedOn w:val="DefaultParagraphFont"/>
    <w:link w:val="Quote"/>
    <w:uiPriority w:val="29"/>
    <w:rsid w:val="007E758F"/>
    <w:rPr>
      <w:i/>
      <w:iCs/>
      <w:color w:val="404040" w:themeColor="text1" w:themeTint="BF"/>
    </w:rPr>
  </w:style>
  <w:style w:type="paragraph" w:styleId="ListParagraph">
    <w:name w:val="List Paragraph"/>
    <w:basedOn w:val="Normal"/>
    <w:link w:val="ListParagraphChar"/>
    <w:uiPriority w:val="1"/>
    <w:qFormat/>
    <w:rsid w:val="007E758F"/>
    <w:pPr>
      <w:ind w:left="720"/>
      <w:contextualSpacing/>
    </w:pPr>
  </w:style>
  <w:style w:type="character" w:styleId="IntenseEmphasis">
    <w:name w:val="Intense Emphasis"/>
    <w:basedOn w:val="DefaultParagraphFont"/>
    <w:uiPriority w:val="21"/>
    <w:qFormat/>
    <w:rsid w:val="007E758F"/>
    <w:rPr>
      <w:i/>
      <w:iCs/>
      <w:color w:val="0F4761" w:themeColor="accent1" w:themeShade="BF"/>
    </w:rPr>
  </w:style>
  <w:style w:type="paragraph" w:styleId="IntenseQuote">
    <w:name w:val="Intense Quote"/>
    <w:basedOn w:val="Normal"/>
    <w:next w:val="Normal"/>
    <w:link w:val="IntenseQuoteChar"/>
    <w:uiPriority w:val="30"/>
    <w:qFormat/>
    <w:rsid w:val="007E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58F"/>
    <w:rPr>
      <w:i/>
      <w:iCs/>
      <w:color w:val="0F4761" w:themeColor="accent1" w:themeShade="BF"/>
    </w:rPr>
  </w:style>
  <w:style w:type="character" w:styleId="IntenseReference">
    <w:name w:val="Intense Reference"/>
    <w:basedOn w:val="DefaultParagraphFont"/>
    <w:uiPriority w:val="32"/>
    <w:qFormat/>
    <w:rsid w:val="007E758F"/>
    <w:rPr>
      <w:b/>
      <w:bCs/>
      <w:smallCaps/>
      <w:color w:val="0F4761" w:themeColor="accent1" w:themeShade="BF"/>
      <w:spacing w:val="5"/>
    </w:rPr>
  </w:style>
  <w:style w:type="table" w:styleId="TableGrid">
    <w:name w:val="Table Grid"/>
    <w:basedOn w:val="TableNormal"/>
    <w:uiPriority w:val="39"/>
    <w:rsid w:val="0077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9D1"/>
    <w:pPr>
      <w:tabs>
        <w:tab w:val="center" w:pos="4513"/>
        <w:tab w:val="right" w:pos="9026"/>
      </w:tabs>
      <w:spacing w:after="0"/>
    </w:pPr>
  </w:style>
  <w:style w:type="character" w:customStyle="1" w:styleId="HeaderChar">
    <w:name w:val="Header Char"/>
    <w:basedOn w:val="DefaultParagraphFont"/>
    <w:link w:val="Header"/>
    <w:uiPriority w:val="99"/>
    <w:rsid w:val="003D09D1"/>
  </w:style>
  <w:style w:type="paragraph" w:styleId="Footer">
    <w:name w:val="footer"/>
    <w:basedOn w:val="Normal"/>
    <w:link w:val="FooterChar"/>
    <w:uiPriority w:val="99"/>
    <w:unhideWhenUsed/>
    <w:rsid w:val="003D09D1"/>
    <w:pPr>
      <w:tabs>
        <w:tab w:val="center" w:pos="4513"/>
        <w:tab w:val="right" w:pos="9026"/>
      </w:tabs>
      <w:spacing w:after="0"/>
    </w:pPr>
  </w:style>
  <w:style w:type="character" w:customStyle="1" w:styleId="FooterChar">
    <w:name w:val="Footer Char"/>
    <w:basedOn w:val="DefaultParagraphFont"/>
    <w:link w:val="Footer"/>
    <w:uiPriority w:val="99"/>
    <w:rsid w:val="003D09D1"/>
  </w:style>
  <w:style w:type="paragraph" w:customStyle="1" w:styleId="BulletPointL1">
    <w:name w:val="Bullet Point L1"/>
    <w:basedOn w:val="ListParagraph"/>
    <w:link w:val="BulletPointL1Char"/>
    <w:qFormat/>
    <w:rsid w:val="005374BD"/>
    <w:pPr>
      <w:numPr>
        <w:numId w:val="23"/>
      </w:numPr>
      <w:ind w:left="142"/>
    </w:pPr>
  </w:style>
  <w:style w:type="character" w:customStyle="1" w:styleId="BulletPointL1Char">
    <w:name w:val="Bullet Point L1 Char"/>
    <w:basedOn w:val="DefaultParagraphFont"/>
    <w:link w:val="BulletPointL1"/>
    <w:rsid w:val="005374BD"/>
    <w:rPr>
      <w:rFonts w:ascii="Arial" w:eastAsia="Times New Roman" w:hAnsi="Arial" w:cs="Arial"/>
      <w:kern w:val="0"/>
      <w:szCs w:val="24"/>
      <w14:ligatures w14:val="none"/>
    </w:rPr>
  </w:style>
  <w:style w:type="paragraph" w:customStyle="1" w:styleId="BulletPointL2">
    <w:name w:val="Bullet Point L2"/>
    <w:basedOn w:val="ListParagraph"/>
    <w:link w:val="BulletPointL2Char"/>
    <w:rsid w:val="003D09D1"/>
    <w:pPr>
      <w:numPr>
        <w:numId w:val="2"/>
      </w:numPr>
    </w:pPr>
  </w:style>
  <w:style w:type="character" w:customStyle="1" w:styleId="ListParagraphChar">
    <w:name w:val="List Paragraph Char"/>
    <w:basedOn w:val="DefaultParagraphFont"/>
    <w:link w:val="ListParagraph"/>
    <w:uiPriority w:val="1"/>
    <w:rsid w:val="003D09D1"/>
    <w:rPr>
      <w:rFonts w:ascii="Arial" w:eastAsia="Times New Roman" w:hAnsi="Arial" w:cs="Arial"/>
      <w:kern w:val="0"/>
      <w:szCs w:val="24"/>
      <w14:ligatures w14:val="none"/>
    </w:rPr>
  </w:style>
  <w:style w:type="character" w:customStyle="1" w:styleId="BulletPointL2Char">
    <w:name w:val="Bullet Point L2 Char"/>
    <w:basedOn w:val="ListParagraphChar"/>
    <w:link w:val="BulletPointL2"/>
    <w:rsid w:val="003D09D1"/>
    <w:rPr>
      <w:rFonts w:ascii="Arial" w:eastAsia="Times New Roman" w:hAnsi="Arial" w:cs="Arial"/>
      <w:kern w:val="0"/>
      <w:szCs w:val="24"/>
      <w14:ligatures w14:val="none"/>
    </w:rPr>
  </w:style>
  <w:style w:type="table" w:customStyle="1" w:styleId="CommissionTable1">
    <w:name w:val="Commission Table 1"/>
    <w:basedOn w:val="TableNormal"/>
    <w:uiPriority w:val="99"/>
    <w:rsid w:val="0056105D"/>
    <w:pPr>
      <w:spacing w:before="120" w:after="120" w:line="240" w:lineRule="auto"/>
      <w:ind w:left="141" w:right="-329" w:hanging="425"/>
      <w:contextualSpacing/>
    </w:pPr>
    <w:rPr>
      <w:rFonts w:ascii="Arial" w:eastAsiaTheme="minorHAnsi" w:hAnsi="Arial"/>
      <w:kern w:val="0"/>
      <w:szCs w:val="22"/>
      <w:lang w:eastAsia="en-US" w:bidi="ar-SA"/>
      <w14:ligatures w14:val="none"/>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paragraph" w:styleId="ListBullet3">
    <w:name w:val="List Bullet 3"/>
    <w:basedOn w:val="Normal"/>
    <w:uiPriority w:val="99"/>
    <w:unhideWhenUsed/>
    <w:rsid w:val="0056105D"/>
    <w:pPr>
      <w:numPr>
        <w:numId w:val="3"/>
      </w:numPr>
      <w:tabs>
        <w:tab w:val="clear" w:pos="926"/>
      </w:tabs>
      <w:spacing w:after="120" w:line="259" w:lineRule="auto"/>
      <w:ind w:left="0" w:firstLine="0"/>
      <w:contextualSpacing/>
    </w:pPr>
    <w:rPr>
      <w:rFonts w:eastAsiaTheme="minorHAnsi" w:cstheme="minorBidi"/>
      <w:szCs w:val="22"/>
      <w:lang w:eastAsia="en-US" w:bidi="ar-SA"/>
    </w:rPr>
  </w:style>
  <w:style w:type="paragraph" w:styleId="NormalWeb">
    <w:name w:val="Normal (Web)"/>
    <w:basedOn w:val="Normal"/>
    <w:uiPriority w:val="99"/>
    <w:semiHidden/>
    <w:unhideWhenUsed/>
    <w:rsid w:val="00B53E10"/>
    <w:pPr>
      <w:spacing w:before="100" w:beforeAutospacing="1" w:after="100" w:afterAutospacing="1"/>
      <w:ind w:right="0"/>
    </w:pPr>
    <w:rPr>
      <w:rFonts w:ascii="Times New Roman" w:hAnsi="Times New Roman" w:cs="Times New Roman"/>
    </w:rPr>
  </w:style>
  <w:style w:type="character" w:styleId="Hyperlink">
    <w:name w:val="Hyperlink"/>
    <w:basedOn w:val="DefaultParagraphFont"/>
    <w:uiPriority w:val="99"/>
    <w:unhideWhenUsed/>
    <w:rsid w:val="00FF532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ojectimplicit.net/"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rgess02\Desktop\Managers%20Toolkit%20work\HMT%20resour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97CF-38EC-466B-9382-2A211533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HMT resource template.dotx</Template>
  <TotalTime>0</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Mckay</dc:creator>
  <cp:keywords/>
  <dc:description/>
  <cp:lastModifiedBy>Rae, Marlo</cp:lastModifiedBy>
  <cp:revision>2</cp:revision>
  <dcterms:created xsi:type="dcterms:W3CDTF">2026-06-30T03:15:00Z</dcterms:created>
  <dcterms:modified xsi:type="dcterms:W3CDTF">2026-06-30T03:15:00Z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2026-06-25T01:29:51Z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9f05ab05-6e38-42d8-bf5a-3a02dd581197</vt:lpwstr>
  </property>
  <property fmtid="{D5CDD505-2E9C-101B-9397-08002B2CF9AE}" pid="8" name="MSIP_Label_9debd643-ebde-44ed-8e8b-40a2ae139fe2_ContentBits">
    <vt:lpwstr>0</vt:lpwstr>
  </property>
  <property fmtid="{D5CDD505-2E9C-101B-9397-08002B2CF9AE}" pid="9" name="MSIP_Label_9debd643-ebde-44ed-8e8b-40a2ae139fe2_Tag">
    <vt:lpwstr>10, 3, 0, 1</vt:lpwstr>
  </property>
  <property fmtid="{D5CDD505-2E9C-101B-9397-08002B2CF9AE}" pid="10" name="_AdHocReviewCycleID">
    <vt:i4>1758172659</vt:i4>
  </property>
  <property fmtid="{D5CDD505-2E9C-101B-9397-08002B2CF9AE}" pid="11" name="_NewReviewCycle">
    <vt:lpwstr/>
  </property>
  <property fmtid="{D5CDD505-2E9C-101B-9397-08002B2CF9AE}" pid="12" name="_EmailSubject">
    <vt:lpwstr>HMT resource CH 4 - Checklist - Effective advertisement - June 2026</vt:lpwstr>
  </property>
  <property fmtid="{D5CDD505-2E9C-101B-9397-08002B2CF9AE}" pid="13" name="_AuthorEmail">
    <vt:lpwstr>Jane.MachinEverill@psc.wa.gov.au</vt:lpwstr>
  </property>
  <property fmtid="{D5CDD505-2E9C-101B-9397-08002B2CF9AE}" pid="14" name="_AuthorEmailDisplayName">
    <vt:lpwstr>Machin-Everill, Jane</vt:lpwstr>
  </property>
  <property fmtid="{D5CDD505-2E9C-101B-9397-08002B2CF9AE}" pid="15" name="_PreviousAdHocReviewCycleID">
    <vt:i4>362485542</vt:i4>
  </property>
  <property fmtid="{D5CDD505-2E9C-101B-9397-08002B2CF9AE}" pid="16" name="_ReviewingToolsShownOnce">
    <vt:lpwstr/>
  </property>
</Properties>
</file>