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C22652" w14:textId="07D2EF06" w:rsidR="00B74FC3" w:rsidRDefault="00B74FC3" w:rsidP="00B74FC3">
      <w:pPr>
        <w:ind w:right="142"/>
        <w:jc w:val="right"/>
        <w:rPr>
          <w:rFonts w:eastAsiaTheme="majorEastAsia"/>
        </w:rPr>
      </w:pPr>
      <w:r w:rsidRPr="00B74FC3">
        <w:rPr>
          <w:rFonts w:eastAsiaTheme="majorEastAsia"/>
        </w:rPr>
        <w:t>Change header if using for agency purposes</w:t>
      </w:r>
      <w:r>
        <w:rPr>
          <w:rFonts w:eastAsiaTheme="minorEastAsia"/>
          <w:b/>
          <w:bCs/>
          <w:noProof/>
          <w:kern w:val="2"/>
          <w14:ligatures w14:val="standardContextual"/>
        </w:rPr>
        <w:drawing>
          <wp:anchor distT="0" distB="0" distL="114300" distR="114300" simplePos="0" relativeHeight="251658240" behindDoc="0" locked="0" layoutInCell="1" allowOverlap="1" wp14:anchorId="1B3A3DFB" wp14:editId="6400A5BE">
            <wp:simplePos x="0" y="0"/>
            <wp:positionH relativeFrom="page">
              <wp:posOffset>0</wp:posOffset>
            </wp:positionH>
            <wp:positionV relativeFrom="paragraph">
              <wp:posOffset>-1152335</wp:posOffset>
            </wp:positionV>
            <wp:extent cx="7583805" cy="1139825"/>
            <wp:effectExtent l="0" t="0" r="0" b="0"/>
            <wp:wrapNone/>
            <wp:docPr id="19301697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583805" cy="1139825"/>
                    </a:xfrm>
                    <a:prstGeom prst="rect">
                      <a:avLst/>
                    </a:prstGeom>
                    <a:noFill/>
                  </pic:spPr>
                </pic:pic>
              </a:graphicData>
            </a:graphic>
            <wp14:sizeRelH relativeFrom="page">
              <wp14:pctWidth>0</wp14:pctWidth>
            </wp14:sizeRelH>
            <wp14:sizeRelV relativeFrom="page">
              <wp14:pctHeight>0</wp14:pctHeight>
            </wp14:sizeRelV>
          </wp:anchor>
        </w:drawing>
      </w:r>
    </w:p>
    <w:p w14:paraId="7D66A90F" w14:textId="67EC519C" w:rsidR="00CD1A5B" w:rsidRPr="00A81E70" w:rsidRDefault="00CD1A5B" w:rsidP="00B74FC3">
      <w:pPr>
        <w:spacing w:before="240" w:after="0"/>
        <w:rPr>
          <w:rFonts w:ascii="Century Gothic" w:eastAsiaTheme="majorEastAsia" w:hAnsi="Century Gothic" w:cstheme="majorBidi"/>
          <w:spacing w:val="-10"/>
          <w:kern w:val="28"/>
          <w:sz w:val="56"/>
          <w:szCs w:val="56"/>
        </w:rPr>
      </w:pPr>
      <w:r w:rsidRPr="00CD1A5B">
        <w:rPr>
          <w:rFonts w:ascii="Century Gothic" w:eastAsiaTheme="majorEastAsia" w:hAnsi="Century Gothic" w:cstheme="majorBidi"/>
          <w:spacing w:val="-10"/>
          <w:kern w:val="28"/>
          <w:sz w:val="56"/>
          <w:szCs w:val="56"/>
        </w:rPr>
        <w:t xml:space="preserve">Factsheet: Shortlisting </w:t>
      </w:r>
    </w:p>
    <w:p w14:paraId="388BBDAF" w14:textId="639D0EC5" w:rsidR="00CD1A5B" w:rsidRPr="00A81E70" w:rsidRDefault="00CD1A5B" w:rsidP="00A81E70">
      <w:pPr>
        <w:spacing w:before="240" w:after="120"/>
        <w:ind w:right="120"/>
        <w:rPr>
          <w:rFonts w:eastAsiaTheme="minorEastAsia"/>
          <w:b/>
          <w:bCs/>
          <w:kern w:val="2"/>
          <w14:ligatures w14:val="standardContextual"/>
        </w:rPr>
      </w:pPr>
      <w:r w:rsidRPr="00A81E70">
        <w:rPr>
          <w:rFonts w:eastAsiaTheme="minorEastAsia"/>
          <w:b/>
          <w:bCs/>
          <w:kern w:val="2"/>
          <w14:ligatures w14:val="standardContextual"/>
        </w:rPr>
        <w:t>Shortlisting is the process of identifying the most suitable applicants to move forward to the next stage of the hiring pipeline such as interviews and tests. It is an efficient and structured method based on pre-determined job requirements.</w:t>
      </w:r>
    </w:p>
    <w:p w14:paraId="25AF0FE0" w14:textId="0FB26CF5" w:rsidR="00CD1A5B" w:rsidRPr="00CD1A5B" w:rsidRDefault="00CD1A5B" w:rsidP="00CD1A5B">
      <w:pPr>
        <w:spacing w:before="240" w:after="120"/>
        <w:ind w:right="120"/>
        <w:rPr>
          <w:rFonts w:eastAsiaTheme="minorEastAsia"/>
          <w:b/>
          <w:bCs/>
          <w:kern w:val="2"/>
          <w14:ligatures w14:val="standardContextual"/>
        </w:rPr>
      </w:pPr>
      <w:r w:rsidRPr="00CD1A5B">
        <w:rPr>
          <w:rFonts w:eastAsiaTheme="minorEastAsia"/>
          <w:b/>
          <w:bCs/>
          <w:kern w:val="2"/>
          <w14:ligatures w14:val="standardContextual"/>
        </w:rPr>
        <w:t>Purpose</w:t>
      </w:r>
    </w:p>
    <w:p w14:paraId="4800CF3A" w14:textId="77777777" w:rsidR="00CD1A5B" w:rsidRPr="00CD1A5B" w:rsidRDefault="00CD1A5B" w:rsidP="00CD1A5B">
      <w:pPr>
        <w:numPr>
          <w:ilvl w:val="0"/>
          <w:numId w:val="10"/>
        </w:numPr>
        <w:tabs>
          <w:tab w:val="clear" w:pos="720"/>
        </w:tabs>
        <w:spacing w:after="120"/>
        <w:ind w:left="426" w:right="120" w:hanging="426"/>
        <w:rPr>
          <w:rFonts w:eastAsiaTheme="minorEastAsia"/>
          <w:kern w:val="2"/>
          <w14:ligatures w14:val="standardContextual"/>
        </w:rPr>
      </w:pPr>
      <w:r w:rsidRPr="00CD1A5B">
        <w:rPr>
          <w:rFonts w:eastAsiaTheme="minorEastAsia"/>
          <w:kern w:val="2"/>
          <w14:ligatures w14:val="standardContextual"/>
        </w:rPr>
        <w:t>Identify applicants who meet the suitability requirements.</w:t>
      </w:r>
    </w:p>
    <w:p w14:paraId="621ACF84" w14:textId="77777777" w:rsidR="00CD1A5B" w:rsidRPr="00CD1A5B" w:rsidRDefault="00CD1A5B" w:rsidP="00CD1A5B">
      <w:pPr>
        <w:numPr>
          <w:ilvl w:val="0"/>
          <w:numId w:val="11"/>
        </w:numPr>
        <w:spacing w:after="120"/>
        <w:ind w:left="426" w:right="120" w:hanging="426"/>
        <w:rPr>
          <w:rFonts w:eastAsiaTheme="minorEastAsia"/>
          <w:kern w:val="2"/>
          <w14:ligatures w14:val="standardContextual"/>
        </w:rPr>
      </w:pPr>
      <w:r w:rsidRPr="00CD1A5B">
        <w:rPr>
          <w:rFonts w:eastAsiaTheme="minorEastAsia"/>
          <w:kern w:val="2"/>
          <w14:ligatures w14:val="standardContextual"/>
        </w:rPr>
        <w:t>Apply consistent and fair assessment processes.</w:t>
      </w:r>
    </w:p>
    <w:p w14:paraId="3997E6ED" w14:textId="77777777" w:rsidR="00CD1A5B" w:rsidRPr="00CD1A5B" w:rsidRDefault="00CD1A5B" w:rsidP="00CD1A5B">
      <w:pPr>
        <w:numPr>
          <w:ilvl w:val="0"/>
          <w:numId w:val="12"/>
        </w:numPr>
        <w:tabs>
          <w:tab w:val="clear" w:pos="720"/>
        </w:tabs>
        <w:spacing w:after="120"/>
        <w:ind w:left="426" w:right="120" w:hanging="426"/>
        <w:rPr>
          <w:rFonts w:eastAsiaTheme="minorEastAsia"/>
          <w:kern w:val="2"/>
          <w14:ligatures w14:val="standardContextual"/>
        </w:rPr>
      </w:pPr>
      <w:r w:rsidRPr="00CD1A5B">
        <w:rPr>
          <w:rFonts w:eastAsiaTheme="minorEastAsia"/>
          <w:kern w:val="2"/>
          <w14:ligatures w14:val="standardContextual"/>
        </w:rPr>
        <w:t>Reduce large applicant pools to a manageable number for further assessment.</w:t>
      </w:r>
    </w:p>
    <w:p w14:paraId="1382E220" w14:textId="77777777" w:rsidR="00CD1A5B" w:rsidRPr="00CD1A5B" w:rsidRDefault="00CD1A5B" w:rsidP="00CD1A5B">
      <w:pPr>
        <w:spacing w:before="240" w:after="120"/>
        <w:ind w:right="120"/>
        <w:rPr>
          <w:rFonts w:eastAsiaTheme="minorEastAsia"/>
          <w:kern w:val="2"/>
          <w14:ligatures w14:val="standardContextual"/>
        </w:rPr>
      </w:pPr>
      <w:r w:rsidRPr="00CD1A5B">
        <w:rPr>
          <w:rFonts w:eastAsiaTheme="minorEastAsia"/>
          <w:b/>
          <w:bCs/>
          <w:kern w:val="2"/>
          <w14:ligatures w14:val="standardContextual"/>
        </w:rPr>
        <w:t>Process</w:t>
      </w:r>
      <w:r w:rsidRPr="00CD1A5B">
        <w:rPr>
          <w:rFonts w:eastAsiaTheme="minorEastAsia"/>
          <w:kern w:val="2"/>
          <w14:ligatures w14:val="standardContextual"/>
        </w:rPr>
        <w:t xml:space="preserve"> </w:t>
      </w:r>
    </w:p>
    <w:p w14:paraId="1F2998CE" w14:textId="77777777" w:rsidR="00CD1A5B" w:rsidRPr="00CD1A5B" w:rsidRDefault="00CD1A5B" w:rsidP="00CD1A5B">
      <w:pPr>
        <w:numPr>
          <w:ilvl w:val="0"/>
          <w:numId w:val="13"/>
        </w:numPr>
        <w:tabs>
          <w:tab w:val="clear" w:pos="720"/>
        </w:tabs>
        <w:spacing w:after="120"/>
        <w:ind w:left="426" w:right="120" w:hanging="426"/>
        <w:rPr>
          <w:rFonts w:eastAsiaTheme="minorEastAsia"/>
          <w:kern w:val="2"/>
          <w14:ligatures w14:val="standardContextual"/>
        </w:rPr>
      </w:pPr>
      <w:r w:rsidRPr="00CD1A5B">
        <w:rPr>
          <w:rFonts w:eastAsiaTheme="minorEastAsia"/>
          <w:kern w:val="2"/>
          <w14:ligatures w14:val="standardContextual"/>
        </w:rPr>
        <w:t>Check eligibility by confirming applicants meet mandatory requirements such as qualifications, licences and right to work.</w:t>
      </w:r>
    </w:p>
    <w:p w14:paraId="19D7CCA3" w14:textId="77777777" w:rsidR="00CD1A5B" w:rsidRPr="00CD1A5B" w:rsidRDefault="00CD1A5B" w:rsidP="00CD1A5B">
      <w:pPr>
        <w:numPr>
          <w:ilvl w:val="0"/>
          <w:numId w:val="14"/>
        </w:numPr>
        <w:tabs>
          <w:tab w:val="clear" w:pos="720"/>
        </w:tabs>
        <w:spacing w:after="120"/>
        <w:ind w:left="426" w:right="120" w:hanging="426"/>
        <w:rPr>
          <w:rFonts w:eastAsiaTheme="minorEastAsia"/>
          <w:kern w:val="2"/>
          <w14:ligatures w14:val="standardContextual"/>
        </w:rPr>
      </w:pPr>
      <w:r w:rsidRPr="00CD1A5B">
        <w:rPr>
          <w:rFonts w:eastAsiaTheme="minorEastAsia"/>
          <w:kern w:val="2"/>
          <w14:ligatures w14:val="standardContextual"/>
        </w:rPr>
        <w:t xml:space="preserve">Assess information provided in resumes, cover letters, responses to suitability requirements and other information requested. </w:t>
      </w:r>
    </w:p>
    <w:p w14:paraId="06D24CBB" w14:textId="77777777" w:rsidR="00CD1A5B" w:rsidRPr="00CD1A5B" w:rsidRDefault="00CD1A5B" w:rsidP="00CD1A5B">
      <w:pPr>
        <w:numPr>
          <w:ilvl w:val="0"/>
          <w:numId w:val="15"/>
        </w:numPr>
        <w:tabs>
          <w:tab w:val="clear" w:pos="720"/>
        </w:tabs>
        <w:spacing w:after="120"/>
        <w:ind w:left="426" w:right="120" w:hanging="426"/>
        <w:rPr>
          <w:rFonts w:eastAsiaTheme="minorEastAsia"/>
          <w:kern w:val="2"/>
          <w14:ligatures w14:val="standardContextual"/>
        </w:rPr>
      </w:pPr>
      <w:r w:rsidRPr="00CD1A5B">
        <w:rPr>
          <w:rFonts w:eastAsiaTheme="minorEastAsia"/>
          <w:kern w:val="2"/>
          <w14:ligatures w14:val="standardContextual"/>
        </w:rPr>
        <w:t>Compare applicants against the position’s suitability requirements.</w:t>
      </w:r>
    </w:p>
    <w:p w14:paraId="4CD6484C" w14:textId="77777777" w:rsidR="00CD1A5B" w:rsidRPr="00CD1A5B" w:rsidRDefault="00CD1A5B" w:rsidP="00CD1A5B">
      <w:pPr>
        <w:numPr>
          <w:ilvl w:val="0"/>
          <w:numId w:val="16"/>
        </w:numPr>
        <w:tabs>
          <w:tab w:val="clear" w:pos="720"/>
        </w:tabs>
        <w:spacing w:after="120"/>
        <w:ind w:left="426" w:right="120" w:hanging="426"/>
        <w:rPr>
          <w:rFonts w:eastAsiaTheme="minorEastAsia"/>
          <w:kern w:val="2"/>
          <w14:ligatures w14:val="standardContextual"/>
        </w:rPr>
      </w:pPr>
      <w:r w:rsidRPr="00CD1A5B">
        <w:rPr>
          <w:rFonts w:eastAsiaTheme="minorEastAsia"/>
          <w:kern w:val="2"/>
          <w14:ligatures w14:val="standardContextual"/>
        </w:rPr>
        <w:t xml:space="preserve">Use agreed scoring descriptors or rating scales to standardise assessment, reduce subjectivity and improve consistency across hiring team members. </w:t>
      </w:r>
    </w:p>
    <w:p w14:paraId="53A06573" w14:textId="77777777" w:rsidR="00CD1A5B" w:rsidRPr="00CD1A5B" w:rsidRDefault="00CD1A5B" w:rsidP="00CD1A5B">
      <w:pPr>
        <w:numPr>
          <w:ilvl w:val="0"/>
          <w:numId w:val="16"/>
        </w:numPr>
        <w:tabs>
          <w:tab w:val="clear" w:pos="720"/>
        </w:tabs>
        <w:spacing w:after="120"/>
        <w:ind w:left="426" w:right="120" w:hanging="426"/>
        <w:rPr>
          <w:rFonts w:eastAsiaTheme="minorEastAsia"/>
          <w:kern w:val="2"/>
          <w14:ligatures w14:val="standardContextual"/>
        </w:rPr>
      </w:pPr>
      <w:r w:rsidRPr="00CD1A5B">
        <w:rPr>
          <w:rFonts w:eastAsiaTheme="minorEastAsia"/>
          <w:kern w:val="2"/>
          <w14:ligatures w14:val="standardContextual"/>
        </w:rPr>
        <w:t xml:space="preserve">Record decisions and rationale to support transparency and defensibility. </w:t>
      </w:r>
    </w:p>
    <w:p w14:paraId="4B60BE73" w14:textId="77777777" w:rsidR="00CD1A5B" w:rsidRPr="00CD1A5B" w:rsidRDefault="00CD1A5B" w:rsidP="00CD1A5B">
      <w:pPr>
        <w:spacing w:before="240" w:after="120"/>
        <w:ind w:right="120"/>
        <w:rPr>
          <w:rFonts w:eastAsiaTheme="minorEastAsia"/>
          <w:b/>
          <w:bCs/>
          <w:kern w:val="2"/>
          <w14:ligatures w14:val="standardContextual"/>
        </w:rPr>
      </w:pPr>
      <w:r w:rsidRPr="00CD1A5B">
        <w:rPr>
          <w:rFonts w:eastAsiaTheme="minorEastAsia"/>
          <w:b/>
          <w:bCs/>
          <w:kern w:val="2"/>
          <w14:ligatures w14:val="standardContextual"/>
        </w:rPr>
        <w:t xml:space="preserve">Tools and techniques </w:t>
      </w:r>
    </w:p>
    <w:p w14:paraId="59771B2A" w14:textId="77777777" w:rsidR="00CD1A5B" w:rsidRPr="00CD1A5B" w:rsidRDefault="00CD1A5B" w:rsidP="00CD1A5B">
      <w:pPr>
        <w:numPr>
          <w:ilvl w:val="0"/>
          <w:numId w:val="10"/>
        </w:numPr>
        <w:tabs>
          <w:tab w:val="clear" w:pos="720"/>
        </w:tabs>
        <w:spacing w:after="120"/>
        <w:ind w:left="426" w:right="120" w:hanging="426"/>
        <w:rPr>
          <w:rFonts w:eastAsiaTheme="minorEastAsia"/>
          <w:kern w:val="2"/>
          <w14:ligatures w14:val="standardContextual"/>
        </w:rPr>
      </w:pPr>
      <w:r w:rsidRPr="00CD1A5B">
        <w:rPr>
          <w:rFonts w:eastAsiaTheme="minorEastAsia"/>
          <w:kern w:val="2"/>
          <w14:ligatures w14:val="standardContextual"/>
        </w:rPr>
        <w:t xml:space="preserve">Shortlist matrix or scoring guide </w:t>
      </w:r>
    </w:p>
    <w:p w14:paraId="495A0ED9" w14:textId="77777777" w:rsidR="00CD1A5B" w:rsidRPr="00CD1A5B" w:rsidRDefault="00CD1A5B" w:rsidP="00CD1A5B">
      <w:pPr>
        <w:numPr>
          <w:ilvl w:val="0"/>
          <w:numId w:val="10"/>
        </w:numPr>
        <w:tabs>
          <w:tab w:val="clear" w:pos="720"/>
        </w:tabs>
        <w:spacing w:after="120"/>
        <w:ind w:left="426" w:right="120" w:hanging="426"/>
        <w:rPr>
          <w:rFonts w:eastAsiaTheme="minorEastAsia"/>
          <w:kern w:val="2"/>
          <w14:ligatures w14:val="standardContextual"/>
        </w:rPr>
      </w:pPr>
      <w:r w:rsidRPr="00CD1A5B">
        <w:rPr>
          <w:rFonts w:eastAsiaTheme="minorEastAsia"/>
          <w:kern w:val="2"/>
          <w14:ligatures w14:val="standardContextual"/>
        </w:rPr>
        <w:t xml:space="preserve">Predefined suitability requirements aligned to the position </w:t>
      </w:r>
    </w:p>
    <w:p w14:paraId="1EF86696" w14:textId="77777777" w:rsidR="00CD1A5B" w:rsidRPr="00CD1A5B" w:rsidRDefault="00CD1A5B" w:rsidP="00CD1A5B">
      <w:pPr>
        <w:numPr>
          <w:ilvl w:val="0"/>
          <w:numId w:val="10"/>
        </w:numPr>
        <w:tabs>
          <w:tab w:val="clear" w:pos="720"/>
        </w:tabs>
        <w:spacing w:after="120"/>
        <w:ind w:left="426" w:right="120" w:hanging="426"/>
        <w:rPr>
          <w:rFonts w:eastAsiaTheme="minorEastAsia"/>
          <w:kern w:val="2"/>
          <w14:ligatures w14:val="standardContextual"/>
        </w:rPr>
      </w:pPr>
      <w:r w:rsidRPr="00CD1A5B">
        <w:rPr>
          <w:rFonts w:eastAsiaTheme="minorEastAsia"/>
          <w:kern w:val="2"/>
          <w14:ligatures w14:val="standardContextual"/>
        </w:rPr>
        <w:t xml:space="preserve">Hiring team review (where appropriate) </w:t>
      </w:r>
    </w:p>
    <w:p w14:paraId="3A845478" w14:textId="77777777" w:rsidR="00CD1A5B" w:rsidRPr="00CD1A5B" w:rsidRDefault="00CD1A5B" w:rsidP="00CD1A5B">
      <w:pPr>
        <w:numPr>
          <w:ilvl w:val="0"/>
          <w:numId w:val="10"/>
        </w:numPr>
        <w:tabs>
          <w:tab w:val="clear" w:pos="720"/>
        </w:tabs>
        <w:spacing w:after="120"/>
        <w:ind w:left="426" w:right="120" w:hanging="426"/>
        <w:rPr>
          <w:rFonts w:eastAsiaTheme="minorEastAsia"/>
          <w:kern w:val="2"/>
          <w14:ligatures w14:val="standardContextual"/>
        </w:rPr>
      </w:pPr>
      <w:r w:rsidRPr="00CD1A5B">
        <w:rPr>
          <w:rFonts w:eastAsiaTheme="minorEastAsia"/>
          <w:kern w:val="2"/>
          <w14:ligatures w14:val="standardContextual"/>
        </w:rPr>
        <w:t xml:space="preserve">Evidence based evaluation (examples of past performance and achievements) </w:t>
      </w:r>
    </w:p>
    <w:p w14:paraId="01A9607B" w14:textId="77777777" w:rsidR="00CD1A5B" w:rsidRPr="00CD1A5B" w:rsidRDefault="00CD1A5B" w:rsidP="00CD1A5B">
      <w:pPr>
        <w:spacing w:before="240" w:after="120"/>
        <w:ind w:right="120"/>
        <w:rPr>
          <w:rFonts w:eastAsiaTheme="minorEastAsia"/>
          <w:b/>
          <w:bCs/>
          <w:kern w:val="2"/>
          <w14:ligatures w14:val="standardContextual"/>
        </w:rPr>
      </w:pPr>
      <w:r w:rsidRPr="00CD1A5B">
        <w:rPr>
          <w:rFonts w:eastAsiaTheme="minorEastAsia"/>
          <w:b/>
          <w:bCs/>
          <w:kern w:val="2"/>
          <w14:ligatures w14:val="standardContextual"/>
        </w:rPr>
        <w:t xml:space="preserve">Reducing bias </w:t>
      </w:r>
    </w:p>
    <w:p w14:paraId="59E6FCD7" w14:textId="77777777" w:rsidR="00CD1A5B" w:rsidRPr="00CD1A5B" w:rsidRDefault="00CD1A5B" w:rsidP="00CD1A5B">
      <w:pPr>
        <w:numPr>
          <w:ilvl w:val="0"/>
          <w:numId w:val="10"/>
        </w:numPr>
        <w:tabs>
          <w:tab w:val="clear" w:pos="720"/>
        </w:tabs>
        <w:spacing w:after="120"/>
        <w:ind w:left="426" w:right="120" w:hanging="426"/>
        <w:rPr>
          <w:rFonts w:eastAsiaTheme="minorEastAsia"/>
          <w:kern w:val="2"/>
          <w14:ligatures w14:val="standardContextual"/>
        </w:rPr>
      </w:pPr>
      <w:r w:rsidRPr="00CD1A5B">
        <w:rPr>
          <w:rFonts w:eastAsiaTheme="minorEastAsia"/>
          <w:kern w:val="2"/>
          <w14:ligatures w14:val="standardContextual"/>
        </w:rPr>
        <w:t xml:space="preserve">Use scoring descriptors and agreed definitions to ensure consistency while focusing on evidence provided by applicants rather than personal impressions. </w:t>
      </w:r>
    </w:p>
    <w:p w14:paraId="0D7E99C1" w14:textId="77777777" w:rsidR="00CD1A5B" w:rsidRPr="00CD1A5B" w:rsidRDefault="00CD1A5B" w:rsidP="00CD1A5B">
      <w:pPr>
        <w:numPr>
          <w:ilvl w:val="0"/>
          <w:numId w:val="10"/>
        </w:numPr>
        <w:tabs>
          <w:tab w:val="clear" w:pos="720"/>
        </w:tabs>
        <w:spacing w:after="120"/>
        <w:ind w:left="426" w:right="120" w:hanging="426"/>
        <w:rPr>
          <w:rFonts w:eastAsiaTheme="minorEastAsia"/>
          <w:kern w:val="2"/>
          <w14:ligatures w14:val="standardContextual"/>
        </w:rPr>
      </w:pPr>
      <w:r w:rsidRPr="00CD1A5B">
        <w:rPr>
          <w:rFonts w:eastAsiaTheme="minorEastAsia"/>
          <w:kern w:val="2"/>
          <w14:ligatures w14:val="standardContextual"/>
        </w:rPr>
        <w:t xml:space="preserve">Minimise bias where possible by avoiding assumptions and incorporating diverse perspectives through the hiring team. </w:t>
      </w:r>
    </w:p>
    <w:p w14:paraId="4CDD314B" w14:textId="77777777" w:rsidR="00CD1A5B" w:rsidRPr="00CD1A5B" w:rsidRDefault="00CD1A5B" w:rsidP="00CD1A5B">
      <w:pPr>
        <w:spacing w:before="240" w:after="120"/>
        <w:ind w:right="120"/>
        <w:rPr>
          <w:rFonts w:eastAsiaTheme="minorEastAsia"/>
          <w:b/>
          <w:bCs/>
          <w:kern w:val="2"/>
          <w14:ligatures w14:val="standardContextual"/>
        </w:rPr>
      </w:pPr>
      <w:r w:rsidRPr="00CD1A5B">
        <w:rPr>
          <w:rFonts w:eastAsiaTheme="minorEastAsia"/>
          <w:b/>
          <w:bCs/>
          <w:kern w:val="2"/>
          <w14:ligatures w14:val="standardContextual"/>
        </w:rPr>
        <w:t xml:space="preserve">Diversity and inclusion considerations </w:t>
      </w:r>
    </w:p>
    <w:p w14:paraId="54060179" w14:textId="61948DAA" w:rsidR="004D526C" w:rsidRPr="00CD1A5B" w:rsidRDefault="00CD1A5B" w:rsidP="00CD1A5B">
      <w:pPr>
        <w:numPr>
          <w:ilvl w:val="0"/>
          <w:numId w:val="10"/>
        </w:numPr>
        <w:tabs>
          <w:tab w:val="clear" w:pos="720"/>
        </w:tabs>
        <w:spacing w:after="120"/>
        <w:ind w:left="426" w:right="120" w:hanging="426"/>
        <w:rPr>
          <w:rFonts w:eastAsiaTheme="minorEastAsia"/>
          <w:kern w:val="2"/>
          <w14:ligatures w14:val="standardContextual"/>
        </w:rPr>
      </w:pPr>
      <w:r w:rsidRPr="00CD1A5B">
        <w:rPr>
          <w:rFonts w:eastAsiaTheme="minorEastAsia"/>
          <w:kern w:val="2"/>
          <w14:ligatures w14:val="standardContextual"/>
        </w:rPr>
        <w:t xml:space="preserve">For vacancies advertised using an equal opportunity exception, agencies </w:t>
      </w:r>
      <w:proofErr w:type="gramStart"/>
      <w:r w:rsidRPr="00CD1A5B">
        <w:rPr>
          <w:rFonts w:eastAsiaTheme="minorEastAsia"/>
          <w:kern w:val="2"/>
          <w14:ligatures w14:val="standardContextual"/>
        </w:rPr>
        <w:t>are able to</w:t>
      </w:r>
      <w:proofErr w:type="gramEnd"/>
      <w:r w:rsidRPr="00CD1A5B">
        <w:rPr>
          <w:rFonts w:eastAsiaTheme="minorEastAsia"/>
          <w:kern w:val="2"/>
          <w14:ligatures w14:val="standardContextual"/>
        </w:rPr>
        <w:t xml:space="preserve"> prioritise identified diversity needs over comparative competitiveness (see </w:t>
      </w:r>
      <w:hyperlink r:id="rId8" w:history="1">
        <w:r w:rsidRPr="00CD1A5B">
          <w:rPr>
            <w:rFonts w:eastAsiaTheme="minorEastAsia"/>
            <w:color w:val="467886" w:themeColor="hyperlink"/>
            <w:kern w:val="2"/>
            <w:u w:val="single"/>
            <w14:ligatures w14:val="standardContextual"/>
          </w:rPr>
          <w:t>Recruiting for and Developing Diverse Talent</w:t>
        </w:r>
      </w:hyperlink>
      <w:r w:rsidRPr="00CD1A5B">
        <w:rPr>
          <w:rFonts w:eastAsiaTheme="minorEastAsia"/>
          <w:kern w:val="2"/>
          <w14:ligatures w14:val="standardContextual"/>
        </w:rPr>
        <w:t xml:space="preserve">). </w:t>
      </w:r>
    </w:p>
    <w:sectPr w:rsidR="004D526C" w:rsidRPr="00CD1A5B" w:rsidSect="00B74FC3">
      <w:headerReference w:type="first" r:id="rId9"/>
      <w:footerReference w:type="first" r:id="rId10"/>
      <w:pgSz w:w="11906" w:h="16838"/>
      <w:pgMar w:top="1276" w:right="707" w:bottom="1440" w:left="85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1A9713" w14:textId="77777777" w:rsidR="004D5241" w:rsidRDefault="004D5241" w:rsidP="003D09D1">
      <w:r>
        <w:separator/>
      </w:r>
    </w:p>
  </w:endnote>
  <w:endnote w:type="continuationSeparator" w:id="0">
    <w:p w14:paraId="76CD18E7" w14:textId="77777777" w:rsidR="004D5241" w:rsidRDefault="004D5241" w:rsidP="003D09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DengXian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C0E46" w14:textId="66895ADB" w:rsidR="00B74FC3" w:rsidRPr="00B74FC3" w:rsidRDefault="00B74FC3" w:rsidP="00B74FC3">
    <w:pPr>
      <w:pStyle w:val="Footer"/>
      <w:ind w:right="0"/>
      <w:jc w:val="right"/>
      <w:rPr>
        <w:lang w:val="en-US"/>
      </w:rPr>
    </w:pPr>
    <w:r>
      <w:rPr>
        <w:lang w:val="en-US"/>
      </w:rPr>
      <w:t>PSC26025682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84DD34" w14:textId="77777777" w:rsidR="004D5241" w:rsidRDefault="004D5241" w:rsidP="003D09D1">
      <w:r>
        <w:separator/>
      </w:r>
    </w:p>
  </w:footnote>
  <w:footnote w:type="continuationSeparator" w:id="0">
    <w:p w14:paraId="242FDCF3" w14:textId="77777777" w:rsidR="004D5241" w:rsidRDefault="004D5241" w:rsidP="003D09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436A7" w14:textId="31058F31" w:rsidR="003D09D1" w:rsidRDefault="003D09D1" w:rsidP="003D09D1">
    <w:pPr>
      <w:pStyle w:val="Header"/>
    </w:pPr>
  </w:p>
  <w:p w14:paraId="44F16388" w14:textId="77777777" w:rsidR="003D09D1" w:rsidRDefault="003D09D1" w:rsidP="003D09D1">
    <w:pPr>
      <w:pStyle w:val="Header"/>
    </w:pPr>
  </w:p>
  <w:p w14:paraId="7B844174" w14:textId="77777777" w:rsidR="003D09D1" w:rsidRDefault="003D09D1" w:rsidP="003D09D1">
    <w:pPr>
      <w:pStyle w:val="Header"/>
    </w:pPr>
  </w:p>
  <w:p w14:paraId="0276E7DE" w14:textId="77777777" w:rsidR="003D09D1" w:rsidRDefault="003D09D1" w:rsidP="003D09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A5905"/>
    <w:multiLevelType w:val="multilevel"/>
    <w:tmpl w:val="B1C42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B7B0CF1"/>
    <w:multiLevelType w:val="multilevel"/>
    <w:tmpl w:val="4140A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C4F36CE"/>
    <w:multiLevelType w:val="multilevel"/>
    <w:tmpl w:val="5F10599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7A21F38"/>
    <w:multiLevelType w:val="multilevel"/>
    <w:tmpl w:val="10A26E9A"/>
    <w:lvl w:ilvl="0">
      <w:start w:val="1"/>
      <w:numFmt w:val="bullet"/>
      <w:pStyle w:val="BulletPointL1"/>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69C47EF"/>
    <w:multiLevelType w:val="multilevel"/>
    <w:tmpl w:val="B75268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0207F4"/>
    <w:multiLevelType w:val="multilevel"/>
    <w:tmpl w:val="9A449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43E28D6"/>
    <w:multiLevelType w:val="multilevel"/>
    <w:tmpl w:val="8264D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840549B"/>
    <w:multiLevelType w:val="multilevel"/>
    <w:tmpl w:val="24E83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93C0B8A"/>
    <w:multiLevelType w:val="multilevel"/>
    <w:tmpl w:val="A8EA9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08E75A5"/>
    <w:multiLevelType w:val="multilevel"/>
    <w:tmpl w:val="0F06B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63D0629"/>
    <w:multiLevelType w:val="multilevel"/>
    <w:tmpl w:val="0FBE5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D522CF1"/>
    <w:multiLevelType w:val="multilevel"/>
    <w:tmpl w:val="C1C2B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E306844"/>
    <w:multiLevelType w:val="multilevel"/>
    <w:tmpl w:val="1374C2B2"/>
    <w:lvl w:ilvl="0">
      <w:start w:val="1"/>
      <w:numFmt w:val="bullet"/>
      <w:pStyle w:val="BulletPointL2"/>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739A3E08"/>
    <w:multiLevelType w:val="multilevel"/>
    <w:tmpl w:val="D8167C7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93E1160"/>
    <w:multiLevelType w:val="multilevel"/>
    <w:tmpl w:val="901606F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CC9710C"/>
    <w:multiLevelType w:val="multilevel"/>
    <w:tmpl w:val="65A4D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79471339">
    <w:abstractNumId w:val="3"/>
  </w:num>
  <w:num w:numId="2" w16cid:durableId="934901339">
    <w:abstractNumId w:val="12"/>
  </w:num>
  <w:num w:numId="3" w16cid:durableId="1209948978">
    <w:abstractNumId w:val="1"/>
  </w:num>
  <w:num w:numId="4" w16cid:durableId="677928588">
    <w:abstractNumId w:val="6"/>
  </w:num>
  <w:num w:numId="5" w16cid:durableId="844520786">
    <w:abstractNumId w:val="7"/>
  </w:num>
  <w:num w:numId="6" w16cid:durableId="1776945525">
    <w:abstractNumId w:val="8"/>
  </w:num>
  <w:num w:numId="7" w16cid:durableId="1828983260">
    <w:abstractNumId w:val="11"/>
  </w:num>
  <w:num w:numId="8" w16cid:durableId="2001538474">
    <w:abstractNumId w:val="9"/>
  </w:num>
  <w:num w:numId="9" w16cid:durableId="1756122518">
    <w:abstractNumId w:val="10"/>
  </w:num>
  <w:num w:numId="10" w16cid:durableId="925646941">
    <w:abstractNumId w:val="0"/>
  </w:num>
  <w:num w:numId="11" w16cid:durableId="549415373">
    <w:abstractNumId w:val="15"/>
  </w:num>
  <w:num w:numId="12" w16cid:durableId="284233436">
    <w:abstractNumId w:val="5"/>
  </w:num>
  <w:num w:numId="13" w16cid:durableId="819344236">
    <w:abstractNumId w:val="4"/>
  </w:num>
  <w:num w:numId="14" w16cid:durableId="907377756">
    <w:abstractNumId w:val="13"/>
  </w:num>
  <w:num w:numId="15" w16cid:durableId="2117941347">
    <w:abstractNumId w:val="2"/>
  </w:num>
  <w:num w:numId="16" w16cid:durableId="12038329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973"/>
    <w:rsid w:val="000D4204"/>
    <w:rsid w:val="00193973"/>
    <w:rsid w:val="001E459A"/>
    <w:rsid w:val="0027551F"/>
    <w:rsid w:val="0028196A"/>
    <w:rsid w:val="00373AE7"/>
    <w:rsid w:val="003D09D1"/>
    <w:rsid w:val="003E16A7"/>
    <w:rsid w:val="004D5241"/>
    <w:rsid w:val="004D526C"/>
    <w:rsid w:val="00520D56"/>
    <w:rsid w:val="00576BE4"/>
    <w:rsid w:val="00617962"/>
    <w:rsid w:val="00682526"/>
    <w:rsid w:val="006E3A66"/>
    <w:rsid w:val="007725F4"/>
    <w:rsid w:val="007E758F"/>
    <w:rsid w:val="008A58C0"/>
    <w:rsid w:val="00A301B4"/>
    <w:rsid w:val="00A81E70"/>
    <w:rsid w:val="00B27F4C"/>
    <w:rsid w:val="00B37214"/>
    <w:rsid w:val="00B74FC3"/>
    <w:rsid w:val="00CD1A5B"/>
    <w:rsid w:val="00E749E4"/>
    <w:rsid w:val="00E847A9"/>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10982B"/>
  <w15:chartTrackingRefBased/>
  <w15:docId w15:val="{9F8A4266-F6E2-43BA-8EF7-35B1DC47A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30"/>
        <w:lang w:val="en-AU" w:eastAsia="zh-CN" w:bidi="th-TH"/>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9D1"/>
    <w:pPr>
      <w:spacing w:after="240" w:line="240" w:lineRule="auto"/>
      <w:ind w:right="-329"/>
    </w:pPr>
    <w:rPr>
      <w:rFonts w:ascii="Arial" w:eastAsia="Times New Roman" w:hAnsi="Arial" w:cs="Arial"/>
      <w:kern w:val="0"/>
      <w:szCs w:val="24"/>
      <w14:ligatures w14:val="none"/>
    </w:rPr>
  </w:style>
  <w:style w:type="paragraph" w:styleId="Heading1">
    <w:name w:val="heading 1"/>
    <w:basedOn w:val="Normal"/>
    <w:next w:val="Normal"/>
    <w:link w:val="Heading1Char"/>
    <w:uiPriority w:val="9"/>
    <w:qFormat/>
    <w:rsid w:val="003D09D1"/>
    <w:pPr>
      <w:spacing w:after="100" w:afterAutospacing="1"/>
      <w:outlineLvl w:val="0"/>
    </w:pPr>
    <w:rPr>
      <w:rFonts w:ascii="Century Gothic" w:eastAsiaTheme="majorEastAsia" w:hAnsi="Century Gothic" w:cstheme="majorBidi"/>
      <w:spacing w:val="-10"/>
      <w:kern w:val="28"/>
      <w:sz w:val="56"/>
      <w:szCs w:val="56"/>
    </w:rPr>
  </w:style>
  <w:style w:type="paragraph" w:styleId="Heading2">
    <w:name w:val="heading 2"/>
    <w:basedOn w:val="Normal"/>
    <w:next w:val="Normal"/>
    <w:link w:val="Heading2Char"/>
    <w:uiPriority w:val="9"/>
    <w:semiHidden/>
    <w:unhideWhenUsed/>
    <w:qFormat/>
    <w:rsid w:val="007E758F"/>
    <w:pPr>
      <w:keepNext/>
      <w:keepLines/>
      <w:spacing w:before="160" w:after="80"/>
      <w:outlineLvl w:val="1"/>
    </w:pPr>
    <w:rPr>
      <w:rFonts w:asciiTheme="majorHAnsi" w:eastAsiaTheme="majorEastAsia" w:hAnsiTheme="majorHAnsi" w:cstheme="majorBidi"/>
      <w:color w:val="0F4761" w:themeColor="accent1" w:themeShade="BF"/>
      <w:sz w:val="32"/>
      <w:szCs w:val="40"/>
    </w:rPr>
  </w:style>
  <w:style w:type="paragraph" w:styleId="Heading3">
    <w:name w:val="heading 3"/>
    <w:basedOn w:val="Normal"/>
    <w:next w:val="Normal"/>
    <w:link w:val="Heading3Char"/>
    <w:uiPriority w:val="9"/>
    <w:semiHidden/>
    <w:unhideWhenUsed/>
    <w:qFormat/>
    <w:rsid w:val="007E758F"/>
    <w:pPr>
      <w:keepNext/>
      <w:keepLines/>
      <w:spacing w:before="160" w:after="80"/>
      <w:outlineLvl w:val="2"/>
    </w:pPr>
    <w:rPr>
      <w:rFonts w:eastAsiaTheme="majorEastAsia" w:cstheme="majorBidi"/>
      <w:color w:val="0F4761" w:themeColor="accent1" w:themeShade="BF"/>
      <w:sz w:val="28"/>
      <w:szCs w:val="35"/>
    </w:rPr>
  </w:style>
  <w:style w:type="paragraph" w:styleId="Heading4">
    <w:name w:val="heading 4"/>
    <w:basedOn w:val="Normal"/>
    <w:next w:val="Normal"/>
    <w:link w:val="Heading4Char"/>
    <w:uiPriority w:val="9"/>
    <w:semiHidden/>
    <w:unhideWhenUsed/>
    <w:qFormat/>
    <w:rsid w:val="007E758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E758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E758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758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758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758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09D1"/>
    <w:rPr>
      <w:rFonts w:ascii="Century Gothic" w:eastAsiaTheme="majorEastAsia" w:hAnsi="Century Gothic" w:cstheme="majorBidi"/>
      <w:spacing w:val="-10"/>
      <w:kern w:val="28"/>
      <w:sz w:val="56"/>
      <w:szCs w:val="56"/>
    </w:rPr>
  </w:style>
  <w:style w:type="character" w:customStyle="1" w:styleId="Heading2Char">
    <w:name w:val="Heading 2 Char"/>
    <w:basedOn w:val="DefaultParagraphFont"/>
    <w:link w:val="Heading2"/>
    <w:uiPriority w:val="9"/>
    <w:semiHidden/>
    <w:rsid w:val="007E758F"/>
    <w:rPr>
      <w:rFonts w:asciiTheme="majorHAnsi" w:eastAsiaTheme="majorEastAsia" w:hAnsiTheme="majorHAnsi" w:cstheme="majorBidi"/>
      <w:color w:val="0F4761" w:themeColor="accent1" w:themeShade="BF"/>
      <w:sz w:val="32"/>
      <w:szCs w:val="40"/>
    </w:rPr>
  </w:style>
  <w:style w:type="character" w:customStyle="1" w:styleId="Heading3Char">
    <w:name w:val="Heading 3 Char"/>
    <w:basedOn w:val="DefaultParagraphFont"/>
    <w:link w:val="Heading3"/>
    <w:uiPriority w:val="9"/>
    <w:semiHidden/>
    <w:rsid w:val="007E758F"/>
    <w:rPr>
      <w:rFonts w:eastAsiaTheme="majorEastAsia" w:cstheme="majorBidi"/>
      <w:color w:val="0F4761" w:themeColor="accent1" w:themeShade="BF"/>
      <w:sz w:val="28"/>
      <w:szCs w:val="35"/>
    </w:rPr>
  </w:style>
  <w:style w:type="character" w:customStyle="1" w:styleId="Heading4Char">
    <w:name w:val="Heading 4 Char"/>
    <w:basedOn w:val="DefaultParagraphFont"/>
    <w:link w:val="Heading4"/>
    <w:uiPriority w:val="9"/>
    <w:semiHidden/>
    <w:rsid w:val="007E758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E758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E75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75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75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758F"/>
    <w:rPr>
      <w:rFonts w:eastAsiaTheme="majorEastAsia" w:cstheme="majorBidi"/>
      <w:color w:val="272727" w:themeColor="text1" w:themeTint="D8"/>
    </w:rPr>
  </w:style>
  <w:style w:type="paragraph" w:styleId="Title">
    <w:name w:val="Title"/>
    <w:basedOn w:val="Normal"/>
    <w:next w:val="Normal"/>
    <w:link w:val="TitleChar"/>
    <w:uiPriority w:val="10"/>
    <w:qFormat/>
    <w:rsid w:val="007E758F"/>
    <w:pPr>
      <w:spacing w:after="80"/>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7E758F"/>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7E758F"/>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7E758F"/>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7E758F"/>
    <w:pPr>
      <w:spacing w:before="160"/>
      <w:jc w:val="center"/>
    </w:pPr>
    <w:rPr>
      <w:i/>
      <w:iCs/>
      <w:color w:val="404040" w:themeColor="text1" w:themeTint="BF"/>
    </w:rPr>
  </w:style>
  <w:style w:type="character" w:customStyle="1" w:styleId="QuoteChar">
    <w:name w:val="Quote Char"/>
    <w:basedOn w:val="DefaultParagraphFont"/>
    <w:link w:val="Quote"/>
    <w:uiPriority w:val="29"/>
    <w:rsid w:val="007E758F"/>
    <w:rPr>
      <w:i/>
      <w:iCs/>
      <w:color w:val="404040" w:themeColor="text1" w:themeTint="BF"/>
    </w:rPr>
  </w:style>
  <w:style w:type="paragraph" w:styleId="ListParagraph">
    <w:name w:val="List Paragraph"/>
    <w:basedOn w:val="Normal"/>
    <w:link w:val="ListParagraphChar"/>
    <w:uiPriority w:val="34"/>
    <w:qFormat/>
    <w:rsid w:val="007E758F"/>
    <w:pPr>
      <w:ind w:left="720"/>
      <w:contextualSpacing/>
    </w:pPr>
  </w:style>
  <w:style w:type="character" w:styleId="IntenseEmphasis">
    <w:name w:val="Intense Emphasis"/>
    <w:basedOn w:val="DefaultParagraphFont"/>
    <w:uiPriority w:val="21"/>
    <w:qFormat/>
    <w:rsid w:val="007E758F"/>
    <w:rPr>
      <w:i/>
      <w:iCs/>
      <w:color w:val="0F4761" w:themeColor="accent1" w:themeShade="BF"/>
    </w:rPr>
  </w:style>
  <w:style w:type="paragraph" w:styleId="IntenseQuote">
    <w:name w:val="Intense Quote"/>
    <w:basedOn w:val="Normal"/>
    <w:next w:val="Normal"/>
    <w:link w:val="IntenseQuoteChar"/>
    <w:uiPriority w:val="30"/>
    <w:qFormat/>
    <w:rsid w:val="007E75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E758F"/>
    <w:rPr>
      <w:i/>
      <w:iCs/>
      <w:color w:val="0F4761" w:themeColor="accent1" w:themeShade="BF"/>
    </w:rPr>
  </w:style>
  <w:style w:type="character" w:styleId="IntenseReference">
    <w:name w:val="Intense Reference"/>
    <w:basedOn w:val="DefaultParagraphFont"/>
    <w:uiPriority w:val="32"/>
    <w:qFormat/>
    <w:rsid w:val="007E758F"/>
    <w:rPr>
      <w:b/>
      <w:bCs/>
      <w:smallCaps/>
      <w:color w:val="0F4761" w:themeColor="accent1" w:themeShade="BF"/>
      <w:spacing w:val="5"/>
    </w:rPr>
  </w:style>
  <w:style w:type="table" w:styleId="TableGrid">
    <w:name w:val="Table Grid"/>
    <w:basedOn w:val="TableNormal"/>
    <w:uiPriority w:val="39"/>
    <w:rsid w:val="007725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D09D1"/>
    <w:pPr>
      <w:tabs>
        <w:tab w:val="center" w:pos="4513"/>
        <w:tab w:val="right" w:pos="9026"/>
      </w:tabs>
      <w:spacing w:after="0"/>
    </w:pPr>
  </w:style>
  <w:style w:type="character" w:customStyle="1" w:styleId="HeaderChar">
    <w:name w:val="Header Char"/>
    <w:basedOn w:val="DefaultParagraphFont"/>
    <w:link w:val="Header"/>
    <w:uiPriority w:val="99"/>
    <w:rsid w:val="003D09D1"/>
  </w:style>
  <w:style w:type="paragraph" w:styleId="Footer">
    <w:name w:val="footer"/>
    <w:basedOn w:val="Normal"/>
    <w:link w:val="FooterChar"/>
    <w:uiPriority w:val="99"/>
    <w:unhideWhenUsed/>
    <w:rsid w:val="003D09D1"/>
    <w:pPr>
      <w:tabs>
        <w:tab w:val="center" w:pos="4513"/>
        <w:tab w:val="right" w:pos="9026"/>
      </w:tabs>
      <w:spacing w:after="0"/>
    </w:pPr>
  </w:style>
  <w:style w:type="character" w:customStyle="1" w:styleId="FooterChar">
    <w:name w:val="Footer Char"/>
    <w:basedOn w:val="DefaultParagraphFont"/>
    <w:link w:val="Footer"/>
    <w:uiPriority w:val="99"/>
    <w:rsid w:val="003D09D1"/>
  </w:style>
  <w:style w:type="paragraph" w:customStyle="1" w:styleId="BulletPointL1">
    <w:name w:val="Bullet Point L1"/>
    <w:basedOn w:val="Normal"/>
    <w:link w:val="BulletPointL1Char"/>
    <w:qFormat/>
    <w:rsid w:val="003D09D1"/>
    <w:pPr>
      <w:numPr>
        <w:numId w:val="1"/>
      </w:numPr>
      <w:spacing w:after="120"/>
      <w:ind w:left="284" w:hanging="284"/>
      <w:contextualSpacing/>
    </w:pPr>
  </w:style>
  <w:style w:type="character" w:customStyle="1" w:styleId="BulletPointL1Char">
    <w:name w:val="Bullet Point L1 Char"/>
    <w:basedOn w:val="DefaultParagraphFont"/>
    <w:link w:val="BulletPointL1"/>
    <w:rsid w:val="003D09D1"/>
    <w:rPr>
      <w:rFonts w:ascii="Arial" w:eastAsia="Times New Roman" w:hAnsi="Arial" w:cs="Arial"/>
      <w:kern w:val="0"/>
      <w:szCs w:val="24"/>
      <w14:ligatures w14:val="none"/>
    </w:rPr>
  </w:style>
  <w:style w:type="paragraph" w:customStyle="1" w:styleId="BulletPointL2">
    <w:name w:val="Bullet Point L2"/>
    <w:basedOn w:val="ListParagraph"/>
    <w:link w:val="BulletPointL2Char"/>
    <w:rsid w:val="003D09D1"/>
    <w:pPr>
      <w:numPr>
        <w:numId w:val="2"/>
      </w:numPr>
    </w:pPr>
  </w:style>
  <w:style w:type="character" w:customStyle="1" w:styleId="ListParagraphChar">
    <w:name w:val="List Paragraph Char"/>
    <w:basedOn w:val="DefaultParagraphFont"/>
    <w:link w:val="ListParagraph"/>
    <w:uiPriority w:val="34"/>
    <w:rsid w:val="003D09D1"/>
    <w:rPr>
      <w:rFonts w:ascii="Arial" w:eastAsia="Times New Roman" w:hAnsi="Arial" w:cs="Arial"/>
      <w:kern w:val="0"/>
      <w:szCs w:val="24"/>
      <w14:ligatures w14:val="none"/>
    </w:rPr>
  </w:style>
  <w:style w:type="character" w:customStyle="1" w:styleId="BulletPointL2Char">
    <w:name w:val="Bullet Point L2 Char"/>
    <w:basedOn w:val="ListParagraphChar"/>
    <w:link w:val="BulletPointL2"/>
    <w:rsid w:val="003D09D1"/>
    <w:rPr>
      <w:rFonts w:ascii="Arial" w:eastAsia="Times New Roman" w:hAnsi="Arial" w:cs="Arial"/>
      <w:kern w:val="0"/>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a.gov.au/government/publications/recruiting-and-developing-diverse-talent"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House\AppData\Local\Micro%20Focus\Content%20Manager\TEMP\HPTRIM.1420\PSC26025671%20%20HMT%20resourc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PSC26025671  HMT resource template.DOTX</Template>
  <TotalTime>0</TotalTime>
  <Pages>1</Pages>
  <Words>286</Words>
  <Characters>1636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House, Joanna</dc:creator>
  <cp:keywords/>
  <dc:description/>
  <cp:lastModifiedBy>Rae, Marlo</cp:lastModifiedBy>
  <cp:revision>2</cp:revision>
  <dcterms:created xsi:type="dcterms:W3CDTF">2026-06-30T03:49:00Z</dcterms:created>
  <dcterms:modified xsi:type="dcterms:W3CDTF">2026-06-30T03:49:00Z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debd643-ebde-44ed-8e8b-40a2ae139fe2_Enabled">
    <vt:lpwstr>true</vt:lpwstr>
  </property>
  <property fmtid="{D5CDD505-2E9C-101B-9397-08002B2CF9AE}" pid="3" name="MSIP_Label_9debd643-ebde-44ed-8e8b-40a2ae139fe2_SetDate">
    <vt:lpwstr>2026-06-25T01:29:51Z</vt:lpwstr>
  </property>
  <property fmtid="{D5CDD505-2E9C-101B-9397-08002B2CF9AE}" pid="4" name="MSIP_Label_9debd643-ebde-44ed-8e8b-40a2ae139fe2_Method">
    <vt:lpwstr>Standard</vt:lpwstr>
  </property>
  <property fmtid="{D5CDD505-2E9C-101B-9397-08002B2CF9AE}" pid="5" name="MSIP_Label_9debd643-ebde-44ed-8e8b-40a2ae139fe2_Name">
    <vt:lpwstr>OFFICIAL PSC.</vt:lpwstr>
  </property>
  <property fmtid="{D5CDD505-2E9C-101B-9397-08002B2CF9AE}" pid="6" name="MSIP_Label_9debd643-ebde-44ed-8e8b-40a2ae139fe2_SiteId">
    <vt:lpwstr>d48144b5-571f-4b68-9721-e41bc0071e17</vt:lpwstr>
  </property>
  <property fmtid="{D5CDD505-2E9C-101B-9397-08002B2CF9AE}" pid="7" name="MSIP_Label_9debd643-ebde-44ed-8e8b-40a2ae139fe2_ActionId">
    <vt:lpwstr>9f05ab05-6e38-42d8-bf5a-3a02dd581197</vt:lpwstr>
  </property>
  <property fmtid="{D5CDD505-2E9C-101B-9397-08002B2CF9AE}" pid="8" name="MSIP_Label_9debd643-ebde-44ed-8e8b-40a2ae139fe2_ContentBits">
    <vt:lpwstr>0</vt:lpwstr>
  </property>
  <property fmtid="{D5CDD505-2E9C-101B-9397-08002B2CF9AE}" pid="9" name="MSIP_Label_9debd643-ebde-44ed-8e8b-40a2ae139fe2_Tag">
    <vt:lpwstr>10, 3, 0, 1</vt:lpwstr>
  </property>
  <property fmtid="{D5CDD505-2E9C-101B-9397-08002B2CF9AE}" pid="10" name="GrammarlyDocumentId">
    <vt:lpwstr>4eed7978-ec60-4cf4-9dd5-eeab89c0c044</vt:lpwstr>
  </property>
</Properties>
</file>