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43DD" w14:textId="5E6A7176" w:rsidR="005374BD" w:rsidRDefault="005374BD" w:rsidP="005374BD">
      <w:pPr>
        <w:spacing w:before="240"/>
        <w:ind w:left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F56431" wp14:editId="6AE06DFA">
            <wp:simplePos x="0" y="0"/>
            <wp:positionH relativeFrom="page">
              <wp:posOffset>0</wp:posOffset>
            </wp:positionH>
            <wp:positionV relativeFrom="paragraph">
              <wp:posOffset>-183707</wp:posOffset>
            </wp:positionV>
            <wp:extent cx="7586505" cy="1134916"/>
            <wp:effectExtent l="0" t="0" r="0" b="0"/>
            <wp:wrapNone/>
            <wp:docPr id="9" name="Picture 3" descr="WA Government state crest with Public Sector Commission name and title Hiring Manager's Tool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WA Government state crest with Public Sector Commission name and title Hiring Manager's Toolk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505" cy="113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90296" w14:textId="77777777" w:rsidR="005374BD" w:rsidRDefault="005374BD" w:rsidP="005374BD">
      <w:pPr>
        <w:spacing w:before="240"/>
        <w:ind w:left="0"/>
      </w:pPr>
    </w:p>
    <w:p w14:paraId="71586872" w14:textId="77777777" w:rsidR="005374BD" w:rsidRDefault="005374BD" w:rsidP="005374BD">
      <w:pPr>
        <w:spacing w:after="0"/>
        <w:ind w:left="0"/>
      </w:pPr>
    </w:p>
    <w:p w14:paraId="70BE1057" w14:textId="0069AE82" w:rsidR="00B53E10" w:rsidRDefault="006C4900" w:rsidP="005374BD">
      <w:pPr>
        <w:ind w:left="0"/>
        <w:jc w:val="right"/>
      </w:pPr>
      <w:r>
        <w:t>Change</w:t>
      </w:r>
      <w:r w:rsidR="008100AA">
        <w:t xml:space="preserve"> header if using for agency purposes</w:t>
      </w:r>
    </w:p>
    <w:p w14:paraId="4A48E31F" w14:textId="77777777" w:rsidR="00DC1E77" w:rsidRDefault="00DC1E77" w:rsidP="00DC1E77">
      <w:pPr>
        <w:pStyle w:val="Heading1"/>
      </w:pPr>
      <w:r w:rsidRPr="00DC1E77">
        <w:t>Guide: Pros and cons of reference checks</w:t>
      </w:r>
    </w:p>
    <w:p w14:paraId="23C2C588" w14:textId="77777777" w:rsidR="00DC1E77" w:rsidRPr="00DC1E77" w:rsidRDefault="00DC1E77" w:rsidP="00DC1E77">
      <w:pPr>
        <w:rPr>
          <w:b/>
          <w:bCs/>
        </w:rPr>
      </w:pPr>
      <w:r w:rsidRPr="00DC1E77">
        <w:rPr>
          <w:b/>
          <w:bCs/>
        </w:rPr>
        <w:t>While reference checks are a common step in recruitment, they possess distinct advantages and limitations.</w:t>
      </w:r>
    </w:p>
    <w:p w14:paraId="3A8E3501" w14:textId="77777777" w:rsidR="00DC1E77" w:rsidRPr="00DC1E77" w:rsidRDefault="00DC1E77" w:rsidP="00E235C3">
      <w:pPr>
        <w:spacing w:after="120"/>
        <w:rPr>
          <w:b/>
          <w:bCs/>
        </w:rPr>
      </w:pPr>
      <w:r w:rsidRPr="00DC1E77">
        <w:rPr>
          <w:b/>
          <w:bCs/>
        </w:rPr>
        <w:t>5 positives of reference checks</w:t>
      </w:r>
    </w:p>
    <w:p w14:paraId="5FCFA278" w14:textId="2AA37C5A" w:rsidR="00DC1E77" w:rsidRPr="00550643" w:rsidRDefault="00DC1E77" w:rsidP="00E235C3">
      <w:pPr>
        <w:pStyle w:val="ListParagraph"/>
        <w:numPr>
          <w:ilvl w:val="0"/>
          <w:numId w:val="35"/>
        </w:numPr>
        <w:spacing w:after="120"/>
        <w:ind w:left="142" w:hanging="357"/>
        <w:contextualSpacing w:val="0"/>
      </w:pPr>
      <w:r w:rsidRPr="00550643">
        <w:t>Verification of facts and skills: References allow employers to confirm an applicant’s work history, job duties, education and qualifications and technical skills.</w:t>
      </w:r>
    </w:p>
    <w:p w14:paraId="3B98B13B" w14:textId="5CE6551F" w:rsidR="00DC1E77" w:rsidRPr="00550643" w:rsidRDefault="00DC1E77" w:rsidP="00E235C3">
      <w:pPr>
        <w:pStyle w:val="ListParagraph"/>
        <w:numPr>
          <w:ilvl w:val="0"/>
          <w:numId w:val="35"/>
        </w:numPr>
        <w:spacing w:after="120"/>
        <w:ind w:left="142" w:hanging="357"/>
        <w:contextualSpacing w:val="0"/>
      </w:pPr>
      <w:r w:rsidRPr="00550643">
        <w:t>Insight into performance and fit: References provide a third person view of an applicant’s past job performance, their strengths and weaknesses, and how well they work in a team.</w:t>
      </w:r>
    </w:p>
    <w:p w14:paraId="6BD403E4" w14:textId="0B5C6A98" w:rsidR="00DC1E77" w:rsidRPr="00550643" w:rsidRDefault="00DC1E77" w:rsidP="00E235C3">
      <w:pPr>
        <w:pStyle w:val="ListParagraph"/>
        <w:numPr>
          <w:ilvl w:val="0"/>
          <w:numId w:val="35"/>
        </w:numPr>
        <w:spacing w:after="120"/>
        <w:ind w:left="142" w:hanging="357"/>
        <w:contextualSpacing w:val="0"/>
      </w:pPr>
      <w:r w:rsidRPr="00550643">
        <w:t>Red flag identification: References help identify potential warning signs that might have been missed in other assessments such as an interview including dishonesty, performance issues or misconduct.</w:t>
      </w:r>
    </w:p>
    <w:p w14:paraId="3FA62B67" w14:textId="73720502" w:rsidR="00DC1E77" w:rsidRPr="00550643" w:rsidRDefault="00DC1E77" w:rsidP="00E235C3">
      <w:pPr>
        <w:pStyle w:val="ListParagraph"/>
        <w:numPr>
          <w:ilvl w:val="0"/>
          <w:numId w:val="35"/>
        </w:numPr>
        <w:spacing w:after="120"/>
        <w:ind w:left="142" w:hanging="357"/>
        <w:contextualSpacing w:val="0"/>
      </w:pPr>
      <w:r w:rsidRPr="00550643">
        <w:t>Assessing work style: Referees can provide insight into how an applicant responds under pressure, how they take feedback and how they deal with changing priorities.</w:t>
      </w:r>
    </w:p>
    <w:p w14:paraId="64DBE5B5" w14:textId="77777777" w:rsidR="00DC1E77" w:rsidRPr="00550643" w:rsidRDefault="00DC1E77" w:rsidP="00E235C3">
      <w:pPr>
        <w:pStyle w:val="ListParagraph"/>
        <w:numPr>
          <w:ilvl w:val="0"/>
          <w:numId w:val="35"/>
        </w:numPr>
        <w:spacing w:after="120"/>
        <w:ind w:left="142" w:hanging="357"/>
        <w:contextualSpacing w:val="0"/>
      </w:pPr>
      <w:r w:rsidRPr="00550643">
        <w:t>Risk management: By verifying information, references help protect the agency from hiring the wrong person which can cause poor morale, high turnover costs and other issues.</w:t>
      </w:r>
    </w:p>
    <w:p w14:paraId="6308420B" w14:textId="77777777" w:rsidR="00DC1E77" w:rsidRPr="00DC1E77" w:rsidRDefault="00DC1E77" w:rsidP="00E235C3">
      <w:pPr>
        <w:spacing w:before="240" w:after="120"/>
        <w:rPr>
          <w:b/>
          <w:bCs/>
        </w:rPr>
      </w:pPr>
      <w:r w:rsidRPr="00DC1E77">
        <w:rPr>
          <w:b/>
          <w:bCs/>
        </w:rPr>
        <w:t>5 negatives of reference checks</w:t>
      </w:r>
    </w:p>
    <w:p w14:paraId="4EDA9269" w14:textId="31A1E188" w:rsidR="00DC1E77" w:rsidRPr="00550643" w:rsidRDefault="00DC1E77" w:rsidP="00E235C3">
      <w:pPr>
        <w:pStyle w:val="ListParagraph"/>
        <w:numPr>
          <w:ilvl w:val="0"/>
          <w:numId w:val="34"/>
        </w:numPr>
        <w:spacing w:after="120"/>
        <w:ind w:left="142"/>
        <w:contextualSpacing w:val="0"/>
      </w:pPr>
      <w:r w:rsidRPr="00550643">
        <w:t>Overly positive bias: Most references are overwhelmingly positive because applicants choose select people who speak highly of them or referees are reluctant to harm a career, leading to skewed information.</w:t>
      </w:r>
    </w:p>
    <w:p w14:paraId="322FADFF" w14:textId="2A55E5D1" w:rsidR="00DC1E77" w:rsidRPr="00550643" w:rsidRDefault="00DC1E77" w:rsidP="00E235C3">
      <w:pPr>
        <w:pStyle w:val="ListParagraph"/>
        <w:numPr>
          <w:ilvl w:val="0"/>
          <w:numId w:val="34"/>
        </w:numPr>
        <w:spacing w:after="120"/>
        <w:ind w:left="142"/>
        <w:contextualSpacing w:val="0"/>
      </w:pPr>
      <w:r w:rsidRPr="00550643">
        <w:t>Time consuming process: Chasing, scheduling and conducting reference can add significant time to the hiring process, particularly in competitive markets when expediency is important.</w:t>
      </w:r>
    </w:p>
    <w:p w14:paraId="6A32E008" w14:textId="3C5E3A60" w:rsidR="00DC1E77" w:rsidRPr="00550643" w:rsidRDefault="00DC1E77" w:rsidP="00E235C3">
      <w:pPr>
        <w:pStyle w:val="ListParagraph"/>
        <w:numPr>
          <w:ilvl w:val="0"/>
          <w:numId w:val="34"/>
        </w:numPr>
        <w:spacing w:after="120"/>
        <w:ind w:left="142"/>
        <w:contextualSpacing w:val="0"/>
      </w:pPr>
      <w:r w:rsidRPr="00550643">
        <w:t>Legal and privacy restrictions: Some organisations do not allow their staff to be referees or to give references due to legal risks, limiting references to confirmation of dates of employment.</w:t>
      </w:r>
    </w:p>
    <w:p w14:paraId="3CC98F4A" w14:textId="05F2383D" w:rsidR="00DC1E77" w:rsidRPr="00550643" w:rsidRDefault="00DC1E77" w:rsidP="00E235C3">
      <w:pPr>
        <w:pStyle w:val="ListParagraph"/>
        <w:numPr>
          <w:ilvl w:val="0"/>
          <w:numId w:val="34"/>
        </w:numPr>
        <w:spacing w:after="120"/>
        <w:ind w:left="142"/>
        <w:contextualSpacing w:val="0"/>
      </w:pPr>
      <w:r w:rsidRPr="00550643">
        <w:t>Low reliability as a predictor: Research indicates that reference checks have only moderate validity in predicting future job performance, with some sources claiming limited accuracy.</w:t>
      </w:r>
    </w:p>
    <w:p w14:paraId="1B8AD171" w14:textId="77777777" w:rsidR="00DC1E77" w:rsidRPr="00550643" w:rsidRDefault="00DC1E77" w:rsidP="00E235C3">
      <w:pPr>
        <w:pStyle w:val="ListParagraph"/>
        <w:numPr>
          <w:ilvl w:val="0"/>
          <w:numId w:val="34"/>
        </w:numPr>
        <w:spacing w:after="120"/>
        <w:ind w:left="142"/>
        <w:contextualSpacing w:val="0"/>
      </w:pPr>
      <w:r w:rsidRPr="00550643">
        <w:t>Potential for inconsistency/discrimination: If not structured, varying questions and subjective interpretations by the interviewer can lead to biased hiring decisions.</w:t>
      </w:r>
    </w:p>
    <w:p w14:paraId="22F693CE" w14:textId="67F0B1D5" w:rsidR="00173574" w:rsidRPr="00B01F21" w:rsidRDefault="00173574" w:rsidP="00E235C3">
      <w:pPr>
        <w:spacing w:after="120"/>
      </w:pPr>
    </w:p>
    <w:sectPr w:rsidR="00173574" w:rsidRPr="00B01F21" w:rsidSect="00480284">
      <w:headerReference w:type="default" r:id="rId9"/>
      <w:footerReference w:type="default" r:id="rId10"/>
      <w:footerReference w:type="first" r:id="rId11"/>
      <w:pgSz w:w="11906" w:h="16838"/>
      <w:pgMar w:top="284" w:right="1134" w:bottom="1440" w:left="1134" w:header="81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376E" w14:textId="77777777" w:rsidR="00510B6E" w:rsidRDefault="00510B6E" w:rsidP="005374BD">
      <w:r>
        <w:separator/>
      </w:r>
    </w:p>
  </w:endnote>
  <w:endnote w:type="continuationSeparator" w:id="0">
    <w:p w14:paraId="2EE13487" w14:textId="77777777" w:rsidR="00510B6E" w:rsidRDefault="00510B6E" w:rsidP="0053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749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A2E34" w14:textId="046FFB81" w:rsidR="001836C9" w:rsidRDefault="00480284" w:rsidP="004802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480284">
          <w:t xml:space="preserve"> </w:t>
        </w:r>
        <w:r>
          <w:tab/>
        </w:r>
        <w:r w:rsidR="002E33AD" w:rsidRPr="002E33AD">
          <w:rPr>
            <w:noProof/>
          </w:rPr>
          <w:t>PSC26025765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364B" w14:textId="285F0F9F" w:rsidR="001836C9" w:rsidRPr="00DC1E77" w:rsidRDefault="00DC1E77" w:rsidP="00DC1E77">
    <w:pPr>
      <w:pStyle w:val="Footer"/>
      <w:jc w:val="right"/>
    </w:pPr>
    <w:r w:rsidRPr="00DC1E77">
      <w:t>PSC26025754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1748" w14:textId="77777777" w:rsidR="00510B6E" w:rsidRDefault="00510B6E" w:rsidP="005374BD">
      <w:r>
        <w:separator/>
      </w:r>
    </w:p>
  </w:footnote>
  <w:footnote w:type="continuationSeparator" w:id="0">
    <w:p w14:paraId="1AF0717D" w14:textId="77777777" w:rsidR="00510B6E" w:rsidRDefault="00510B6E" w:rsidP="0053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B045" w14:textId="17604FD7" w:rsidR="004B2B75" w:rsidRPr="004B2B75" w:rsidRDefault="004B2B75" w:rsidP="00DC1E77">
    <w:pPr>
      <w:pStyle w:val="Header"/>
      <w:ind w:left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9A48F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FE23DE"/>
    <w:multiLevelType w:val="hybridMultilevel"/>
    <w:tmpl w:val="B12096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548C1"/>
    <w:multiLevelType w:val="hybridMultilevel"/>
    <w:tmpl w:val="9A90F566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4CF2"/>
    <w:multiLevelType w:val="hybridMultilevel"/>
    <w:tmpl w:val="262480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BB6526"/>
    <w:multiLevelType w:val="hybridMultilevel"/>
    <w:tmpl w:val="546AF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1822C5"/>
    <w:multiLevelType w:val="multilevel"/>
    <w:tmpl w:val="C53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57473"/>
    <w:multiLevelType w:val="hybridMultilevel"/>
    <w:tmpl w:val="4370A2EA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6467DE2"/>
    <w:multiLevelType w:val="hybridMultilevel"/>
    <w:tmpl w:val="20689ECC"/>
    <w:lvl w:ilvl="0" w:tplc="C17660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7A21F38"/>
    <w:multiLevelType w:val="multilevel"/>
    <w:tmpl w:val="10A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D16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5C3EA8"/>
    <w:multiLevelType w:val="hybridMultilevel"/>
    <w:tmpl w:val="CDF4BA5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03635F0"/>
    <w:multiLevelType w:val="hybridMultilevel"/>
    <w:tmpl w:val="EB4C7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11120A"/>
    <w:multiLevelType w:val="hybridMultilevel"/>
    <w:tmpl w:val="98C2C57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762B51"/>
    <w:multiLevelType w:val="hybridMultilevel"/>
    <w:tmpl w:val="1C625D06"/>
    <w:lvl w:ilvl="0" w:tplc="2116AAC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22E4A"/>
    <w:multiLevelType w:val="hybridMultilevel"/>
    <w:tmpl w:val="297CEA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B30D47"/>
    <w:multiLevelType w:val="hybridMultilevel"/>
    <w:tmpl w:val="11926DE6"/>
    <w:lvl w:ilvl="0" w:tplc="818683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F30D7E"/>
    <w:multiLevelType w:val="hybridMultilevel"/>
    <w:tmpl w:val="A21440C4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3194A1F"/>
    <w:multiLevelType w:val="multilevel"/>
    <w:tmpl w:val="DAC0B470"/>
    <w:lvl w:ilvl="0">
      <w:start w:val="1"/>
      <w:numFmt w:val="decimal"/>
      <w:pStyle w:val="Heading2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18" w15:restartNumberingAfterBreak="0">
    <w:nsid w:val="441B02F2"/>
    <w:multiLevelType w:val="hybridMultilevel"/>
    <w:tmpl w:val="4AB0D93A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4430631"/>
    <w:multiLevelType w:val="hybridMultilevel"/>
    <w:tmpl w:val="4A0E8650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46336198"/>
    <w:multiLevelType w:val="hybridMultilevel"/>
    <w:tmpl w:val="240C2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7315"/>
    <w:multiLevelType w:val="hybridMultilevel"/>
    <w:tmpl w:val="849CCB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50F80"/>
    <w:multiLevelType w:val="hybridMultilevel"/>
    <w:tmpl w:val="A184BB7A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3" w15:restartNumberingAfterBreak="0">
    <w:nsid w:val="5DB247B2"/>
    <w:multiLevelType w:val="hybridMultilevel"/>
    <w:tmpl w:val="851CE57C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4" w15:restartNumberingAfterBreak="0">
    <w:nsid w:val="5E732710"/>
    <w:multiLevelType w:val="hybridMultilevel"/>
    <w:tmpl w:val="F6AE0982"/>
    <w:lvl w:ilvl="0" w:tplc="205A934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07DF7"/>
    <w:multiLevelType w:val="hybridMultilevel"/>
    <w:tmpl w:val="695A3D7E"/>
    <w:lvl w:ilvl="0" w:tplc="0C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6" w15:restartNumberingAfterBreak="0">
    <w:nsid w:val="60A0341E"/>
    <w:multiLevelType w:val="hybridMultilevel"/>
    <w:tmpl w:val="1F50B7A6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47D51B3"/>
    <w:multiLevelType w:val="hybridMultilevel"/>
    <w:tmpl w:val="16287BEA"/>
    <w:lvl w:ilvl="0" w:tplc="205A934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20FB4"/>
    <w:multiLevelType w:val="hybridMultilevel"/>
    <w:tmpl w:val="9BDCEC00"/>
    <w:lvl w:ilvl="0" w:tplc="81868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948BA"/>
    <w:multiLevelType w:val="hybridMultilevel"/>
    <w:tmpl w:val="A2B0E842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6E306844"/>
    <w:multiLevelType w:val="multilevel"/>
    <w:tmpl w:val="1374C2B2"/>
    <w:lvl w:ilvl="0">
      <w:start w:val="1"/>
      <w:numFmt w:val="bullet"/>
      <w:pStyle w:val="BulletPoint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431951"/>
    <w:multiLevelType w:val="hybridMultilevel"/>
    <w:tmpl w:val="2F5E878A"/>
    <w:lvl w:ilvl="0" w:tplc="207EEB6A">
      <w:start w:val="1"/>
      <w:numFmt w:val="bullet"/>
      <w:pStyle w:val="BulletPointL1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2D06D6C"/>
    <w:multiLevelType w:val="hybridMultilevel"/>
    <w:tmpl w:val="49720826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34023D4"/>
    <w:multiLevelType w:val="hybridMultilevel"/>
    <w:tmpl w:val="557CFDFC"/>
    <w:lvl w:ilvl="0" w:tplc="818683AA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76171483"/>
    <w:multiLevelType w:val="hybridMultilevel"/>
    <w:tmpl w:val="21926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71339">
    <w:abstractNumId w:val="8"/>
  </w:num>
  <w:num w:numId="2" w16cid:durableId="934901339">
    <w:abstractNumId w:val="30"/>
  </w:num>
  <w:num w:numId="3" w16cid:durableId="1460107213">
    <w:abstractNumId w:val="0"/>
  </w:num>
  <w:num w:numId="4" w16cid:durableId="1140150976">
    <w:abstractNumId w:val="20"/>
  </w:num>
  <w:num w:numId="5" w16cid:durableId="2059475070">
    <w:abstractNumId w:val="21"/>
  </w:num>
  <w:num w:numId="6" w16cid:durableId="1048720529">
    <w:abstractNumId w:val="29"/>
  </w:num>
  <w:num w:numId="7" w16cid:durableId="466164714">
    <w:abstractNumId w:val="13"/>
  </w:num>
  <w:num w:numId="8" w16cid:durableId="307134254">
    <w:abstractNumId w:val="28"/>
  </w:num>
  <w:num w:numId="9" w16cid:durableId="1649548878">
    <w:abstractNumId w:val="15"/>
  </w:num>
  <w:num w:numId="10" w16cid:durableId="1830290986">
    <w:abstractNumId w:val="12"/>
  </w:num>
  <w:num w:numId="11" w16cid:durableId="1484078211">
    <w:abstractNumId w:val="10"/>
  </w:num>
  <w:num w:numId="12" w16cid:durableId="519509856">
    <w:abstractNumId w:val="32"/>
  </w:num>
  <w:num w:numId="13" w16cid:durableId="663974972">
    <w:abstractNumId w:val="33"/>
  </w:num>
  <w:num w:numId="14" w16cid:durableId="1357383910">
    <w:abstractNumId w:val="6"/>
  </w:num>
  <w:num w:numId="15" w16cid:durableId="356779830">
    <w:abstractNumId w:val="16"/>
  </w:num>
  <w:num w:numId="16" w16cid:durableId="225262472">
    <w:abstractNumId w:val="2"/>
  </w:num>
  <w:num w:numId="17" w16cid:durableId="1569880286">
    <w:abstractNumId w:val="11"/>
  </w:num>
  <w:num w:numId="18" w16cid:durableId="992100058">
    <w:abstractNumId w:val="25"/>
  </w:num>
  <w:num w:numId="19" w16cid:durableId="973099545">
    <w:abstractNumId w:val="23"/>
  </w:num>
  <w:num w:numId="20" w16cid:durableId="313605442">
    <w:abstractNumId w:val="22"/>
  </w:num>
  <w:num w:numId="21" w16cid:durableId="2111970797">
    <w:abstractNumId w:val="19"/>
  </w:num>
  <w:num w:numId="22" w16cid:durableId="1642417477">
    <w:abstractNumId w:val="3"/>
  </w:num>
  <w:num w:numId="23" w16cid:durableId="2044549852">
    <w:abstractNumId w:val="31"/>
  </w:num>
  <w:num w:numId="24" w16cid:durableId="1402169961">
    <w:abstractNumId w:val="4"/>
  </w:num>
  <w:num w:numId="25" w16cid:durableId="1506895166">
    <w:abstractNumId w:val="5"/>
  </w:num>
  <w:num w:numId="26" w16cid:durableId="1273320266">
    <w:abstractNumId w:val="7"/>
  </w:num>
  <w:num w:numId="27" w16cid:durableId="1494685627">
    <w:abstractNumId w:val="9"/>
  </w:num>
  <w:num w:numId="28" w16cid:durableId="402604453">
    <w:abstractNumId w:val="17"/>
  </w:num>
  <w:num w:numId="29" w16cid:durableId="348412432">
    <w:abstractNumId w:val="1"/>
  </w:num>
  <w:num w:numId="30" w16cid:durableId="405303944">
    <w:abstractNumId w:val="24"/>
  </w:num>
  <w:num w:numId="31" w16cid:durableId="1968120345">
    <w:abstractNumId w:val="27"/>
  </w:num>
  <w:num w:numId="32" w16cid:durableId="821432947">
    <w:abstractNumId w:val="34"/>
  </w:num>
  <w:num w:numId="33" w16cid:durableId="2032031083">
    <w:abstractNumId w:val="14"/>
  </w:num>
  <w:num w:numId="34" w16cid:durableId="760836772">
    <w:abstractNumId w:val="26"/>
  </w:num>
  <w:num w:numId="35" w16cid:durableId="12057555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33"/>
    <w:rsid w:val="0003127E"/>
    <w:rsid w:val="0004675E"/>
    <w:rsid w:val="000B58D3"/>
    <w:rsid w:val="000D0BED"/>
    <w:rsid w:val="0013178F"/>
    <w:rsid w:val="00151D1F"/>
    <w:rsid w:val="00173574"/>
    <w:rsid w:val="001836C9"/>
    <w:rsid w:val="001E459A"/>
    <w:rsid w:val="00204283"/>
    <w:rsid w:val="0027551F"/>
    <w:rsid w:val="0029575D"/>
    <w:rsid w:val="002E33AD"/>
    <w:rsid w:val="00312E94"/>
    <w:rsid w:val="00337F6A"/>
    <w:rsid w:val="003D09D1"/>
    <w:rsid w:val="003D11C7"/>
    <w:rsid w:val="003E16A7"/>
    <w:rsid w:val="00411A88"/>
    <w:rsid w:val="004173F4"/>
    <w:rsid w:val="00422F00"/>
    <w:rsid w:val="004334BB"/>
    <w:rsid w:val="0047177C"/>
    <w:rsid w:val="0047706B"/>
    <w:rsid w:val="00480284"/>
    <w:rsid w:val="004A16AC"/>
    <w:rsid w:val="004B2B75"/>
    <w:rsid w:val="004B6A4E"/>
    <w:rsid w:val="004D526C"/>
    <w:rsid w:val="00510B6E"/>
    <w:rsid w:val="00520D56"/>
    <w:rsid w:val="005324A0"/>
    <w:rsid w:val="005374BD"/>
    <w:rsid w:val="0056105D"/>
    <w:rsid w:val="00571085"/>
    <w:rsid w:val="00584645"/>
    <w:rsid w:val="005A09FA"/>
    <w:rsid w:val="005E0616"/>
    <w:rsid w:val="005E3F04"/>
    <w:rsid w:val="00610BB7"/>
    <w:rsid w:val="00662D33"/>
    <w:rsid w:val="00682526"/>
    <w:rsid w:val="0069229A"/>
    <w:rsid w:val="006C2116"/>
    <w:rsid w:val="006C4900"/>
    <w:rsid w:val="006E3A66"/>
    <w:rsid w:val="00700A38"/>
    <w:rsid w:val="00723BA3"/>
    <w:rsid w:val="0072756A"/>
    <w:rsid w:val="007725F4"/>
    <w:rsid w:val="00774A35"/>
    <w:rsid w:val="007E758F"/>
    <w:rsid w:val="007F27D5"/>
    <w:rsid w:val="008100AA"/>
    <w:rsid w:val="00827149"/>
    <w:rsid w:val="00827824"/>
    <w:rsid w:val="00883592"/>
    <w:rsid w:val="008A58C0"/>
    <w:rsid w:val="00971EFD"/>
    <w:rsid w:val="00A40DD0"/>
    <w:rsid w:val="00A44472"/>
    <w:rsid w:val="00B37214"/>
    <w:rsid w:val="00B53E10"/>
    <w:rsid w:val="00B75178"/>
    <w:rsid w:val="00BB50AB"/>
    <w:rsid w:val="00CD1ED9"/>
    <w:rsid w:val="00D76364"/>
    <w:rsid w:val="00DC1E77"/>
    <w:rsid w:val="00E1105D"/>
    <w:rsid w:val="00E235C3"/>
    <w:rsid w:val="00E271D9"/>
    <w:rsid w:val="00E749E4"/>
    <w:rsid w:val="00E847A9"/>
    <w:rsid w:val="00EE395A"/>
    <w:rsid w:val="00EF56C6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CBF5"/>
  <w15:chartTrackingRefBased/>
  <w15:docId w15:val="{57E8D9E7-7438-4482-B641-4D414CB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BD"/>
    <w:pPr>
      <w:spacing w:after="240" w:line="240" w:lineRule="auto"/>
      <w:ind w:left="-284" w:right="-329"/>
    </w:pPr>
    <w:rPr>
      <w:rFonts w:ascii="Arial" w:eastAsia="Times New Roman" w:hAnsi="Arial" w:cs="Arial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4BD"/>
    <w:pPr>
      <w:outlineLvl w:val="0"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73574"/>
    <w:pPr>
      <w:numPr>
        <w:numId w:val="28"/>
      </w:numPr>
      <w:spacing w:before="240" w:after="120" w:line="300" w:lineRule="atLeast"/>
      <w:ind w:right="0"/>
      <w:outlineLvl w:val="1"/>
    </w:pPr>
    <w:rPr>
      <w:rFonts w:ascii="Century Gothic" w:hAnsi="Century Gothic"/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3574"/>
    <w:pPr>
      <w:numPr>
        <w:ilvl w:val="1"/>
      </w:numPr>
      <w:contextualSpacing w:val="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BD"/>
    <w:rPr>
      <w:rFonts w:ascii="Century Gothic" w:eastAsiaTheme="majorEastAsia" w:hAnsi="Century Gothic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73574"/>
    <w:rPr>
      <w:rFonts w:ascii="Century Gothic" w:eastAsia="Times New Roman" w:hAnsi="Century Gothic" w:cs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73574"/>
    <w:rPr>
      <w:rFonts w:ascii="Century Gothic" w:eastAsia="Times New Roman" w:hAnsi="Century Gothic" w:cs="Arial"/>
      <w:b/>
      <w:bCs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75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8F"/>
    <w:pPr>
      <w:numPr>
        <w:ilvl w:val="1"/>
      </w:numPr>
      <w:ind w:left="-284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75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8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E7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F00"/>
    <w:pPr>
      <w:spacing w:before="60" w:after="60" w:line="240" w:lineRule="auto"/>
      <w:textboxTightWrap w:val="allLines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/>
        <w:sz w:val="24"/>
      </w:rPr>
      <w:tblPr/>
      <w:tcPr>
        <w:shd w:val="clear" w:color="auto" w:fill="000000" w:themeFill="text1"/>
      </w:tcPr>
    </w:tblStylePr>
  </w:style>
  <w:style w:type="paragraph" w:styleId="Header">
    <w:name w:val="header"/>
    <w:basedOn w:val="Normal"/>
    <w:link w:val="Head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9D1"/>
  </w:style>
  <w:style w:type="paragraph" w:styleId="Footer">
    <w:name w:val="footer"/>
    <w:basedOn w:val="Normal"/>
    <w:link w:val="Foot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09D1"/>
  </w:style>
  <w:style w:type="paragraph" w:customStyle="1" w:styleId="BulletPointL1">
    <w:name w:val="Bullet Point L1"/>
    <w:basedOn w:val="ListParagraph"/>
    <w:link w:val="BulletPointL1Char"/>
    <w:qFormat/>
    <w:rsid w:val="005374BD"/>
    <w:pPr>
      <w:numPr>
        <w:numId w:val="23"/>
      </w:numPr>
      <w:ind w:left="142"/>
    </w:pPr>
  </w:style>
  <w:style w:type="character" w:customStyle="1" w:styleId="BulletPointL1Char">
    <w:name w:val="Bullet Point L1 Char"/>
    <w:basedOn w:val="DefaultParagraphFont"/>
    <w:link w:val="BulletPointL1"/>
    <w:rsid w:val="005374BD"/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BulletPointL2">
    <w:name w:val="Bullet Point L2"/>
    <w:basedOn w:val="ListParagraph"/>
    <w:link w:val="BulletPointL2Char"/>
    <w:rsid w:val="003D09D1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09D1"/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BulletPointL2Char">
    <w:name w:val="Bullet Point L2 Char"/>
    <w:basedOn w:val="ListParagraphChar"/>
    <w:link w:val="BulletPointL2"/>
    <w:rsid w:val="003D09D1"/>
    <w:rPr>
      <w:rFonts w:ascii="Arial" w:eastAsia="Times New Roman" w:hAnsi="Arial" w:cs="Arial"/>
      <w:kern w:val="0"/>
      <w:szCs w:val="24"/>
      <w14:ligatures w14:val="none"/>
    </w:rPr>
  </w:style>
  <w:style w:type="table" w:customStyle="1" w:styleId="CommissionTable1">
    <w:name w:val="Commission Table 1"/>
    <w:basedOn w:val="TableNormal"/>
    <w:uiPriority w:val="99"/>
    <w:rsid w:val="0056105D"/>
    <w:pPr>
      <w:spacing w:before="120" w:after="120" w:line="240" w:lineRule="auto"/>
      <w:ind w:left="141" w:right="-329" w:hanging="425"/>
      <w:contextualSpacing/>
    </w:pPr>
    <w:rPr>
      <w:rFonts w:ascii="Arial" w:eastAsiaTheme="minorHAnsi" w:hAnsi="Arial"/>
      <w:kern w:val="0"/>
      <w:szCs w:val="22"/>
      <w:lang w:eastAsia="en-US" w:bidi="ar-SA"/>
      <w14:ligatures w14:val="none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Bullet3">
    <w:name w:val="List Bullet 3"/>
    <w:basedOn w:val="Normal"/>
    <w:uiPriority w:val="99"/>
    <w:unhideWhenUsed/>
    <w:rsid w:val="0056105D"/>
    <w:pPr>
      <w:numPr>
        <w:numId w:val="3"/>
      </w:numPr>
      <w:tabs>
        <w:tab w:val="clear" w:pos="926"/>
      </w:tabs>
      <w:spacing w:after="120" w:line="259" w:lineRule="auto"/>
      <w:ind w:left="0" w:firstLine="0"/>
      <w:contextualSpacing/>
    </w:pPr>
    <w:rPr>
      <w:rFonts w:eastAsiaTheme="minorHAnsi" w:cstheme="minorBidi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B53E10"/>
    <w:pPr>
      <w:spacing w:before="100" w:beforeAutospacing="1" w:after="100" w:afterAutospacing="1"/>
      <w:ind w:right="0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F532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0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284"/>
    <w:pPr>
      <w:spacing w:before="120" w:after="120"/>
      <w:ind w:left="141" w:hanging="425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284"/>
    <w:rPr>
      <w:rFonts w:eastAsiaTheme="minorHAnsi"/>
      <w:kern w:val="0"/>
      <w:sz w:val="20"/>
      <w:szCs w:val="20"/>
      <w:lang w:eastAsia="en-US" w:bidi="ar-SA"/>
      <w14:ligatures w14:val="none"/>
    </w:rPr>
  </w:style>
  <w:style w:type="paragraph" w:styleId="NoSpacing">
    <w:name w:val="No Spacing"/>
    <w:uiPriority w:val="1"/>
    <w:qFormat/>
    <w:rsid w:val="00173574"/>
    <w:pPr>
      <w:spacing w:after="0" w:line="240" w:lineRule="auto"/>
      <w:ind w:left="-284" w:right="-329"/>
    </w:pPr>
    <w:rPr>
      <w:rFonts w:ascii="Arial" w:eastAsia="Times New Roman" w:hAnsi="Arial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rgess02\Desktop\Managers%20Toolkit%20work\HMT%20resour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97CF-38EC-466B-9382-2A211533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HMT resource template.dotx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Mckay</dc:creator>
  <cp:keywords/>
  <dc:description/>
  <cp:lastModifiedBy>Rae, Marlo</cp:lastModifiedBy>
  <cp:revision>2</cp:revision>
  <dcterms:created xsi:type="dcterms:W3CDTF">2026-06-30T03:29:00Z</dcterms:created>
  <dcterms:modified xsi:type="dcterms:W3CDTF">2026-06-30T03:29:00Z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2026-06-25T01:29:51Z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9f05ab05-6e38-42d8-bf5a-3a02dd581197</vt:lpwstr>
  </property>
  <property fmtid="{D5CDD505-2E9C-101B-9397-08002B2CF9AE}" pid="8" name="MSIP_Label_9debd643-ebde-44ed-8e8b-40a2ae139fe2_ContentBits">
    <vt:lpwstr>0</vt:lpwstr>
  </property>
  <property fmtid="{D5CDD505-2E9C-101B-9397-08002B2CF9AE}" pid="9" name="MSIP_Label_9debd643-ebde-44ed-8e8b-40a2ae139fe2_Tag">
    <vt:lpwstr>10, 3, 0, 1</vt:lpwstr>
  </property>
  <property fmtid="{D5CDD505-2E9C-101B-9397-08002B2CF9AE}" pid="10" name="_AdHocReviewCycleID">
    <vt:i4>1758172659</vt:i4>
  </property>
  <property fmtid="{D5CDD505-2E9C-101B-9397-08002B2CF9AE}" pid="11" name="_NewReviewCycle">
    <vt:lpwstr/>
  </property>
  <property fmtid="{D5CDD505-2E9C-101B-9397-08002B2CF9AE}" pid="12" name="_EmailSubject">
    <vt:lpwstr>HMT resource CH 4 - Checklist - Effective advertisement - June 2026</vt:lpwstr>
  </property>
  <property fmtid="{D5CDD505-2E9C-101B-9397-08002B2CF9AE}" pid="13" name="_AuthorEmail">
    <vt:lpwstr>Jane.MachinEverill@psc.wa.gov.au</vt:lpwstr>
  </property>
  <property fmtid="{D5CDD505-2E9C-101B-9397-08002B2CF9AE}" pid="14" name="_AuthorEmailDisplayName">
    <vt:lpwstr>Machin-Everill, Jane</vt:lpwstr>
  </property>
  <property fmtid="{D5CDD505-2E9C-101B-9397-08002B2CF9AE}" pid="15" name="_PreviousAdHocReviewCycleID">
    <vt:i4>362485542</vt:i4>
  </property>
  <property fmtid="{D5CDD505-2E9C-101B-9397-08002B2CF9AE}" pid="16" name="_ReviewingToolsShownOnce">
    <vt:lpwstr/>
  </property>
</Properties>
</file>