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4D01" w14:textId="4CC12EE0" w:rsidR="004F50EF" w:rsidRPr="008933ED" w:rsidRDefault="00981C00" w:rsidP="008933ED">
      <w:pPr>
        <w:pStyle w:val="Heading1PreambleDetetc"/>
      </w:pPr>
      <w:bookmarkStart w:id="0" w:name="_Toc75426962"/>
      <w:bookmarkStart w:id="1" w:name="_Hlk171339197"/>
      <w:bookmarkStart w:id="2" w:name="_Hlk171339198"/>
      <w:bookmarkStart w:id="3" w:name="_Hlk171339173"/>
      <w:r>
        <w:t xml:space="preserve">Appendix 1 – </w:t>
      </w:r>
      <w:r w:rsidR="004F50EF" w:rsidRPr="008933ED">
        <w:t>Electorate and Parliamentary Expenses Allowance</w:t>
      </w:r>
      <w:r w:rsidR="004F50EF" w:rsidRPr="008933ED">
        <w:br/>
        <w:t xml:space="preserve">Annual Usage Report </w:t>
      </w:r>
      <w:r w:rsidR="004F50EF" w:rsidRPr="00981C00">
        <w:rPr>
          <w:color w:val="BBDDD8"/>
        </w:rPr>
        <w:t>1 July 2026 – 30 June 2027</w:t>
      </w:r>
    </w:p>
    <w:p w14:paraId="72E4FEBF" w14:textId="45AA36BF" w:rsidR="004F50EF" w:rsidRPr="00E45786" w:rsidRDefault="00BD4D87" w:rsidP="00193D5C">
      <w:pPr>
        <w:spacing w:before="200" w:after="200"/>
        <w:rPr>
          <w:rFonts w:eastAsia="Calibri" w:cs="Calibri"/>
        </w:rPr>
      </w:pPr>
      <w:r w:rsidRPr="001152C0">
        <w:rPr>
          <w:rFonts w:eastAsia="Calibri" w:cs="Calibri"/>
          <w:b/>
          <w:bCs/>
        </w:rPr>
        <w:t>Member</w:t>
      </w:r>
      <w:r w:rsidR="004F50EF" w:rsidRPr="001152C0">
        <w:rPr>
          <w:rFonts w:eastAsia="Calibri" w:cs="Calibri"/>
          <w:b/>
          <w:bCs/>
        </w:rPr>
        <w:t>:</w:t>
      </w:r>
      <w:r w:rsidR="004F50EF" w:rsidRPr="00E45786">
        <w:rPr>
          <w:rFonts w:eastAsia="Calibri" w:cs="Calibri"/>
        </w:rPr>
        <w:tab/>
      </w:r>
      <w:r w:rsidR="004F50EF" w:rsidRPr="00E45786">
        <w:rPr>
          <w:rFonts w:eastAsia="Calibri" w:cs="Calibri"/>
        </w:rPr>
        <w:tab/>
      </w:r>
      <w:r w:rsidR="00193D5C" w:rsidRPr="0022213C">
        <w:rPr>
          <w:rFonts w:eastAsia="Calibri" w:cs="Calibri"/>
        </w:rPr>
        <w:t>___________________________________________</w:t>
      </w:r>
      <w:r w:rsidR="004F50EF" w:rsidRPr="00E45786">
        <w:rPr>
          <w:rFonts w:eastAsia="Calibri" w:cs="Calibri"/>
        </w:rPr>
        <w:t xml:space="preserve">MLA / MLC </w:t>
      </w:r>
      <w:r w:rsidR="004F50EF" w:rsidRPr="00E45786">
        <w:rPr>
          <w:rFonts w:eastAsia="Calibri" w:cs="Calibri"/>
          <w:sz w:val="18"/>
          <w:szCs w:val="18"/>
        </w:rPr>
        <w:t>(bold/circle)</w:t>
      </w:r>
    </w:p>
    <w:p w14:paraId="560DC7FE" w14:textId="004B9C00" w:rsidR="004F50EF" w:rsidRPr="001152C0" w:rsidRDefault="00BD4D87" w:rsidP="00193D5C">
      <w:pPr>
        <w:spacing w:before="200" w:after="200"/>
        <w:rPr>
          <w:rFonts w:eastAsia="Calibri" w:cs="Calibri"/>
          <w:b/>
          <w:bCs/>
        </w:rPr>
      </w:pPr>
      <w:r w:rsidRPr="001152C0">
        <w:rPr>
          <w:rFonts w:eastAsia="Calibri" w:cs="Calibri"/>
          <w:b/>
          <w:bCs/>
        </w:rPr>
        <w:t>Electorate</w:t>
      </w:r>
      <w:r w:rsidR="004F50EF" w:rsidRPr="001152C0">
        <w:rPr>
          <w:rFonts w:eastAsia="Calibri" w:cs="Calibri"/>
          <w:b/>
          <w:bCs/>
        </w:rPr>
        <w:t>:</w:t>
      </w:r>
      <w:r w:rsidR="004F50EF" w:rsidRPr="001152C0">
        <w:rPr>
          <w:rFonts w:eastAsia="Calibri" w:cs="Calibri"/>
          <w:b/>
          <w:bCs/>
        </w:rPr>
        <w:tab/>
      </w:r>
      <w:r w:rsidR="004F50EF" w:rsidRPr="001152C0">
        <w:rPr>
          <w:rFonts w:eastAsia="Calibri" w:cs="Calibri"/>
          <w:b/>
          <w:bCs/>
        </w:rPr>
        <w:tab/>
      </w:r>
      <w:r w:rsidR="00193D5C" w:rsidRPr="0022213C">
        <w:rPr>
          <w:rFonts w:eastAsia="Calibri" w:cs="Calibri"/>
        </w:rPr>
        <w:t>___________________________________________</w:t>
      </w:r>
    </w:p>
    <w:p w14:paraId="69BE369C" w14:textId="0C19A30A" w:rsidR="004F50EF" w:rsidRPr="001152C0" w:rsidRDefault="00193D5C" w:rsidP="00193D5C">
      <w:pPr>
        <w:spacing w:before="200" w:after="20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Suburb</w:t>
      </w:r>
      <w:r w:rsidR="00BD4D87" w:rsidRPr="001152C0">
        <w:rPr>
          <w:rFonts w:eastAsia="Calibri" w:cs="Calibri"/>
          <w:b/>
          <w:bCs/>
        </w:rPr>
        <w:t xml:space="preserve"> of Electorate Office</w:t>
      </w:r>
      <w:r w:rsidR="004F50EF" w:rsidRPr="001152C0">
        <w:rPr>
          <w:rFonts w:eastAsia="Calibri" w:cs="Calibri"/>
          <w:b/>
          <w:bCs/>
        </w:rPr>
        <w:t>:</w:t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 w:rsidRPr="0022213C">
        <w:rPr>
          <w:rFonts w:eastAsia="Calibri" w:cs="Calibri"/>
        </w:rPr>
        <w:t>___________________________________________</w:t>
      </w:r>
    </w:p>
    <w:p w14:paraId="4141E89F" w14:textId="5755A86C" w:rsidR="004F50EF" w:rsidRPr="00E45786" w:rsidRDefault="004F50EF" w:rsidP="00193D5C">
      <w:pPr>
        <w:spacing w:before="200" w:after="200"/>
        <w:rPr>
          <w:rFonts w:eastAsia="Calibri" w:cs="Calibri"/>
          <w:sz w:val="20"/>
          <w:szCs w:val="20"/>
        </w:rPr>
      </w:pPr>
      <w:r w:rsidRPr="001152C0">
        <w:rPr>
          <w:rFonts w:eastAsia="Calibri" w:cs="Calibri"/>
          <w:b/>
          <w:bCs/>
        </w:rPr>
        <w:t>P</w:t>
      </w:r>
      <w:r w:rsidR="00BD4D87" w:rsidRPr="001152C0">
        <w:rPr>
          <w:rFonts w:eastAsia="Calibri" w:cs="Calibri"/>
          <w:b/>
          <w:bCs/>
        </w:rPr>
        <w:t>rimary place of residence</w:t>
      </w:r>
      <w:r w:rsidRPr="001152C0">
        <w:rPr>
          <w:rFonts w:eastAsia="Calibri" w:cs="Calibri"/>
          <w:b/>
          <w:bCs/>
        </w:rPr>
        <w:t xml:space="preserve">: </w:t>
      </w:r>
      <w:r w:rsidRPr="00E45786">
        <w:rPr>
          <w:rFonts w:eastAsia="Calibri" w:cs="Calibri"/>
        </w:rPr>
        <w:tab/>
      </w:r>
      <w:r w:rsidR="001152C0">
        <w:rPr>
          <w:rFonts w:eastAsia="Calibri" w:cs="Calibri"/>
        </w:rPr>
        <w:tab/>
      </w:r>
      <w:r w:rsidR="00193D5C" w:rsidRPr="0022213C">
        <w:rPr>
          <w:rFonts w:eastAsia="Calibri" w:cs="Calibri"/>
        </w:rPr>
        <w:t>___</w:t>
      </w:r>
      <w:r w:rsidR="00193D5C" w:rsidRPr="00193D5C">
        <w:rPr>
          <w:rFonts w:eastAsia="Calibri" w:cs="Calibri"/>
          <w:u w:val="single"/>
        </w:rPr>
        <w:t xml:space="preserve">Metro </w:t>
      </w:r>
      <w:r w:rsidR="00193D5C">
        <w:rPr>
          <w:rFonts w:eastAsia="Calibri" w:cs="Calibri"/>
          <w:u w:val="single"/>
        </w:rPr>
        <w:t xml:space="preserve">Region / Non-Metro Region </w:t>
      </w:r>
      <w:r w:rsidR="00193D5C" w:rsidRPr="0022213C">
        <w:rPr>
          <w:rFonts w:eastAsia="Calibri" w:cs="Calibri"/>
        </w:rPr>
        <w:t>_______</w:t>
      </w:r>
      <w:r w:rsidR="00193D5C">
        <w:rPr>
          <w:rFonts w:eastAsia="Calibri" w:cs="Calibri"/>
        </w:rPr>
        <w:t>__</w:t>
      </w:r>
      <w:r w:rsidRPr="00E45786">
        <w:rPr>
          <w:rFonts w:eastAsia="Calibri" w:cs="Calibri"/>
          <w:sz w:val="18"/>
          <w:szCs w:val="18"/>
        </w:rPr>
        <w:t>(bold/circle)</w:t>
      </w:r>
    </w:p>
    <w:p w14:paraId="4CD1979E" w14:textId="10B8997A" w:rsidR="004F50EF" w:rsidRPr="001B6543" w:rsidRDefault="004F50EF" w:rsidP="00193D5C">
      <w:pPr>
        <w:spacing w:before="240" w:after="120" w:line="276" w:lineRule="auto"/>
        <w:jc w:val="both"/>
        <w:rPr>
          <w:rFonts w:eastAsia="Calibri" w:cs="Times New Roman"/>
          <w:iCs/>
          <w:kern w:val="0"/>
          <w14:ligatures w14:val="none"/>
        </w:rPr>
      </w:pPr>
      <w:r w:rsidRPr="001B6543">
        <w:rPr>
          <w:rFonts w:eastAsia="Calibri" w:cs="Times New Roman"/>
          <w:iCs/>
          <w:kern w:val="0"/>
          <w14:ligatures w14:val="none"/>
        </w:rPr>
        <w:t>In accordance with 1.7 and Part 3 of th</w:t>
      </w:r>
      <w:r w:rsidR="001B6543">
        <w:rPr>
          <w:rFonts w:eastAsia="Calibri" w:cs="Times New Roman"/>
          <w:iCs/>
          <w:kern w:val="0"/>
          <w14:ligatures w14:val="none"/>
        </w:rPr>
        <w:t>e MPs</w:t>
      </w:r>
      <w:r w:rsidRPr="001B6543">
        <w:rPr>
          <w:rFonts w:eastAsia="Calibri" w:cs="Times New Roman"/>
          <w:iCs/>
          <w:kern w:val="0"/>
          <w14:ligatures w14:val="none"/>
        </w:rPr>
        <w:t xml:space="preserve"> Determination, within 90 days of the end of a financial year</w:t>
      </w:r>
      <w:r w:rsidR="00981C00">
        <w:rPr>
          <w:rFonts w:eastAsia="Calibri" w:cs="Times New Roman"/>
          <w:iCs/>
          <w:kern w:val="0"/>
          <w14:ligatures w14:val="none"/>
        </w:rPr>
        <w:t xml:space="preserve"> (by </w:t>
      </w:r>
      <w:r w:rsidR="00981C00" w:rsidRPr="00981C00">
        <w:rPr>
          <w:rFonts w:eastAsia="Calibri" w:cs="Times New Roman"/>
          <w:b/>
          <w:bCs/>
          <w:iCs/>
          <w:kern w:val="0"/>
          <w14:ligatures w14:val="none"/>
        </w:rPr>
        <w:t>28 September 2027</w:t>
      </w:r>
      <w:r w:rsidR="00981C00">
        <w:rPr>
          <w:rFonts w:eastAsia="Calibri" w:cs="Times New Roman"/>
          <w:iCs/>
          <w:kern w:val="0"/>
          <w14:ligatures w14:val="none"/>
        </w:rPr>
        <w:t>)</w:t>
      </w:r>
      <w:r w:rsidRPr="001B6543">
        <w:rPr>
          <w:rFonts w:eastAsia="Calibri" w:cs="Times New Roman"/>
          <w:iCs/>
          <w:kern w:val="0"/>
          <w14:ligatures w14:val="none"/>
        </w:rPr>
        <w:t xml:space="preserve">, Members must submit to the Tribunal a </w:t>
      </w:r>
      <w:r w:rsidR="001B6543">
        <w:rPr>
          <w:rFonts w:eastAsia="Calibri" w:cs="Times New Roman"/>
          <w:iCs/>
          <w:kern w:val="0"/>
          <w14:ligatures w14:val="none"/>
        </w:rPr>
        <w:t xml:space="preserve">completed certified </w:t>
      </w:r>
      <w:r w:rsidRPr="001B6543">
        <w:rPr>
          <w:rFonts w:eastAsia="Calibri" w:cs="Times New Roman"/>
          <w:iCs/>
          <w:kern w:val="0"/>
          <w14:ligatures w14:val="none"/>
        </w:rPr>
        <w:t xml:space="preserve">report of expenditure using Electorate and Parliamentary Expenses Allowances, </w:t>
      </w:r>
      <w:r w:rsidR="001B6543">
        <w:rPr>
          <w:rFonts w:eastAsia="Calibri" w:cs="Times New Roman"/>
          <w:iCs/>
          <w:kern w:val="0"/>
          <w14:ligatures w14:val="none"/>
        </w:rPr>
        <w:t xml:space="preserve">with </w:t>
      </w:r>
      <w:r w:rsidRPr="001B6543">
        <w:rPr>
          <w:rFonts w:eastAsia="Calibri" w:cs="Times New Roman"/>
          <w:iCs/>
          <w:kern w:val="0"/>
          <w14:ligatures w14:val="none"/>
        </w:rPr>
        <w:t>details in aggregate terms of how moneys were expended</w:t>
      </w:r>
      <w:r w:rsidR="00B62743" w:rsidRPr="001B6543">
        <w:rPr>
          <w:rFonts w:eastAsia="Calibri" w:cs="Times New Roman"/>
          <w:iCs/>
          <w:kern w:val="0"/>
          <w14:ligatures w14:val="none"/>
        </w:rPr>
        <w:t>.</w:t>
      </w:r>
    </w:p>
    <w:tbl>
      <w:tblPr>
        <w:tblStyle w:val="MediumShading1-Accent11"/>
        <w:tblW w:w="9072" w:type="dxa"/>
        <w:tblInd w:w="-5" w:type="dxa"/>
        <w:tblLook w:val="06A0" w:firstRow="1" w:lastRow="0" w:firstColumn="1" w:lastColumn="0" w:noHBand="1" w:noVBand="1"/>
      </w:tblPr>
      <w:tblGrid>
        <w:gridCol w:w="7655"/>
        <w:gridCol w:w="1417"/>
      </w:tblGrid>
      <w:tr w:rsidR="004F50EF" w:rsidRPr="00E45786" w14:paraId="1C4C8EDB" w14:textId="77777777" w:rsidTr="00E34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1FB27559" w14:textId="20E3FF6C" w:rsidR="004F50EF" w:rsidRPr="007E7343" w:rsidRDefault="00F70050" w:rsidP="007E7343">
            <w:pPr>
              <w:pStyle w:val="Heading1PreambleDetetc"/>
              <w:rPr>
                <w:b/>
                <w:bCs w:val="0"/>
                <w:szCs w:val="20"/>
              </w:rPr>
            </w:pPr>
            <w:r w:rsidRPr="007E7343">
              <w:rPr>
                <w:b/>
                <w:bCs w:val="0"/>
              </w:rPr>
              <w:t>E</w:t>
            </w:r>
            <w:r w:rsidR="004F50EF" w:rsidRPr="007E7343">
              <w:rPr>
                <w:b/>
                <w:bCs w:val="0"/>
              </w:rPr>
              <w:t xml:space="preserve">lectorate and Parliamentary Expenses Allowance </w:t>
            </w:r>
            <w:r w:rsidRPr="007E7343">
              <w:rPr>
                <w:b/>
                <w:bCs w:val="0"/>
              </w:rPr>
              <w:t>(EPEA)</w:t>
            </w:r>
          </w:p>
        </w:tc>
      </w:tr>
      <w:tr w:rsidR="004F50EF" w:rsidRPr="00E45786" w14:paraId="7ED39497" w14:textId="77777777" w:rsidTr="00E346B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shd w:val="clear" w:color="auto" w:fill="BBDDD8"/>
          </w:tcPr>
          <w:p w14:paraId="401131E3" w14:textId="2EE36E74" w:rsidR="00BD4D87" w:rsidRPr="00BD4D87" w:rsidRDefault="001B6543" w:rsidP="00B62743">
            <w:pPr>
              <w:rPr>
                <w:rFonts w:asciiTheme="minorHAnsi" w:hAnsiTheme="minorHAnsi" w:cs="Calibri"/>
                <w:bCs w:val="0"/>
                <w:i/>
                <w:iCs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 xml:space="preserve">2026-27 </w:t>
            </w:r>
            <w:r w:rsidR="00BD4D87">
              <w:rPr>
                <w:rFonts w:asciiTheme="minorHAnsi" w:hAnsiTheme="minorHAnsi" w:cs="Calibri"/>
                <w:b/>
                <w:szCs w:val="20"/>
              </w:rPr>
              <w:t xml:space="preserve">Base EPEA available to Member </w:t>
            </w:r>
            <w:r w:rsidR="00BD4D87">
              <w:rPr>
                <w:rFonts w:asciiTheme="minorHAnsi" w:hAnsiTheme="minorHAnsi" w:cs="Calibri"/>
                <w:b/>
                <w:szCs w:val="20"/>
              </w:rPr>
              <w:br/>
            </w:r>
            <w:r w:rsidR="00BD4D87" w:rsidRPr="00BD4D87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($9</w:t>
            </w:r>
            <w:r w:rsidR="00BD4D87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0,000</w:t>
            </w:r>
            <w:r w:rsidR="00BD4D87" w:rsidRPr="00BD4D87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 xml:space="preserve"> for the full financial year, pro-rat</w:t>
            </w:r>
            <w:r w:rsidR="00BD4D87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a</w:t>
            </w:r>
            <w:r w:rsidR="00BD4D87" w:rsidRPr="00BD4D87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 xml:space="preserve"> amount if </w:t>
            </w:r>
            <w:r w:rsidR="00F70050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 xml:space="preserve">not eligible for </w:t>
            </w:r>
            <w:r w:rsidR="00BD4D87" w:rsidRPr="00BD4D87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full year)</w:t>
            </w:r>
          </w:p>
        </w:tc>
        <w:tc>
          <w:tcPr>
            <w:tcW w:w="1417" w:type="dxa"/>
            <w:shd w:val="clear" w:color="auto" w:fill="BBDDD8"/>
          </w:tcPr>
          <w:p w14:paraId="6EB3B27F" w14:textId="74BE98E6" w:rsidR="004F50EF" w:rsidRPr="00E45786" w:rsidRDefault="004F50EF" w:rsidP="00B6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Cs w:val="20"/>
              </w:rPr>
            </w:pPr>
            <w:r w:rsidRPr="00E45786">
              <w:rPr>
                <w:rFonts w:asciiTheme="minorHAnsi" w:hAnsiTheme="minorHAnsi" w:cs="Calibri"/>
                <w:b/>
                <w:szCs w:val="20"/>
              </w:rPr>
              <w:t>$</w:t>
            </w:r>
          </w:p>
        </w:tc>
      </w:tr>
      <w:tr w:rsidR="004F50EF" w:rsidRPr="00E45786" w14:paraId="04900275" w14:textId="77777777" w:rsidTr="00E346B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5F858C6" w14:textId="4C01E71C" w:rsidR="004F50EF" w:rsidRPr="00E45786" w:rsidRDefault="004F50EF" w:rsidP="00B62743">
            <w:pPr>
              <w:ind w:left="31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b/>
                <w:sz w:val="20"/>
                <w:szCs w:val="20"/>
              </w:rPr>
              <w:t>A</w:t>
            </w:r>
            <w:r w:rsidR="00BD4D87">
              <w:rPr>
                <w:rFonts w:asciiTheme="minorHAnsi" w:hAnsiTheme="minorHAnsi" w:cs="Calibri"/>
                <w:b/>
                <w:sz w:val="20"/>
                <w:szCs w:val="20"/>
              </w:rPr>
              <w:t>mount of</w:t>
            </w:r>
            <w:r w:rsidR="001B654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2026-27</w:t>
            </w:r>
            <w:r w:rsidR="00BD4D8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BD4D87" w:rsidRPr="0022213C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Base EPEA drawn down</w:t>
            </w:r>
            <w:r w:rsidR="00BD4D8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BD4D87">
              <w:rPr>
                <w:rFonts w:asciiTheme="minorHAnsi" w:hAnsiTheme="minorHAnsi" w:cs="Calibri"/>
                <w:b/>
                <w:sz w:val="20"/>
                <w:szCs w:val="20"/>
              </w:rPr>
              <w:br/>
            </w:r>
            <w:r w:rsidR="00BD4D8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</w:t>
            </w:r>
            <w:r w:rsidR="0073131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</w:t>
            </w:r>
            <w:r w:rsidRPr="00BD4D8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mount claimed from Parliament House)</w:t>
            </w:r>
          </w:p>
        </w:tc>
        <w:tc>
          <w:tcPr>
            <w:tcW w:w="1417" w:type="dxa"/>
          </w:tcPr>
          <w:p w14:paraId="73725767" w14:textId="77777777" w:rsidR="004F50EF" w:rsidRPr="00E45786" w:rsidRDefault="004F50EF" w:rsidP="00B6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22213C">
              <w:rPr>
                <w:rFonts w:asciiTheme="minorHAnsi" w:hAnsiTheme="minorHAnsi" w:cs="Calibri"/>
                <w:color w:val="00B050"/>
                <w:sz w:val="20"/>
                <w:szCs w:val="20"/>
              </w:rPr>
              <w:t>$</w:t>
            </w:r>
          </w:p>
        </w:tc>
      </w:tr>
      <w:tr w:rsidR="00F70050" w:rsidRPr="00E45786" w14:paraId="1F655663" w14:textId="77777777" w:rsidTr="00E346B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3BAF5AF" w14:textId="01348E75" w:rsidR="00F70050" w:rsidRPr="00E45786" w:rsidRDefault="00F70050" w:rsidP="00B62743">
            <w:pPr>
              <w:ind w:left="31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b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mount of</w:t>
            </w:r>
            <w:r w:rsidR="00E346B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2026-27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22213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Base EPEA </w:t>
            </w:r>
            <w:r w:rsidRPr="00E45786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NOT </w:t>
            </w:r>
            <w:r w:rsidRPr="001B6543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drawn down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br/>
            </w:r>
            <w:r w:rsidRPr="00BD4D8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</w:t>
            </w:r>
            <w:r w:rsidR="001B6543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Only include an a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mount </w:t>
            </w:r>
            <w:r w:rsidR="001B6543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if you did 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NOT claim</w:t>
            </w:r>
            <w:r w:rsidR="001B6543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</w:t>
            </w:r>
            <w:r w:rsidR="0073131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the full amount available 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from Parliament House</w:t>
            </w:r>
            <w:r w:rsidR="001B6543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.</w:t>
            </w:r>
            <w:r>
              <w:rPr>
                <w:rFonts w:asciiTheme="minorHAnsi" w:hAnsiTheme="minorHAnsi" w:cs="Calibri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66FF05F" w14:textId="15E39AE5" w:rsidR="00F70050" w:rsidRPr="00E45786" w:rsidRDefault="00F70050" w:rsidP="00B6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22213C">
              <w:rPr>
                <w:rFonts w:asciiTheme="minorHAnsi" w:hAnsiTheme="minorHAnsi" w:cs="Calibri"/>
                <w:color w:val="FF0000"/>
                <w:sz w:val="20"/>
                <w:szCs w:val="20"/>
              </w:rPr>
              <w:t>$</w:t>
            </w:r>
          </w:p>
        </w:tc>
      </w:tr>
      <w:tr w:rsidR="00BD4D87" w:rsidRPr="00E45786" w14:paraId="7F338DA8" w14:textId="77777777" w:rsidTr="00E346B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A5F3C2B" w14:textId="1C6BB5BD" w:rsidR="00BD4D87" w:rsidRPr="00E45786" w:rsidRDefault="00BD4D87" w:rsidP="00B62743">
            <w:pPr>
              <w:ind w:left="317"/>
              <w:rPr>
                <w:rFonts w:cs="Calibri"/>
                <w:b/>
                <w:sz w:val="20"/>
                <w:szCs w:val="20"/>
              </w:rPr>
            </w:pPr>
            <w:r w:rsidRPr="00BD4D87">
              <w:rPr>
                <w:rFonts w:cs="Calibri"/>
                <w:b/>
                <w:sz w:val="20"/>
                <w:szCs w:val="20"/>
              </w:rPr>
              <w:t>Amount of</w:t>
            </w:r>
            <w:r w:rsidR="00E346B6">
              <w:rPr>
                <w:rFonts w:cs="Calibri"/>
                <w:b/>
                <w:sz w:val="20"/>
                <w:szCs w:val="20"/>
              </w:rPr>
              <w:t xml:space="preserve"> 2025-26</w:t>
            </w:r>
            <w:r w:rsidRPr="00BD4D87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2213C">
              <w:rPr>
                <w:rFonts w:cs="Calibri"/>
                <w:b/>
                <w:color w:val="00B050"/>
                <w:sz w:val="20"/>
                <w:szCs w:val="20"/>
              </w:rPr>
              <w:t xml:space="preserve">Base EPEA carried over </w:t>
            </w:r>
            <w:r w:rsidR="0073131F" w:rsidRPr="0073131F">
              <w:rPr>
                <w:rFonts w:cs="Calibri"/>
                <w:b/>
                <w:color w:val="00B050"/>
                <w:sz w:val="20"/>
                <w:szCs w:val="20"/>
              </w:rPr>
              <w:t xml:space="preserve">and drawn down </w:t>
            </w:r>
            <w:r w:rsidR="0073131F">
              <w:rPr>
                <w:rFonts w:cs="Calibri"/>
                <w:b/>
                <w:sz w:val="20"/>
                <w:szCs w:val="20"/>
              </w:rPr>
              <w:t xml:space="preserve">in 2026-27 </w:t>
            </w:r>
            <w:r w:rsidRPr="00BD4D87">
              <w:rPr>
                <w:rFonts w:cs="Calibri"/>
                <w:b/>
                <w:sz w:val="20"/>
                <w:szCs w:val="20"/>
              </w:rPr>
              <w:br/>
            </w:r>
            <w:r w:rsidRPr="00BD4D87">
              <w:rPr>
                <w:rFonts w:cs="Calibri"/>
                <w:bCs w:val="0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Only include an amount if you did not draw down </w:t>
            </w:r>
            <w:r w:rsidR="0073131F"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the full amount in </w:t>
            </w:r>
            <w:r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2025-26 from Parliament House </w:t>
            </w:r>
            <w:r w:rsidR="00F70050"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as you were carrying it over to </w:t>
            </w:r>
            <w:r w:rsidR="0073131F"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draw down in </w:t>
            </w:r>
            <w:r w:rsidR="00F70050">
              <w:rPr>
                <w:rFonts w:cs="Calibri"/>
                <w:bCs w:val="0"/>
                <w:i/>
                <w:iCs/>
                <w:sz w:val="20"/>
                <w:szCs w:val="20"/>
              </w:rPr>
              <w:t>this financial year</w:t>
            </w:r>
            <w:r w:rsidR="00E346B6">
              <w:rPr>
                <w:rFonts w:cs="Calibri"/>
                <w:bCs w:val="0"/>
                <w:i/>
                <w:iCs/>
                <w:sz w:val="20"/>
                <w:szCs w:val="20"/>
              </w:rPr>
              <w:t>.</w:t>
            </w:r>
            <w:r w:rsidR="0073131F">
              <w:rPr>
                <w:rFonts w:cs="Calibri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293E7E2" w14:textId="27523F7A" w:rsidR="00BD4D87" w:rsidRPr="00E45786" w:rsidRDefault="0022213C" w:rsidP="00B6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2213C">
              <w:rPr>
                <w:rFonts w:asciiTheme="minorHAnsi" w:hAnsiTheme="minorHAnsi" w:cs="Calibri"/>
                <w:color w:val="00B050"/>
                <w:sz w:val="20"/>
                <w:szCs w:val="20"/>
              </w:rPr>
              <w:t>$</w:t>
            </w:r>
          </w:p>
        </w:tc>
      </w:tr>
      <w:tr w:rsidR="00B5458F" w:rsidRPr="00E45786" w14:paraId="53A786AF" w14:textId="77777777" w:rsidTr="00E346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486866"/>
          </w:tcPr>
          <w:p w14:paraId="4C682D88" w14:textId="22B4CC70" w:rsidR="00B5458F" w:rsidRPr="00E346B6" w:rsidRDefault="00B5458F" w:rsidP="007E7343">
            <w:pPr>
              <w:pStyle w:val="Heading1PreambleDetetc"/>
              <w:jc w:val="center"/>
              <w:rPr>
                <w:sz w:val="20"/>
                <w:szCs w:val="20"/>
              </w:rPr>
            </w:pPr>
            <w:r w:rsidRPr="00E346B6">
              <w:t>Additional EPEA</w:t>
            </w:r>
          </w:p>
        </w:tc>
      </w:tr>
      <w:tr w:rsidR="00B5458F" w:rsidRPr="00E45786" w14:paraId="3C1BC734" w14:textId="77777777" w:rsidTr="00E34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shd w:val="clear" w:color="auto" w:fill="BBDDD8"/>
          </w:tcPr>
          <w:p w14:paraId="0521EA7B" w14:textId="1DDBCB77" w:rsidR="00B5458F" w:rsidRPr="00E45786" w:rsidRDefault="0073131F" w:rsidP="00B5458F">
            <w:pPr>
              <w:rPr>
                <w:rFonts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 xml:space="preserve">2026-27 </w:t>
            </w:r>
            <w:r w:rsidR="00B5458F" w:rsidRPr="00E45786">
              <w:rPr>
                <w:rFonts w:asciiTheme="minorHAnsi" w:hAnsiTheme="minorHAnsi" w:cs="Calibri"/>
                <w:b/>
                <w:szCs w:val="20"/>
              </w:rPr>
              <w:t>A</w:t>
            </w:r>
            <w:r w:rsidR="00B5458F">
              <w:rPr>
                <w:rFonts w:asciiTheme="minorHAnsi" w:hAnsiTheme="minorHAnsi" w:cs="Calibri"/>
                <w:b/>
                <w:szCs w:val="20"/>
              </w:rPr>
              <w:t xml:space="preserve">dditional </w:t>
            </w:r>
            <w:r w:rsidR="00B5458F" w:rsidRPr="00E45786">
              <w:rPr>
                <w:rFonts w:asciiTheme="minorHAnsi" w:hAnsiTheme="minorHAnsi" w:cs="Calibri"/>
                <w:b/>
                <w:szCs w:val="20"/>
              </w:rPr>
              <w:t>EPE</w:t>
            </w:r>
            <w:r w:rsidR="00B5458F">
              <w:rPr>
                <w:rFonts w:asciiTheme="minorHAnsi" w:hAnsiTheme="minorHAnsi" w:cs="Calibri"/>
                <w:b/>
                <w:szCs w:val="20"/>
              </w:rPr>
              <w:t xml:space="preserve">A available to Member </w:t>
            </w:r>
            <w:r w:rsidR="00B5458F">
              <w:rPr>
                <w:rFonts w:asciiTheme="minorHAnsi" w:hAnsiTheme="minorHAnsi" w:cs="Calibri"/>
                <w:b/>
                <w:szCs w:val="20"/>
              </w:rPr>
              <w:br/>
            </w:r>
            <w:r w:rsidR="00B5458F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(Only relevant for</w:t>
            </w:r>
            <w:r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 xml:space="preserve"> some</w:t>
            </w:r>
            <w:r w:rsidR="00B5458F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 xml:space="preserve"> eligible non-metropolitan Members</w:t>
            </w:r>
            <w:r w:rsidR="00E346B6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, pro-rata amount if not eligible for full year</w:t>
            </w:r>
            <w:r w:rsidR="00B5458F">
              <w:rPr>
                <w:rFonts w:asciiTheme="minorHAnsi" w:hAnsiTheme="minorHAnsi" w:cs="Calibri"/>
                <w:bCs w:val="0"/>
                <w:i/>
                <w:iCs/>
                <w:szCs w:val="20"/>
              </w:rPr>
              <w:t>)</w:t>
            </w:r>
          </w:p>
        </w:tc>
        <w:tc>
          <w:tcPr>
            <w:tcW w:w="1417" w:type="dxa"/>
            <w:shd w:val="clear" w:color="auto" w:fill="BBDDD8"/>
          </w:tcPr>
          <w:p w14:paraId="012D261D" w14:textId="02286395" w:rsidR="00B5458F" w:rsidRPr="00E45786" w:rsidRDefault="00B5458F" w:rsidP="00B5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E45786">
              <w:rPr>
                <w:rFonts w:asciiTheme="minorHAnsi" w:hAnsiTheme="minorHAnsi" w:cs="Calibri"/>
                <w:b/>
                <w:bCs/>
              </w:rPr>
              <w:t>$</w:t>
            </w:r>
          </w:p>
        </w:tc>
      </w:tr>
      <w:tr w:rsidR="00B5458F" w:rsidRPr="00E45786" w14:paraId="5FB8763F" w14:textId="77777777" w:rsidTr="00E346B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40F4669" w14:textId="6893E2CA" w:rsidR="00B5458F" w:rsidRPr="00E45786" w:rsidRDefault="00B5458F" w:rsidP="00B5458F">
            <w:pPr>
              <w:ind w:left="317"/>
              <w:rPr>
                <w:rFonts w:asciiTheme="minorHAnsi" w:hAnsiTheme="minorHAnsi" w:cs="Calibri"/>
                <w:b/>
                <w:szCs w:val="20"/>
              </w:rPr>
            </w:pPr>
            <w:r w:rsidRPr="00E45786">
              <w:rPr>
                <w:rFonts w:asciiTheme="minorHAnsi" w:hAnsiTheme="minorHAnsi" w:cs="Calibri"/>
                <w:b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mount of</w:t>
            </w:r>
            <w:r w:rsidR="00E346B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2026-27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22213C">
              <w:rPr>
                <w:rFonts w:asciiTheme="minorHAnsi" w:hAnsiTheme="minorHAnsi" w:cs="Calibri"/>
                <w:b/>
                <w:color w:val="00B050"/>
                <w:sz w:val="20"/>
                <w:szCs w:val="20"/>
              </w:rPr>
              <w:t>Additional EPEA drawn down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(A</w:t>
            </w:r>
            <w:r w:rsidRPr="00BD4D8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mount claimed from Parliament House)</w:t>
            </w:r>
          </w:p>
        </w:tc>
        <w:tc>
          <w:tcPr>
            <w:tcW w:w="1417" w:type="dxa"/>
          </w:tcPr>
          <w:p w14:paraId="590CEBA1" w14:textId="77777777" w:rsidR="00B5458F" w:rsidRPr="00E45786" w:rsidRDefault="00B5458F" w:rsidP="00B5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22213C">
              <w:rPr>
                <w:rFonts w:asciiTheme="minorHAnsi" w:hAnsiTheme="minorHAnsi" w:cs="Calibri"/>
                <w:color w:val="00B050"/>
                <w:sz w:val="20"/>
                <w:szCs w:val="20"/>
              </w:rPr>
              <w:t>$</w:t>
            </w:r>
          </w:p>
        </w:tc>
      </w:tr>
      <w:tr w:rsidR="00B5458F" w:rsidRPr="00E45786" w14:paraId="43DD8882" w14:textId="77777777" w:rsidTr="00E34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29D4B45" w14:textId="24D03C83" w:rsidR="00B5458F" w:rsidRPr="00E45786" w:rsidRDefault="00B5458F" w:rsidP="00B5458F">
            <w:pPr>
              <w:ind w:left="31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b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mount of</w:t>
            </w:r>
            <w:r w:rsidR="00E346B6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2026-27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22213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Additional EPEA </w:t>
            </w:r>
            <w:r w:rsidRPr="00E45786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NO</w:t>
            </w:r>
            <w:r w:rsidRPr="00E346B6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 drawn down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br/>
            </w:r>
            <w:r w:rsidRPr="00BD4D8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</w:t>
            </w:r>
            <w:r w:rsidR="00E346B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Only include an amount if you did 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NOT claim</w:t>
            </w:r>
            <w:r w:rsidR="00E346B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</w:t>
            </w:r>
            <w:r w:rsidR="0073131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the </w:t>
            </w:r>
            <w:r w:rsidR="00E346B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full </w:t>
            </w:r>
            <w:r w:rsidR="0073131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amount 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from Parliament House</w:t>
            </w:r>
            <w:r w:rsidR="00E346B6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14:paraId="275D5DA0" w14:textId="179A7B50" w:rsidR="00B5458F" w:rsidRPr="00E45786" w:rsidRDefault="00B5458F" w:rsidP="00B5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22213C">
              <w:rPr>
                <w:rFonts w:asciiTheme="minorHAnsi" w:hAnsiTheme="minorHAnsi" w:cs="Calibri"/>
                <w:color w:val="FF0000"/>
                <w:sz w:val="20"/>
                <w:szCs w:val="20"/>
              </w:rPr>
              <w:t>$</w:t>
            </w:r>
          </w:p>
        </w:tc>
      </w:tr>
      <w:tr w:rsidR="00B5458F" w:rsidRPr="00E45786" w14:paraId="3B55BD12" w14:textId="77777777" w:rsidTr="001B2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tcBorders>
              <w:bottom w:val="single" w:sz="4" w:space="0" w:color="486866"/>
            </w:tcBorders>
          </w:tcPr>
          <w:p w14:paraId="24CAC4B6" w14:textId="747777EC" w:rsidR="00B5458F" w:rsidRPr="00E45786" w:rsidRDefault="00B5458F" w:rsidP="00B5458F">
            <w:pPr>
              <w:ind w:left="31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4D87">
              <w:rPr>
                <w:rFonts w:cs="Calibri"/>
                <w:b/>
                <w:sz w:val="20"/>
                <w:szCs w:val="20"/>
              </w:rPr>
              <w:t>Amount of</w:t>
            </w:r>
            <w:r w:rsidR="00E346B6">
              <w:rPr>
                <w:rFonts w:cs="Calibri"/>
                <w:b/>
                <w:sz w:val="20"/>
                <w:szCs w:val="20"/>
              </w:rPr>
              <w:t xml:space="preserve"> 2025-26</w:t>
            </w:r>
            <w:r w:rsidRPr="00BD4D87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2213C">
              <w:rPr>
                <w:rFonts w:cs="Calibri"/>
                <w:b/>
                <w:color w:val="00B050"/>
                <w:sz w:val="20"/>
                <w:szCs w:val="20"/>
              </w:rPr>
              <w:t xml:space="preserve">Additional EPEA carried over </w:t>
            </w:r>
            <w:r w:rsidR="0073131F" w:rsidRPr="0073131F">
              <w:rPr>
                <w:rFonts w:cs="Calibri"/>
                <w:b/>
                <w:color w:val="00B050"/>
                <w:sz w:val="20"/>
                <w:szCs w:val="20"/>
              </w:rPr>
              <w:t xml:space="preserve">and drawn down </w:t>
            </w:r>
            <w:r w:rsidR="0073131F">
              <w:rPr>
                <w:rFonts w:cs="Calibri"/>
                <w:b/>
                <w:sz w:val="20"/>
                <w:szCs w:val="20"/>
              </w:rPr>
              <w:t>in 2026-27</w:t>
            </w:r>
            <w:r w:rsidRPr="00BD4D87">
              <w:rPr>
                <w:rFonts w:cs="Calibri"/>
                <w:b/>
                <w:sz w:val="20"/>
                <w:szCs w:val="20"/>
              </w:rPr>
              <w:br/>
            </w:r>
            <w:r w:rsidRPr="00BD4D87">
              <w:rPr>
                <w:rFonts w:cs="Calibri"/>
                <w:bCs w:val="0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Only include an amount if you did not draw down </w:t>
            </w:r>
            <w:r w:rsidR="0073131F"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the full amount in </w:t>
            </w:r>
            <w:r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2025-26 from Parliament House as you were carrying it over </w:t>
            </w:r>
            <w:r w:rsidR="0073131F">
              <w:rPr>
                <w:rFonts w:cs="Calibri"/>
                <w:bCs w:val="0"/>
                <w:i/>
                <w:iCs/>
                <w:sz w:val="20"/>
                <w:szCs w:val="20"/>
              </w:rPr>
              <w:t xml:space="preserve">to draw down in </w:t>
            </w:r>
            <w:r>
              <w:rPr>
                <w:rFonts w:cs="Calibri"/>
                <w:bCs w:val="0"/>
                <w:i/>
                <w:iCs/>
                <w:sz w:val="20"/>
                <w:szCs w:val="20"/>
              </w:rPr>
              <w:t>this financial year</w:t>
            </w:r>
            <w:r w:rsidR="00E346B6">
              <w:rPr>
                <w:rFonts w:cs="Calibri"/>
                <w:bCs w:val="0"/>
                <w:i/>
                <w:iCs/>
                <w:sz w:val="20"/>
                <w:szCs w:val="20"/>
              </w:rPr>
              <w:t>.</w:t>
            </w:r>
            <w:r w:rsidRPr="00BD4D87">
              <w:rPr>
                <w:rFonts w:cs="Calibri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486866"/>
            </w:tcBorders>
          </w:tcPr>
          <w:p w14:paraId="11E939A9" w14:textId="3BD07BCE" w:rsidR="00B5458F" w:rsidRPr="00E45786" w:rsidRDefault="00B5458F" w:rsidP="00B5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22213C">
              <w:rPr>
                <w:rFonts w:asciiTheme="minorHAnsi" w:hAnsiTheme="minorHAnsi" w:cs="Calibri"/>
                <w:color w:val="00B050"/>
                <w:sz w:val="20"/>
                <w:szCs w:val="20"/>
              </w:rPr>
              <w:t>$</w:t>
            </w:r>
          </w:p>
        </w:tc>
      </w:tr>
      <w:tr w:rsidR="00B5458F" w:rsidRPr="00E45786" w14:paraId="52822D40" w14:textId="77777777" w:rsidTr="001B2E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tcBorders>
              <w:right w:val="single" w:sz="4" w:space="0" w:color="486866"/>
            </w:tcBorders>
            <w:shd w:val="clear" w:color="auto" w:fill="D9D9D9" w:themeFill="background1" w:themeFillShade="D9"/>
          </w:tcPr>
          <w:p w14:paraId="69D32876" w14:textId="27408418" w:rsidR="00B5458F" w:rsidRPr="00E346B6" w:rsidRDefault="00B5458F" w:rsidP="0073131F">
            <w:pPr>
              <w:rPr>
                <w:rFonts w:cs="Calibri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E346B6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 xml:space="preserve">Total Base EPEA &amp; Additional EPEA </w:t>
            </w:r>
            <w:r w:rsidR="007D3FE3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 xml:space="preserve">drawn down </w:t>
            </w:r>
            <w:r w:rsidR="0073131F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>by</w:t>
            </w:r>
            <w:r w:rsidRPr="00E346B6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t xml:space="preserve"> Member</w:t>
            </w:r>
            <w:r w:rsidR="0073131F">
              <w:rPr>
                <w:rFonts w:asciiTheme="minorHAnsi" w:hAnsiTheme="minorHAnsi" w:cs="Calibri"/>
                <w:b/>
                <w:color w:val="000000" w:themeColor="text1"/>
                <w:szCs w:val="20"/>
              </w:rPr>
              <w:br/>
            </w:r>
            <w:r w:rsidRPr="00E346B6">
              <w:rPr>
                <w:rFonts w:cs="Calibri"/>
                <w:bCs w:val="0"/>
                <w:i/>
                <w:iCs/>
                <w:color w:val="000000" w:themeColor="text1"/>
                <w:sz w:val="20"/>
                <w:szCs w:val="18"/>
              </w:rPr>
              <w:t>(Include all green amounts from above)</w:t>
            </w:r>
          </w:p>
        </w:tc>
        <w:tc>
          <w:tcPr>
            <w:tcW w:w="1417" w:type="dxa"/>
            <w:tcBorders>
              <w:left w:val="single" w:sz="4" w:space="0" w:color="486866"/>
            </w:tcBorders>
            <w:shd w:val="clear" w:color="auto" w:fill="D9D9D9" w:themeFill="background1" w:themeFillShade="D9"/>
          </w:tcPr>
          <w:p w14:paraId="64C41C65" w14:textId="7B728F89" w:rsidR="00B5458F" w:rsidRPr="00E346B6" w:rsidRDefault="00B5458F" w:rsidP="00B54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E346B6">
              <w:rPr>
                <w:rFonts w:asciiTheme="minorHAnsi" w:hAnsiTheme="minorHAnsi" w:cs="Calibri"/>
                <w:b/>
                <w:color w:val="000000" w:themeColor="text1"/>
              </w:rPr>
              <w:t>$</w:t>
            </w:r>
          </w:p>
        </w:tc>
      </w:tr>
    </w:tbl>
    <w:p w14:paraId="0A230F8B" w14:textId="7D29161D" w:rsidR="007D3FE3" w:rsidRDefault="007D3FE3" w:rsidP="007D3FE3">
      <w:pPr>
        <w:jc w:val="both"/>
      </w:pPr>
      <w:r>
        <w:rPr>
          <w:rFonts w:eastAsia="Calibri" w:cs="Times New Roman"/>
          <w:i/>
          <w:kern w:val="0"/>
          <w:sz w:val="20"/>
          <w:szCs w:val="20"/>
          <w14:ligatures w14:val="none"/>
        </w:rPr>
        <w:t>Note: As a maximum of 10% of EPEA is allowed to be carried over to the next financial year, amounts available to Members may be different from amounts drawn down from Parliament House, i.e. $90,000 available, but $81,000 drawn down as 10% ($9,000) is/was carried over to the next financial year. If the full amounts available were drawn down, please ignore these rows.</w:t>
      </w:r>
    </w:p>
    <w:tbl>
      <w:tblPr>
        <w:tblStyle w:val="MediumShading1-Accent11"/>
        <w:tblW w:w="9086" w:type="dxa"/>
        <w:tblInd w:w="-5" w:type="dxa"/>
        <w:tblLook w:val="06A0" w:firstRow="1" w:lastRow="0" w:firstColumn="1" w:lastColumn="0" w:noHBand="1" w:noVBand="1"/>
      </w:tblPr>
      <w:tblGrid>
        <w:gridCol w:w="6379"/>
        <w:gridCol w:w="1418"/>
        <w:gridCol w:w="1289"/>
      </w:tblGrid>
      <w:tr w:rsidR="005B17EF" w:rsidRPr="00E45786" w14:paraId="4D56DEA9" w14:textId="77777777" w:rsidTr="00E34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6" w:type="dxa"/>
            <w:gridSpan w:val="3"/>
          </w:tcPr>
          <w:p w14:paraId="22A05037" w14:textId="3AFAD1F5" w:rsidR="005B17EF" w:rsidRPr="007E7343" w:rsidRDefault="005B17EF" w:rsidP="007E7343">
            <w:pPr>
              <w:pStyle w:val="Heading1PreambleDetetc"/>
              <w:rPr>
                <w:b/>
                <w:bCs w:val="0"/>
              </w:rPr>
            </w:pPr>
            <w:r>
              <w:lastRenderedPageBreak/>
              <w:br w:type="column"/>
            </w:r>
            <w:r w:rsidRPr="007E7343">
              <w:rPr>
                <w:b/>
                <w:bCs w:val="0"/>
              </w:rPr>
              <w:t>Reporting expenditure categories</w:t>
            </w:r>
          </w:p>
          <w:p w14:paraId="7B322232" w14:textId="3ED13619" w:rsidR="005B17EF" w:rsidRPr="005B17EF" w:rsidRDefault="005B17EF" w:rsidP="005B17EF">
            <w:pPr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 w:rsidRPr="005B17E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Members should report </w:t>
            </w:r>
            <w:r w:rsidRPr="005B17E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u w:val="single"/>
              </w:rPr>
              <w:t>all</w:t>
            </w:r>
            <w:r w:rsidRPr="005B17E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expenditure, including expenditure that falls above amount</w:t>
            </w:r>
            <w:r w:rsidR="0073131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s</w:t>
            </w:r>
            <w:r w:rsidRPr="005B17E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drawn down, </w:t>
            </w:r>
            <w:r w:rsidR="0073131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br/>
            </w:r>
            <w:r w:rsidRPr="005B17EF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>that falls within the categories as stated under Part 3.1(1) of the MPs Determination.</w:t>
            </w:r>
          </w:p>
        </w:tc>
      </w:tr>
      <w:tr w:rsidR="005B17EF" w:rsidRPr="00E45786" w14:paraId="72B3A05B" w14:textId="77777777" w:rsidTr="00E346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18A8D509" w14:textId="77777777" w:rsidR="005B17EF" w:rsidRPr="00E45786" w:rsidRDefault="005B17EF" w:rsidP="00193D5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 xml:space="preserve">Community engagement and constituent support </w:t>
            </w:r>
          </w:p>
        </w:tc>
        <w:tc>
          <w:tcPr>
            <w:tcW w:w="1289" w:type="dxa"/>
          </w:tcPr>
          <w:p w14:paraId="2001735E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$</w:t>
            </w:r>
          </w:p>
        </w:tc>
      </w:tr>
      <w:tr w:rsidR="005B17EF" w:rsidRPr="00E45786" w14:paraId="4525D962" w14:textId="77777777" w:rsidTr="00E346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701BC0A3" w14:textId="77777777" w:rsidR="005B17EF" w:rsidRPr="00E45786" w:rsidRDefault="005B17EF" w:rsidP="00193D5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 xml:space="preserve">Communication with the electorate </w:t>
            </w:r>
          </w:p>
        </w:tc>
        <w:tc>
          <w:tcPr>
            <w:tcW w:w="1289" w:type="dxa"/>
          </w:tcPr>
          <w:p w14:paraId="73BA1789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$</w:t>
            </w:r>
          </w:p>
        </w:tc>
      </w:tr>
      <w:tr w:rsidR="005B17EF" w:rsidRPr="00E45786" w14:paraId="50968266" w14:textId="77777777" w:rsidTr="00E346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58114CC2" w14:textId="77777777" w:rsidR="005B17EF" w:rsidRPr="00E45786" w:rsidRDefault="005B17EF" w:rsidP="00193D5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 xml:space="preserve">Electorate office equipment and Information Communication Technology </w:t>
            </w:r>
          </w:p>
        </w:tc>
        <w:tc>
          <w:tcPr>
            <w:tcW w:w="1289" w:type="dxa"/>
          </w:tcPr>
          <w:p w14:paraId="2ABA853F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$</w:t>
            </w:r>
          </w:p>
        </w:tc>
      </w:tr>
      <w:tr w:rsidR="005B17EF" w:rsidRPr="00E45786" w14:paraId="4A53B1B3" w14:textId="77777777" w:rsidTr="00E346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39156BF4" w14:textId="77777777" w:rsidR="005B17EF" w:rsidRPr="00E45786" w:rsidRDefault="005B17EF" w:rsidP="00193D5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General electorate office expenses</w:t>
            </w:r>
          </w:p>
        </w:tc>
        <w:tc>
          <w:tcPr>
            <w:tcW w:w="1289" w:type="dxa"/>
          </w:tcPr>
          <w:p w14:paraId="05DB54DF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$</w:t>
            </w:r>
          </w:p>
        </w:tc>
      </w:tr>
      <w:tr w:rsidR="005B17EF" w:rsidRPr="00E45786" w14:paraId="074BA935" w14:textId="77777777" w:rsidTr="00E346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07D4ECD5" w14:textId="0332E471" w:rsidR="005B17EF" w:rsidRPr="00E45786" w:rsidRDefault="005B17EF" w:rsidP="00193D5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Other</w:t>
            </w:r>
            <w:r w:rsidRPr="00193D5C">
              <w:rPr>
                <w:rFonts w:asciiTheme="minorHAnsi" w:hAnsiTheme="minorHAnsi" w:cs="Calibri"/>
                <w:b/>
                <w:bCs w:val="0"/>
                <w:sz w:val="20"/>
                <w:szCs w:val="20"/>
              </w:rPr>
              <w:t xml:space="preserve"> </w:t>
            </w:r>
            <w:r w:rsidR="00193D5C" w:rsidRPr="00193D5C">
              <w:rPr>
                <w:rFonts w:asciiTheme="minorHAnsi" w:hAnsiTheme="minorHAnsi" w:cs="Calibri"/>
                <w:b/>
                <w:bCs w:val="0"/>
                <w:sz w:val="20"/>
                <w:szCs w:val="20"/>
              </w:rPr>
              <w:t>EPEA</w:t>
            </w:r>
            <w:r w:rsidR="00193D5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45786">
              <w:rPr>
                <w:rFonts w:asciiTheme="minorHAnsi" w:hAnsiTheme="minorHAnsi" w:cs="Calibri"/>
                <w:sz w:val="20"/>
                <w:szCs w:val="20"/>
              </w:rPr>
              <w:t>expenses</w:t>
            </w:r>
            <w:r w:rsidR="007E7343">
              <w:rPr>
                <w:rFonts w:asciiTheme="minorHAnsi" w:hAnsiTheme="minorHAnsi" w:cs="Calibri"/>
                <w:sz w:val="20"/>
                <w:szCs w:val="20"/>
              </w:rPr>
              <w:t xml:space="preserve"> related directly to Parliamentary business</w:t>
            </w:r>
          </w:p>
        </w:tc>
        <w:tc>
          <w:tcPr>
            <w:tcW w:w="1289" w:type="dxa"/>
          </w:tcPr>
          <w:p w14:paraId="0E8E61D4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$</w:t>
            </w:r>
          </w:p>
        </w:tc>
      </w:tr>
      <w:tr w:rsidR="007E7343" w:rsidRPr="00E45786" w14:paraId="0268D5E3" w14:textId="77777777" w:rsidTr="007E73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DC81BAE" w14:textId="140690C5" w:rsidR="007E7343" w:rsidRPr="007E7343" w:rsidRDefault="007E7343" w:rsidP="007E7343">
            <w:pPr>
              <w:numPr>
                <w:ilvl w:val="1"/>
                <w:numId w:val="7"/>
              </w:numPr>
              <w:spacing w:line="240" w:lineRule="auto"/>
              <w:ind w:left="679" w:hanging="283"/>
              <w:contextualSpacing/>
              <w:rPr>
                <w:rFonts w:asciiTheme="minorHAnsi" w:hAnsiTheme="minorHAnsi" w:cs="Calibri"/>
                <w:bCs w:val="0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Please provide an e</w:t>
            </w:r>
            <w:r w:rsidRPr="00193D5C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xample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here</w:t>
            </w:r>
          </w:p>
        </w:tc>
        <w:tc>
          <w:tcPr>
            <w:tcW w:w="1418" w:type="dxa"/>
          </w:tcPr>
          <w:p w14:paraId="7CA709A7" w14:textId="021A3381" w:rsidR="007E7343" w:rsidRPr="00193D5C" w:rsidRDefault="007E7343" w:rsidP="007E7343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$</w:t>
            </w:r>
          </w:p>
        </w:tc>
        <w:tc>
          <w:tcPr>
            <w:tcW w:w="1289" w:type="dxa"/>
            <w:vMerge w:val="restart"/>
          </w:tcPr>
          <w:p w14:paraId="2F2A3CBC" w14:textId="7E80AB33" w:rsidR="007E7343" w:rsidRPr="00E45786" w:rsidRDefault="007E7343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E7343" w:rsidRPr="00E45786" w14:paraId="42256F6A" w14:textId="77777777" w:rsidTr="007E73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03840904" w14:textId="1BF20E49" w:rsidR="007E7343" w:rsidRPr="00193D5C" w:rsidRDefault="007E7343" w:rsidP="00193D5C">
            <w:pPr>
              <w:numPr>
                <w:ilvl w:val="1"/>
                <w:numId w:val="7"/>
              </w:numPr>
              <w:spacing w:line="240" w:lineRule="auto"/>
              <w:ind w:left="679" w:hanging="283"/>
              <w:contextualSpacing/>
              <w:rPr>
                <w:rFonts w:cs="Calibri"/>
                <w:bCs w:val="0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Please provide an e</w:t>
            </w:r>
            <w:r w:rsidRPr="00193D5C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xample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here</w:t>
            </w:r>
          </w:p>
        </w:tc>
        <w:tc>
          <w:tcPr>
            <w:tcW w:w="1418" w:type="dxa"/>
          </w:tcPr>
          <w:p w14:paraId="0AE213ED" w14:textId="4236884C" w:rsidR="007E7343" w:rsidRPr="00193D5C" w:rsidRDefault="007E7343" w:rsidP="007E7343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$</w:t>
            </w:r>
          </w:p>
        </w:tc>
        <w:tc>
          <w:tcPr>
            <w:tcW w:w="1289" w:type="dxa"/>
            <w:vMerge/>
          </w:tcPr>
          <w:p w14:paraId="1E230FE4" w14:textId="2934B1F9" w:rsidR="007E7343" w:rsidRPr="00E45786" w:rsidRDefault="007E7343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E7343" w:rsidRPr="00E45786" w14:paraId="5EED66C8" w14:textId="77777777" w:rsidTr="007E73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BA80F2A" w14:textId="0A624B37" w:rsidR="007E7343" w:rsidRPr="00193D5C" w:rsidRDefault="007E7343" w:rsidP="00193D5C">
            <w:pPr>
              <w:numPr>
                <w:ilvl w:val="1"/>
                <w:numId w:val="7"/>
              </w:numPr>
              <w:spacing w:line="240" w:lineRule="auto"/>
              <w:ind w:left="679" w:hanging="283"/>
              <w:contextualSpacing/>
              <w:rPr>
                <w:rFonts w:cs="Calibri"/>
                <w:bCs w:val="0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Please provide an e</w:t>
            </w:r>
            <w:r w:rsidRPr="00193D5C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xample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here</w:t>
            </w:r>
          </w:p>
        </w:tc>
        <w:tc>
          <w:tcPr>
            <w:tcW w:w="1418" w:type="dxa"/>
          </w:tcPr>
          <w:p w14:paraId="31301F0C" w14:textId="41179A70" w:rsidR="007E7343" w:rsidRPr="00193D5C" w:rsidRDefault="007E7343" w:rsidP="007E7343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$</w:t>
            </w:r>
          </w:p>
        </w:tc>
        <w:tc>
          <w:tcPr>
            <w:tcW w:w="1289" w:type="dxa"/>
            <w:vMerge/>
          </w:tcPr>
          <w:p w14:paraId="1E23CFF3" w14:textId="659C6D67" w:rsidR="007E7343" w:rsidRPr="00E45786" w:rsidRDefault="007E7343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B17EF" w:rsidRPr="00E45786" w14:paraId="7C9DB2FB" w14:textId="77777777" w:rsidTr="00E346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548CE7C3" w14:textId="50798FC6" w:rsidR="005B17EF" w:rsidRPr="00E45786" w:rsidRDefault="0073131F" w:rsidP="00193D5C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Other </w:t>
            </w:r>
            <w:r w:rsidR="005B17EF" w:rsidRPr="00193D5C">
              <w:rPr>
                <w:rFonts w:asciiTheme="minorHAnsi" w:hAnsiTheme="minorHAnsi" w:cs="Calibri"/>
                <w:b/>
                <w:bCs w:val="0"/>
                <w:sz w:val="20"/>
                <w:szCs w:val="20"/>
              </w:rPr>
              <w:t>Additional EPE</w:t>
            </w:r>
            <w:r w:rsidRPr="00193D5C">
              <w:rPr>
                <w:rFonts w:asciiTheme="minorHAnsi" w:hAnsiTheme="minorHAnsi" w:cs="Calibri"/>
                <w:b/>
                <w:bCs w:val="0"/>
                <w:sz w:val="20"/>
                <w:szCs w:val="20"/>
              </w:rPr>
              <w:t>A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7E7343" w:rsidRPr="00E45786">
              <w:rPr>
                <w:rFonts w:asciiTheme="minorHAnsi" w:hAnsiTheme="minorHAnsi" w:cs="Calibri"/>
                <w:sz w:val="20"/>
                <w:szCs w:val="20"/>
              </w:rPr>
              <w:t>expenses</w:t>
            </w:r>
            <w:r w:rsidR="007E7343">
              <w:rPr>
                <w:rFonts w:asciiTheme="minorHAnsi" w:hAnsiTheme="minorHAnsi" w:cs="Calibri"/>
                <w:sz w:val="20"/>
                <w:szCs w:val="20"/>
              </w:rPr>
              <w:t xml:space="preserve"> related directly to Parliamentary business</w:t>
            </w:r>
          </w:p>
        </w:tc>
        <w:tc>
          <w:tcPr>
            <w:tcW w:w="1289" w:type="dxa"/>
          </w:tcPr>
          <w:p w14:paraId="3CA40D44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E45786">
              <w:rPr>
                <w:rFonts w:asciiTheme="minorHAnsi" w:hAnsiTheme="minorHAnsi" w:cs="Calibri"/>
                <w:sz w:val="20"/>
                <w:szCs w:val="20"/>
              </w:rPr>
              <w:t>$</w:t>
            </w:r>
          </w:p>
        </w:tc>
      </w:tr>
      <w:tr w:rsidR="007E7343" w:rsidRPr="00E45786" w14:paraId="55876A86" w14:textId="77777777" w:rsidTr="003B35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61321953" w14:textId="02164577" w:rsidR="007E7343" w:rsidRPr="007E7343" w:rsidRDefault="007E7343" w:rsidP="007E7343">
            <w:pPr>
              <w:numPr>
                <w:ilvl w:val="0"/>
                <w:numId w:val="12"/>
              </w:numPr>
              <w:spacing w:line="240" w:lineRule="auto"/>
              <w:ind w:left="540" w:hanging="141"/>
              <w:contextualSpacing/>
              <w:rPr>
                <w:rFonts w:asciiTheme="minorHAnsi" w:hAnsiTheme="minorHAnsi" w:cs="Calibri"/>
                <w:bCs w:val="0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Please provide an e</w:t>
            </w:r>
            <w:r w:rsidRPr="00193D5C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xample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here</w:t>
            </w:r>
          </w:p>
        </w:tc>
        <w:tc>
          <w:tcPr>
            <w:tcW w:w="1418" w:type="dxa"/>
          </w:tcPr>
          <w:p w14:paraId="5A027FBC" w14:textId="77777777" w:rsidR="007E7343" w:rsidRPr="00193D5C" w:rsidRDefault="007E7343" w:rsidP="003B3593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$</w:t>
            </w:r>
          </w:p>
        </w:tc>
        <w:tc>
          <w:tcPr>
            <w:tcW w:w="1289" w:type="dxa"/>
            <w:vMerge w:val="restart"/>
          </w:tcPr>
          <w:p w14:paraId="2CEB2F6E" w14:textId="77777777" w:rsidR="007E7343" w:rsidRPr="00E45786" w:rsidRDefault="007E7343" w:rsidP="003B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E7343" w:rsidRPr="00E45786" w14:paraId="3F9EB28C" w14:textId="77777777" w:rsidTr="003B35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70E6F2B" w14:textId="03D10A8E" w:rsidR="007E7343" w:rsidRPr="007E7343" w:rsidRDefault="007E7343" w:rsidP="007E7343">
            <w:pPr>
              <w:numPr>
                <w:ilvl w:val="0"/>
                <w:numId w:val="12"/>
              </w:numPr>
              <w:spacing w:line="240" w:lineRule="auto"/>
              <w:ind w:left="540" w:hanging="141"/>
              <w:contextualSpacing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Please provide an e</w:t>
            </w:r>
            <w:r w:rsidRPr="00193D5C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xample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here</w:t>
            </w:r>
          </w:p>
        </w:tc>
        <w:tc>
          <w:tcPr>
            <w:tcW w:w="1418" w:type="dxa"/>
          </w:tcPr>
          <w:p w14:paraId="0FCBB252" w14:textId="77777777" w:rsidR="007E7343" w:rsidRPr="00193D5C" w:rsidRDefault="007E7343" w:rsidP="003B3593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$</w:t>
            </w:r>
          </w:p>
        </w:tc>
        <w:tc>
          <w:tcPr>
            <w:tcW w:w="1289" w:type="dxa"/>
            <w:vMerge/>
          </w:tcPr>
          <w:p w14:paraId="1484A445" w14:textId="77777777" w:rsidR="007E7343" w:rsidRPr="00E45786" w:rsidRDefault="007E7343" w:rsidP="003B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E7343" w:rsidRPr="00E45786" w14:paraId="6B3E4AB3" w14:textId="77777777" w:rsidTr="003B35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63489A3" w14:textId="5E6F8286" w:rsidR="007E7343" w:rsidRPr="007E7343" w:rsidRDefault="007E7343" w:rsidP="007E7343">
            <w:pPr>
              <w:numPr>
                <w:ilvl w:val="0"/>
                <w:numId w:val="12"/>
              </w:numPr>
              <w:spacing w:line="240" w:lineRule="auto"/>
              <w:ind w:left="540" w:hanging="141"/>
              <w:contextualSpacing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Please provide an e</w:t>
            </w:r>
            <w:r w:rsidRPr="00193D5C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xample</w:t>
            </w: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here</w:t>
            </w:r>
          </w:p>
        </w:tc>
        <w:tc>
          <w:tcPr>
            <w:tcW w:w="1418" w:type="dxa"/>
          </w:tcPr>
          <w:p w14:paraId="689117D1" w14:textId="77777777" w:rsidR="007E7343" w:rsidRPr="00193D5C" w:rsidRDefault="007E7343" w:rsidP="003B3593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$</w:t>
            </w:r>
          </w:p>
        </w:tc>
        <w:tc>
          <w:tcPr>
            <w:tcW w:w="1289" w:type="dxa"/>
            <w:vMerge/>
          </w:tcPr>
          <w:p w14:paraId="214B9275" w14:textId="77777777" w:rsidR="007E7343" w:rsidRPr="00E45786" w:rsidRDefault="007E7343" w:rsidP="003B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B17EF" w:rsidRPr="00E45786" w14:paraId="786756EB" w14:textId="77777777" w:rsidTr="00E34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shd w:val="clear" w:color="auto" w:fill="D9D9D9" w:themeFill="background1" w:themeFillShade="D9"/>
          </w:tcPr>
          <w:p w14:paraId="72867F49" w14:textId="57BED24C" w:rsidR="005B17EF" w:rsidRPr="00E45786" w:rsidRDefault="001B6543" w:rsidP="005B17EF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TOTAL EXPENDITURE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2CCE10CD" w14:textId="03ADB3E2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</w:rPr>
            </w:pPr>
            <w:r w:rsidRPr="00E45786">
              <w:rPr>
                <w:rFonts w:asciiTheme="minorHAnsi" w:hAnsiTheme="minorHAnsi" w:cs="Calibri"/>
                <w:b/>
              </w:rPr>
              <w:t>$</w:t>
            </w:r>
          </w:p>
        </w:tc>
      </w:tr>
      <w:tr w:rsidR="005B17EF" w:rsidRPr="00E45786" w14:paraId="47A6C815" w14:textId="77777777" w:rsidTr="00E34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2F7E7C65" w14:textId="292F4F35" w:rsidR="005B17EF" w:rsidRPr="001152C0" w:rsidRDefault="005B17EF" w:rsidP="005B17EF">
            <w:pPr>
              <w:rPr>
                <w:rFonts w:asciiTheme="minorHAnsi" w:hAnsiTheme="minorHAnsi" w:cs="Calibri"/>
                <w:bCs w:val="0"/>
                <w:i/>
                <w:iCs/>
              </w:rPr>
            </w:pPr>
            <w:r w:rsidRPr="00E45786">
              <w:rPr>
                <w:rFonts w:asciiTheme="minorHAnsi" w:hAnsiTheme="minorHAnsi" w:cs="Calibri"/>
                <w:b/>
              </w:rPr>
              <w:t>T</w:t>
            </w:r>
            <w:r>
              <w:rPr>
                <w:rFonts w:asciiTheme="minorHAnsi" w:hAnsiTheme="minorHAnsi" w:cs="Calibri"/>
                <w:b/>
              </w:rPr>
              <w:t xml:space="preserve">otal amount </w:t>
            </w:r>
            <w:r w:rsidRPr="001152C0">
              <w:rPr>
                <w:rFonts w:asciiTheme="minorHAnsi" w:hAnsiTheme="minorHAnsi" w:cs="Calibri"/>
                <w:b/>
                <w:color w:val="00B050"/>
              </w:rPr>
              <w:t xml:space="preserve">NOT EXPENDED </w:t>
            </w:r>
            <w:r>
              <w:rPr>
                <w:rFonts w:asciiTheme="minorHAnsi" w:hAnsiTheme="minorHAnsi" w:cs="Calibri"/>
                <w:b/>
              </w:rPr>
              <w:br/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 xml:space="preserve">(only include </w:t>
            </w:r>
            <w:r w:rsidR="001B6543">
              <w:rPr>
                <w:rFonts w:asciiTheme="minorHAnsi" w:hAnsiTheme="minorHAnsi" w:cs="Calibri"/>
                <w:bCs w:val="0"/>
                <w:i/>
                <w:iCs/>
              </w:rPr>
              <w:t xml:space="preserve">a </w:t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>figure if you did not expend your draw</w:t>
            </w:r>
            <w:r w:rsidR="001B6543">
              <w:rPr>
                <w:rFonts w:asciiTheme="minorHAnsi" w:hAnsiTheme="minorHAnsi" w:cs="Calibri"/>
                <w:bCs w:val="0"/>
                <w:i/>
                <w:iCs/>
              </w:rPr>
              <w:t>n</w:t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 xml:space="preserve"> down amounts)</w:t>
            </w:r>
          </w:p>
        </w:tc>
        <w:tc>
          <w:tcPr>
            <w:tcW w:w="1289" w:type="dxa"/>
          </w:tcPr>
          <w:p w14:paraId="2276EE75" w14:textId="77777777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</w:rPr>
            </w:pPr>
            <w:r w:rsidRPr="007E7343">
              <w:rPr>
                <w:rFonts w:asciiTheme="minorHAnsi" w:hAnsiTheme="minorHAnsi" w:cs="Calibri"/>
                <w:color w:val="00B050"/>
              </w:rPr>
              <w:t>$</w:t>
            </w:r>
          </w:p>
        </w:tc>
      </w:tr>
      <w:tr w:rsidR="005B17EF" w:rsidRPr="00E45786" w14:paraId="3EDA83D0" w14:textId="77777777" w:rsidTr="00E34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03E58640" w14:textId="6D751A5A" w:rsidR="005B17EF" w:rsidRPr="00E45786" w:rsidRDefault="005B17EF" w:rsidP="005B17EF">
            <w:pPr>
              <w:rPr>
                <w:rFonts w:cs="Calibri"/>
                <w:b/>
              </w:rPr>
            </w:pPr>
            <w:r w:rsidRPr="00E45786">
              <w:rPr>
                <w:rFonts w:asciiTheme="minorHAnsi" w:hAnsiTheme="minorHAnsi" w:cs="Calibri"/>
                <w:b/>
              </w:rPr>
              <w:t>T</w:t>
            </w:r>
            <w:r>
              <w:rPr>
                <w:rFonts w:asciiTheme="minorHAnsi" w:hAnsiTheme="minorHAnsi" w:cs="Calibri"/>
                <w:b/>
              </w:rPr>
              <w:t xml:space="preserve">otal amount </w:t>
            </w:r>
            <w:r w:rsidRPr="001152C0">
              <w:rPr>
                <w:rFonts w:asciiTheme="minorHAnsi" w:hAnsiTheme="minorHAnsi" w:cs="Calibri"/>
                <w:b/>
                <w:color w:val="FF0000"/>
              </w:rPr>
              <w:t>OVER EXPENDED</w:t>
            </w:r>
            <w:r>
              <w:rPr>
                <w:rFonts w:asciiTheme="minorHAnsi" w:hAnsiTheme="minorHAnsi" w:cs="Calibri"/>
                <w:b/>
              </w:rPr>
              <w:br/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 xml:space="preserve">(only include </w:t>
            </w:r>
            <w:r w:rsidR="001B6543">
              <w:rPr>
                <w:rFonts w:asciiTheme="minorHAnsi" w:hAnsiTheme="minorHAnsi" w:cs="Calibri"/>
                <w:bCs w:val="0"/>
                <w:i/>
                <w:iCs/>
              </w:rPr>
              <w:t xml:space="preserve">a </w:t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 xml:space="preserve">figure if you expended </w:t>
            </w:r>
            <w:r w:rsidRPr="001B6543">
              <w:rPr>
                <w:rFonts w:asciiTheme="minorHAnsi" w:hAnsiTheme="minorHAnsi" w:cs="Calibri"/>
                <w:b/>
                <w:i/>
                <w:iCs/>
              </w:rPr>
              <w:t>more</w:t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 xml:space="preserve"> than your draw</w:t>
            </w:r>
            <w:r w:rsidR="001B6543">
              <w:rPr>
                <w:rFonts w:asciiTheme="minorHAnsi" w:hAnsiTheme="minorHAnsi" w:cs="Calibri"/>
                <w:bCs w:val="0"/>
                <w:i/>
                <w:iCs/>
              </w:rPr>
              <w:t>n</w:t>
            </w:r>
            <w:r>
              <w:rPr>
                <w:rFonts w:asciiTheme="minorHAnsi" w:hAnsiTheme="minorHAnsi" w:cs="Calibri"/>
                <w:bCs w:val="0"/>
                <w:i/>
                <w:iCs/>
              </w:rPr>
              <w:t xml:space="preserve"> down amounts)</w:t>
            </w:r>
          </w:p>
        </w:tc>
        <w:tc>
          <w:tcPr>
            <w:tcW w:w="1289" w:type="dxa"/>
          </w:tcPr>
          <w:p w14:paraId="175BFBE0" w14:textId="483B1215" w:rsidR="005B17EF" w:rsidRPr="00E45786" w:rsidRDefault="005B17EF" w:rsidP="005B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7E7343">
              <w:rPr>
                <w:rFonts w:asciiTheme="minorHAnsi" w:hAnsiTheme="minorHAnsi" w:cs="Calibri"/>
                <w:color w:val="FF0000"/>
              </w:rPr>
              <w:t>$</w:t>
            </w:r>
          </w:p>
        </w:tc>
      </w:tr>
    </w:tbl>
    <w:p w14:paraId="3199E732" w14:textId="198A66D9" w:rsidR="00B62743" w:rsidRDefault="00B62743" w:rsidP="00F27A41">
      <w:pPr>
        <w:spacing w:after="0" w:line="278" w:lineRule="auto"/>
        <w:rPr>
          <w:rFonts w:eastAsia="Calibri" w:cs="Calibri"/>
          <w:b/>
          <w:kern w:val="0"/>
          <w14:ligatures w14:val="none"/>
        </w:rPr>
      </w:pPr>
    </w:p>
    <w:p w14:paraId="1D89DAB8" w14:textId="70EBEB34" w:rsidR="001152C0" w:rsidRPr="00F70050" w:rsidRDefault="001152C0" w:rsidP="00F70050">
      <w:pPr>
        <w:pStyle w:val="Heading1PreambleDetetc"/>
        <w:rPr>
          <w:rFonts w:eastAsia="Calibri"/>
        </w:rPr>
      </w:pPr>
      <w:r w:rsidRPr="00F70050">
        <w:rPr>
          <w:rFonts w:eastAsia="Calibri"/>
        </w:rPr>
        <w:t xml:space="preserve">Certification </w:t>
      </w:r>
    </w:p>
    <w:p w14:paraId="3ED707A6" w14:textId="696C7D8B" w:rsidR="004F50EF" w:rsidRPr="0022213C" w:rsidRDefault="004F50EF" w:rsidP="0022213C">
      <w:pPr>
        <w:spacing w:before="240" w:after="0" w:line="276" w:lineRule="auto"/>
        <w:jc w:val="both"/>
        <w:rPr>
          <w:rFonts w:eastAsia="Calibri" w:cs="Times New Roman"/>
          <w:i/>
          <w:kern w:val="0"/>
          <w14:ligatures w14:val="none"/>
        </w:rPr>
      </w:pPr>
      <w:r w:rsidRPr="0022213C">
        <w:rPr>
          <w:rFonts w:eastAsia="Calibri" w:cs="Times New Roman"/>
          <w:i/>
          <w:kern w:val="0"/>
          <w14:ligatures w14:val="none"/>
        </w:rPr>
        <w:t xml:space="preserve">This report reflects all expenditure in the last financial year using the </w:t>
      </w:r>
      <w:r w:rsidR="0022213C">
        <w:rPr>
          <w:rFonts w:eastAsia="Calibri" w:cs="Times New Roman"/>
          <w:i/>
          <w:kern w:val="0"/>
          <w14:ligatures w14:val="none"/>
        </w:rPr>
        <w:t xml:space="preserve">EPEA </w:t>
      </w:r>
      <w:r w:rsidRPr="0022213C">
        <w:rPr>
          <w:rFonts w:eastAsia="Calibri" w:cs="Times New Roman"/>
          <w:i/>
          <w:kern w:val="0"/>
          <w14:ligatures w14:val="none"/>
        </w:rPr>
        <w:t xml:space="preserve">provided under Part 3 of the </w:t>
      </w:r>
      <w:r w:rsidR="0022213C">
        <w:rPr>
          <w:rFonts w:eastAsia="Calibri" w:cs="Times New Roman"/>
          <w:i/>
          <w:kern w:val="0"/>
          <w14:ligatures w14:val="none"/>
        </w:rPr>
        <w:t xml:space="preserve">MPs </w:t>
      </w:r>
      <w:r w:rsidRPr="0022213C">
        <w:rPr>
          <w:rFonts w:eastAsia="Calibri" w:cs="Times New Roman"/>
          <w:i/>
          <w:kern w:val="0"/>
          <w14:ligatures w14:val="none"/>
        </w:rPr>
        <w:t>Determination. Expenditure detailed in this report conforms to the:</w:t>
      </w:r>
    </w:p>
    <w:p w14:paraId="5A4D3136" w14:textId="31DF5384" w:rsidR="004F50EF" w:rsidRPr="0022213C" w:rsidRDefault="004F50EF" w:rsidP="00981C0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 xml:space="preserve">conditions of use set out for the </w:t>
      </w:r>
      <w:r w:rsidR="0022213C">
        <w:rPr>
          <w:rFonts w:eastAsia="Calibri" w:cs="Times New Roman"/>
          <w:i/>
          <w:kern w:val="0"/>
          <w:szCs w:val="22"/>
          <w14:ligatures w14:val="none"/>
        </w:rPr>
        <w:t>EPEA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>; and</w:t>
      </w:r>
    </w:p>
    <w:p w14:paraId="5E65D083" w14:textId="4F77D831" w:rsidR="004F50EF" w:rsidRPr="0022213C" w:rsidRDefault="004F50EF" w:rsidP="00981C00">
      <w:pPr>
        <w:pStyle w:val="ListParagraph"/>
        <w:numPr>
          <w:ilvl w:val="0"/>
          <w:numId w:val="13"/>
        </w:numPr>
        <w:spacing w:before="240" w:after="0" w:line="276" w:lineRule="auto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 xml:space="preserve">principles for use of allowances </w:t>
      </w:r>
      <w:r w:rsidR="00B05E3C">
        <w:rPr>
          <w:rFonts w:eastAsia="Calibri" w:cs="Times New Roman"/>
          <w:i/>
          <w:kern w:val="0"/>
          <w:szCs w:val="22"/>
          <w14:ligatures w14:val="none"/>
        </w:rPr>
        <w:t xml:space="preserve">as detailed in 1.6 of </w:t>
      </w:r>
      <w:r w:rsidR="00B05E3C" w:rsidRPr="0022213C">
        <w:rPr>
          <w:rFonts w:eastAsia="Calibri" w:cs="Times New Roman"/>
          <w:i/>
          <w:kern w:val="0"/>
          <w:szCs w:val="22"/>
          <w14:ligatures w14:val="none"/>
        </w:rPr>
        <w:t>th</w:t>
      </w:r>
      <w:r w:rsidR="00B05E3C">
        <w:rPr>
          <w:rFonts w:eastAsia="Calibri" w:cs="Times New Roman"/>
          <w:i/>
          <w:kern w:val="0"/>
          <w:szCs w:val="22"/>
          <w14:ligatures w14:val="none"/>
        </w:rPr>
        <w:t xml:space="preserve">e </w:t>
      </w:r>
      <w:r w:rsidR="0022213C">
        <w:rPr>
          <w:rFonts w:eastAsia="Calibri" w:cs="Times New Roman"/>
          <w:i/>
          <w:kern w:val="0"/>
          <w:szCs w:val="22"/>
          <w14:ligatures w14:val="none"/>
        </w:rPr>
        <w:t>MP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>s Determination, which state</w:t>
      </w:r>
      <w:r w:rsidR="00A273C0">
        <w:rPr>
          <w:rFonts w:eastAsia="Calibri" w:cs="Times New Roman"/>
          <w:i/>
          <w:kern w:val="0"/>
          <w:szCs w:val="22"/>
          <w14:ligatures w14:val="none"/>
        </w:rPr>
        <w:t>s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 xml:space="preserve"> that Members must: </w:t>
      </w:r>
    </w:p>
    <w:p w14:paraId="02FD2103" w14:textId="4B0D1A46" w:rsidR="004F50EF" w:rsidRPr="0022213C" w:rsidRDefault="004F50EF" w:rsidP="00981C00">
      <w:pPr>
        <w:pStyle w:val="ListParagraph"/>
        <w:numPr>
          <w:ilvl w:val="1"/>
          <w:numId w:val="14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use allowances for Parliamentary business</w:t>
      </w:r>
      <w:r w:rsidR="0022213C">
        <w:rPr>
          <w:rFonts w:eastAsia="Calibri" w:cs="Times New Roman"/>
          <w:i/>
          <w:kern w:val="0"/>
          <w:szCs w:val="22"/>
          <w14:ligatures w14:val="none"/>
        </w:rPr>
        <w:t>;</w:t>
      </w:r>
    </w:p>
    <w:p w14:paraId="43E82763" w14:textId="3CA96ED1" w:rsidR="004F50EF" w:rsidRPr="0022213C" w:rsidRDefault="004F50EF" w:rsidP="00981C00">
      <w:pPr>
        <w:pStyle w:val="ListParagraph"/>
        <w:numPr>
          <w:ilvl w:val="1"/>
          <w:numId w:val="14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adhere to any conditions for using allowances</w:t>
      </w:r>
      <w:r w:rsidR="0022213C">
        <w:rPr>
          <w:rFonts w:eastAsia="Calibri" w:cs="Times New Roman"/>
          <w:i/>
          <w:kern w:val="0"/>
          <w:szCs w:val="22"/>
          <w14:ligatures w14:val="none"/>
        </w:rPr>
        <w:t>;</w:t>
      </w:r>
    </w:p>
    <w:p w14:paraId="3C3BDCC1" w14:textId="11A9DDAA" w:rsidR="004F50EF" w:rsidRPr="0022213C" w:rsidRDefault="004F50EF" w:rsidP="00981C00">
      <w:pPr>
        <w:pStyle w:val="ListParagraph"/>
        <w:numPr>
          <w:ilvl w:val="1"/>
          <w:numId w:val="14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be prepared to be personally responsible and accountable for the use of allowances</w:t>
      </w:r>
      <w:r w:rsidR="0022213C">
        <w:rPr>
          <w:rFonts w:eastAsia="Calibri" w:cs="Times New Roman"/>
          <w:i/>
          <w:kern w:val="0"/>
          <w:szCs w:val="22"/>
          <w14:ligatures w14:val="none"/>
        </w:rPr>
        <w:t>;</w:t>
      </w:r>
    </w:p>
    <w:p w14:paraId="5F90B626" w14:textId="77777777" w:rsidR="004F50EF" w:rsidRPr="0022213C" w:rsidRDefault="004F50EF" w:rsidP="00981C00">
      <w:pPr>
        <w:pStyle w:val="ListParagraph"/>
        <w:numPr>
          <w:ilvl w:val="1"/>
          <w:numId w:val="14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be prepared to publicly justify use of allowances; and</w:t>
      </w:r>
    </w:p>
    <w:p w14:paraId="4DA8A812" w14:textId="77777777" w:rsidR="004F50EF" w:rsidRPr="0022213C" w:rsidRDefault="004F50EF" w:rsidP="00981C00">
      <w:pPr>
        <w:pStyle w:val="ListParagraph"/>
        <w:numPr>
          <w:ilvl w:val="1"/>
          <w:numId w:val="14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act ethically and in good faith when using, and accounting for the use of allowances.</w:t>
      </w:r>
    </w:p>
    <w:p w14:paraId="13D4E0B9" w14:textId="605EA80F" w:rsidR="004F50EF" w:rsidRPr="0022213C" w:rsidRDefault="005B17EF" w:rsidP="00A273C0">
      <w:pPr>
        <w:spacing w:before="600" w:after="120" w:line="360" w:lineRule="auto"/>
        <w:jc w:val="right"/>
        <w:rPr>
          <w:rFonts w:eastAsia="Calibri" w:cs="Calibri"/>
        </w:rPr>
      </w:pPr>
      <w:r w:rsidRPr="0022213C">
        <w:rPr>
          <w:rFonts w:eastAsia="Calibri" w:cs="Calibri"/>
        </w:rPr>
        <w:t>M</w:t>
      </w:r>
      <w:r w:rsidR="00B5458F">
        <w:rPr>
          <w:rFonts w:eastAsia="Calibri" w:cs="Calibri"/>
        </w:rPr>
        <w:t>ember</w:t>
      </w:r>
      <w:r w:rsidRPr="0022213C">
        <w:rPr>
          <w:rFonts w:eastAsia="Calibri" w:cs="Calibri"/>
        </w:rPr>
        <w:t xml:space="preserve"> signature:</w:t>
      </w:r>
      <w:r w:rsidR="004F50EF" w:rsidRPr="0022213C">
        <w:rPr>
          <w:rFonts w:eastAsia="Calibri" w:cs="Calibri"/>
        </w:rPr>
        <w:tab/>
        <w:t>___________________________________________</w:t>
      </w:r>
    </w:p>
    <w:p w14:paraId="7324D7AA" w14:textId="77777777" w:rsidR="00F27A41" w:rsidRDefault="004F50EF" w:rsidP="00F27A41">
      <w:pPr>
        <w:spacing w:after="0" w:line="360" w:lineRule="auto"/>
        <w:jc w:val="right"/>
        <w:rPr>
          <w:rFonts w:eastAsia="Calibri" w:cs="Calibri"/>
        </w:rPr>
      </w:pPr>
      <w:r w:rsidRPr="0022213C">
        <w:rPr>
          <w:rFonts w:eastAsia="Calibri" w:cs="Calibri"/>
        </w:rPr>
        <w:t xml:space="preserve">Date: </w:t>
      </w:r>
      <w:r w:rsidRPr="0022213C">
        <w:rPr>
          <w:rFonts w:eastAsia="Calibri" w:cs="Calibri"/>
        </w:rPr>
        <w:tab/>
      </w:r>
      <w:r w:rsidR="00B5458F">
        <w:rPr>
          <w:rFonts w:eastAsia="Calibri" w:cs="Calibri"/>
        </w:rPr>
        <w:tab/>
      </w:r>
      <w:r w:rsidRPr="0022213C">
        <w:rPr>
          <w:rFonts w:eastAsia="Calibri" w:cs="Calibri"/>
        </w:rPr>
        <w:tab/>
        <w:t>___________________________________________</w:t>
      </w:r>
    </w:p>
    <w:p w14:paraId="38B72428" w14:textId="1EAEBAA4" w:rsidR="00F27A41" w:rsidRPr="00F27A41" w:rsidRDefault="00F27A41" w:rsidP="00193D5C">
      <w:pPr>
        <w:spacing w:before="360" w:after="0" w:line="240" w:lineRule="auto"/>
        <w:rPr>
          <w:rFonts w:eastAsia="Calibri" w:cs="Calibri"/>
        </w:rPr>
      </w:pPr>
      <w:r>
        <w:rPr>
          <w:rFonts w:eastAsia="Calibri" w:cs="Times New Roman"/>
          <w:i/>
          <w:kern w:val="0"/>
          <w14:ligatures w14:val="none"/>
        </w:rPr>
        <w:t>Please s</w:t>
      </w:r>
      <w:r w:rsidRPr="00B5458F">
        <w:rPr>
          <w:rFonts w:eastAsia="Calibri" w:cs="Times New Roman"/>
          <w:i/>
          <w:kern w:val="0"/>
          <w14:ligatures w14:val="none"/>
        </w:rPr>
        <w:t xml:space="preserve">ubmit to </w:t>
      </w:r>
      <w:hyperlink r:id="rId7" w:history="1">
        <w:r w:rsidRPr="00B5458F">
          <w:rPr>
            <w:rFonts w:eastAsia="Calibri" w:cs="Times New Roman"/>
            <w:i/>
            <w:color w:val="0000FF"/>
            <w:kern w:val="0"/>
            <w:u w:val="single"/>
            <w14:ligatures w14:val="none"/>
          </w:rPr>
          <w:t>submissions@sat.wa.gov.au</w:t>
        </w:r>
      </w:hyperlink>
      <w:r w:rsidR="001B6543">
        <w:rPr>
          <w:rFonts w:eastAsia="Calibri" w:cs="Times New Roman"/>
          <w:i/>
          <w:kern w:val="0"/>
          <w14:ligatures w14:val="none"/>
        </w:rPr>
        <w:t xml:space="preserve"> b</w:t>
      </w:r>
      <w:r>
        <w:rPr>
          <w:rFonts w:eastAsia="Calibri" w:cs="Times New Roman"/>
          <w:i/>
          <w:kern w:val="0"/>
          <w14:ligatures w14:val="none"/>
        </w:rPr>
        <w:t xml:space="preserve">y </w:t>
      </w:r>
      <w:r w:rsidR="001B6543">
        <w:rPr>
          <w:rFonts w:eastAsia="Calibri" w:cs="Times New Roman"/>
          <w:b/>
          <w:i/>
          <w:kern w:val="0"/>
          <w14:ligatures w14:val="none"/>
        </w:rPr>
        <w:t>28</w:t>
      </w:r>
      <w:r w:rsidRPr="001B6543">
        <w:rPr>
          <w:rFonts w:eastAsia="Calibri" w:cs="Times New Roman"/>
          <w:b/>
          <w:i/>
          <w:kern w:val="0"/>
          <w14:ligatures w14:val="none"/>
        </w:rPr>
        <w:t xml:space="preserve"> September</w:t>
      </w:r>
      <w:r w:rsidR="00981C00">
        <w:rPr>
          <w:rFonts w:eastAsia="Calibri" w:cs="Times New Roman"/>
          <w:b/>
          <w:i/>
          <w:kern w:val="0"/>
          <w14:ligatures w14:val="none"/>
        </w:rPr>
        <w:t xml:space="preserve"> 2027</w:t>
      </w:r>
      <w:r w:rsidR="001B6543">
        <w:rPr>
          <w:rFonts w:eastAsia="Calibri" w:cs="Times New Roman"/>
          <w:i/>
          <w:kern w:val="0"/>
          <w14:ligatures w14:val="none"/>
        </w:rPr>
        <w:t xml:space="preserve">. </w:t>
      </w:r>
      <w:r w:rsidR="00193D5C">
        <w:rPr>
          <w:rFonts w:eastAsia="Calibri" w:cs="Times New Roman"/>
          <w:i/>
          <w:kern w:val="0"/>
          <w14:ligatures w14:val="none"/>
        </w:rPr>
        <w:br/>
      </w:r>
      <w:r>
        <w:rPr>
          <w:rFonts w:eastAsia="Calibri" w:cs="Times New Roman"/>
          <w:i/>
          <w:kern w:val="0"/>
          <w14:ligatures w14:val="none"/>
        </w:rPr>
        <w:t>All r</w:t>
      </w:r>
      <w:r w:rsidRPr="00B5458F">
        <w:rPr>
          <w:rFonts w:eastAsia="Calibri" w:cs="Times New Roman"/>
          <w:i/>
          <w:kern w:val="0"/>
          <w14:ligatures w14:val="none"/>
        </w:rPr>
        <w:t xml:space="preserve">eports will be published on the </w:t>
      </w:r>
      <w:r w:rsidR="001B6543">
        <w:rPr>
          <w:rFonts w:eastAsia="Calibri" w:cs="Times New Roman"/>
          <w:i/>
          <w:kern w:val="0"/>
          <w14:ligatures w14:val="none"/>
        </w:rPr>
        <w:t xml:space="preserve">Tribunal’s </w:t>
      </w:r>
      <w:r w:rsidRPr="00B5458F">
        <w:rPr>
          <w:rFonts w:eastAsia="Calibri" w:cs="Times New Roman"/>
          <w:i/>
          <w:kern w:val="0"/>
          <w14:ligatures w14:val="none"/>
        </w:rPr>
        <w:t>website.</w:t>
      </w:r>
      <w:bookmarkEnd w:id="0"/>
      <w:bookmarkEnd w:id="1"/>
      <w:bookmarkEnd w:id="2"/>
      <w:bookmarkEnd w:id="3"/>
    </w:p>
    <w:sectPr w:rsidR="00F27A41" w:rsidRPr="00F27A41" w:rsidSect="00193D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AD8F" w14:textId="77777777" w:rsidR="00297F2C" w:rsidRDefault="00297F2C" w:rsidP="001152C0">
      <w:pPr>
        <w:spacing w:after="0" w:line="240" w:lineRule="auto"/>
      </w:pPr>
      <w:r>
        <w:separator/>
      </w:r>
    </w:p>
  </w:endnote>
  <w:endnote w:type="continuationSeparator" w:id="0">
    <w:p w14:paraId="03A21DC9" w14:textId="77777777" w:rsidR="00297F2C" w:rsidRDefault="00297F2C" w:rsidP="0011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D67B" w14:textId="2FB0AA70" w:rsidR="001152C0" w:rsidRPr="00CC36DF" w:rsidRDefault="001152C0" w:rsidP="001152C0">
    <w:pPr>
      <w:pStyle w:val="Footer"/>
      <w:jc w:val="right"/>
      <w:rPr>
        <w:rFonts w:ascii="Aptos" w:hAnsi="Aptos"/>
        <w:color w:val="486866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9FE29D3" wp14:editId="4CF67790">
          <wp:simplePos x="0" y="0"/>
          <wp:positionH relativeFrom="page">
            <wp:posOffset>-57150</wp:posOffset>
          </wp:positionH>
          <wp:positionV relativeFrom="paragraph">
            <wp:posOffset>-127635</wp:posOffset>
          </wp:positionV>
          <wp:extent cx="7210425" cy="574040"/>
          <wp:effectExtent l="0" t="0" r="0" b="0"/>
          <wp:wrapNone/>
          <wp:docPr id="14507956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26338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0409086"/>
        <w:docPartObj>
          <w:docPartGallery w:val="Page Numbers (Bottom of Page)"/>
          <w:docPartUnique/>
        </w:docPartObj>
      </w:sdtPr>
      <w:sdtEndPr>
        <w:rPr>
          <w:rFonts w:ascii="Aptos" w:hAnsi="Aptos"/>
          <w:color w:val="486866"/>
          <w:sz w:val="16"/>
          <w:szCs w:val="16"/>
        </w:rPr>
      </w:sdtEndPr>
      <w:sdtContent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fldChar w:fldCharType="begin"/>
        </w:r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instrText>PAGE   \* MERGEFORMAT</w:instrText>
        </w:r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fldChar w:fldCharType="separate"/>
        </w:r>
        <w:r>
          <w:rPr>
            <w:rFonts w:ascii="Aptos" w:hAnsi="Aptos"/>
            <w:b/>
            <w:bCs/>
            <w:color w:val="354E4C"/>
            <w:sz w:val="16"/>
            <w:szCs w:val="16"/>
          </w:rPr>
          <w:t>2</w:t>
        </w:r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fldChar w:fldCharType="end"/>
        </w:r>
        <w:r w:rsidRPr="00CC36DF">
          <w:rPr>
            <w:rFonts w:ascii="Aptos" w:hAnsi="Aptos"/>
            <w:color w:val="486866"/>
            <w:sz w:val="16"/>
            <w:szCs w:val="16"/>
          </w:rPr>
          <w:t xml:space="preserve"> </w:t>
        </w:r>
      </w:sdtContent>
    </w:sdt>
  </w:p>
  <w:p w14:paraId="47C97BDB" w14:textId="09E4F5A6" w:rsidR="001152C0" w:rsidRDefault="00115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521A" w14:textId="77777777" w:rsidR="001152C0" w:rsidRDefault="001152C0" w:rsidP="001152C0">
    <w:r w:rsidRPr="00D1605C">
      <w:rPr>
        <w:b/>
        <w:bCs/>
        <w:noProof/>
        <w:color w:val="354E4C"/>
      </w:rPr>
      <w:drawing>
        <wp:anchor distT="0" distB="0" distL="114300" distR="114300" simplePos="0" relativeHeight="251661312" behindDoc="1" locked="0" layoutInCell="1" allowOverlap="1" wp14:anchorId="778A44DC" wp14:editId="788A352F">
          <wp:simplePos x="0" y="0"/>
          <wp:positionH relativeFrom="page">
            <wp:posOffset>-57150</wp:posOffset>
          </wp:positionH>
          <wp:positionV relativeFrom="paragraph">
            <wp:posOffset>139065</wp:posOffset>
          </wp:positionV>
          <wp:extent cx="7210425" cy="574040"/>
          <wp:effectExtent l="0" t="0" r="0" b="0"/>
          <wp:wrapNone/>
          <wp:docPr id="93415279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373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38AA3" w14:textId="680046AF" w:rsidR="001152C0" w:rsidRPr="00CC36DF" w:rsidRDefault="001152C0" w:rsidP="001152C0">
    <w:pPr>
      <w:pStyle w:val="Footer"/>
      <w:jc w:val="right"/>
      <w:rPr>
        <w:sz w:val="16"/>
        <w:szCs w:val="16"/>
      </w:rPr>
    </w:pPr>
    <w:r w:rsidRPr="00E33703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3294401" wp14:editId="598AEBD3">
              <wp:simplePos x="0" y="0"/>
              <wp:positionH relativeFrom="page">
                <wp:posOffset>9525</wp:posOffset>
              </wp:positionH>
              <wp:positionV relativeFrom="paragraph">
                <wp:posOffset>169545</wp:posOffset>
              </wp:positionV>
              <wp:extent cx="7524750" cy="3333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FFF19" w14:textId="77777777" w:rsidR="001152C0" w:rsidRPr="008B3484" w:rsidRDefault="001152C0" w:rsidP="001152C0">
                          <w:pPr>
                            <w:jc w:val="center"/>
                            <w:rPr>
                              <w:color w:val="354E4C"/>
                              <w:sz w:val="18"/>
                              <w:szCs w:val="18"/>
                            </w:rPr>
                          </w:pPr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 xml:space="preserve">08 6557 7000  |  </w:t>
                          </w:r>
                          <w:hyperlink r:id="rId2" w:history="1">
                            <w:r w:rsidRPr="008B34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submissions@sat.wa.gov.au</w:t>
                            </w:r>
                          </w:hyperlink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 xml:space="preserve">  |  WA.gov.au  |  7/38 Colin Street, West Perth WA 6005</w:t>
                          </w:r>
                        </w:p>
                        <w:p w14:paraId="37AA4690" w14:textId="77777777" w:rsidR="001152C0" w:rsidRPr="0015090E" w:rsidRDefault="001152C0" w:rsidP="001152C0">
                          <w:pPr>
                            <w:jc w:val="center"/>
                            <w:rPr>
                              <w:b/>
                              <w:bCs/>
                              <w:color w:val="354E4C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94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75pt;margin-top:13.35pt;width:592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" stroked="f">
              <v:textbox>
                <w:txbxContent>
                  <w:p w14:paraId="43BFFF19" w14:textId="77777777" w:rsidR="001152C0" w:rsidRPr="008B3484" w:rsidRDefault="001152C0" w:rsidP="001152C0">
                    <w:pPr>
                      <w:jc w:val="center"/>
                      <w:rPr>
                        <w:color w:val="354E4C"/>
                        <w:sz w:val="18"/>
                        <w:szCs w:val="18"/>
                      </w:rPr>
                    </w:pPr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08 6557 </w:t>
                    </w:r>
                    <w:proofErr w:type="gramStart"/>
                    <w:r w:rsidRPr="008B3484">
                      <w:rPr>
                        <w:color w:val="354E4C"/>
                        <w:sz w:val="18"/>
                        <w:szCs w:val="18"/>
                      </w:rPr>
                      <w:t>7000  |</w:t>
                    </w:r>
                    <w:proofErr w:type="gramEnd"/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  </w:t>
                    </w:r>
                    <w:hyperlink r:id="rId3" w:history="1">
                      <w:r w:rsidRPr="008B3484">
                        <w:rPr>
                          <w:rStyle w:val="Hyperlink"/>
                          <w:sz w:val="18"/>
                          <w:szCs w:val="18"/>
                        </w:rPr>
                        <w:t>submissions@sat.wa.gov.au</w:t>
                      </w:r>
                    </w:hyperlink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  |  </w:t>
                    </w:r>
                    <w:proofErr w:type="gramStart"/>
                    <w:r w:rsidRPr="008B3484">
                      <w:rPr>
                        <w:color w:val="354E4C"/>
                        <w:sz w:val="18"/>
                        <w:szCs w:val="18"/>
                      </w:rPr>
                      <w:t>WA.gov.au  |</w:t>
                    </w:r>
                    <w:proofErr w:type="gramEnd"/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  7/38 Colin Street, West Perth WA 6005</w:t>
                    </w:r>
                  </w:p>
                  <w:p w14:paraId="37AA4690" w14:textId="77777777" w:rsidR="001152C0" w:rsidRPr="0015090E" w:rsidRDefault="001152C0" w:rsidP="001152C0">
                    <w:pPr>
                      <w:jc w:val="center"/>
                      <w:rPr>
                        <w:b/>
                        <w:bCs/>
                        <w:color w:val="354E4C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-474067660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CC36DF">
          <w:rPr>
            <w:b/>
            <w:bCs/>
            <w:color w:val="354E4C"/>
            <w:sz w:val="16"/>
            <w:szCs w:val="16"/>
          </w:rPr>
          <w:fldChar w:fldCharType="begin"/>
        </w:r>
        <w:r w:rsidRPr="00CC36DF">
          <w:rPr>
            <w:b/>
            <w:bCs/>
            <w:color w:val="354E4C"/>
            <w:sz w:val="16"/>
            <w:szCs w:val="16"/>
          </w:rPr>
          <w:instrText>PAGE   \* MERGEFORMAT</w:instrText>
        </w:r>
        <w:r w:rsidRPr="00CC36DF">
          <w:rPr>
            <w:b/>
            <w:bCs/>
            <w:color w:val="354E4C"/>
            <w:sz w:val="16"/>
            <w:szCs w:val="16"/>
          </w:rPr>
          <w:fldChar w:fldCharType="separate"/>
        </w:r>
        <w:r w:rsidRPr="00CC36DF">
          <w:rPr>
            <w:b/>
            <w:bCs/>
            <w:color w:val="354E4C"/>
            <w:sz w:val="16"/>
            <w:szCs w:val="16"/>
            <w:lang w:val="en-GB"/>
          </w:rPr>
          <w:t>2</w:t>
        </w:r>
        <w:r w:rsidRPr="00CC36DF">
          <w:rPr>
            <w:b/>
            <w:bCs/>
            <w:color w:val="354E4C"/>
            <w:sz w:val="16"/>
            <w:szCs w:val="16"/>
          </w:rPr>
          <w:fldChar w:fldCharType="end"/>
        </w:r>
      </w:sdtContent>
    </w:sdt>
  </w:p>
  <w:p w14:paraId="218675AE" w14:textId="4883166E" w:rsidR="001152C0" w:rsidRDefault="00115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3A4F" w14:textId="77777777" w:rsidR="00297F2C" w:rsidRDefault="00297F2C" w:rsidP="001152C0">
      <w:pPr>
        <w:spacing w:after="0" w:line="240" w:lineRule="auto"/>
      </w:pPr>
      <w:r>
        <w:separator/>
      </w:r>
    </w:p>
  </w:footnote>
  <w:footnote w:type="continuationSeparator" w:id="0">
    <w:p w14:paraId="5E6FA0E7" w14:textId="77777777" w:rsidR="00297F2C" w:rsidRDefault="00297F2C" w:rsidP="0011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98D4" w14:textId="2D390310" w:rsidR="00981C00" w:rsidRPr="00981C00" w:rsidRDefault="00981C00">
    <w:pPr>
      <w:pStyle w:val="Header"/>
      <w:rPr>
        <w:color w:val="486866"/>
      </w:rPr>
    </w:pPr>
    <w:r w:rsidRPr="00981C00">
      <w:rPr>
        <w:color w:val="486866"/>
      </w:rPr>
      <w:t>Appendix 1 – Electorate and Parliamentary Expenses Allowance: Annual Usage Report 2026-27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532B" w14:textId="04F9917D" w:rsidR="001152C0" w:rsidRDefault="001152C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54F137E" wp14:editId="08E68CC5">
          <wp:simplePos x="0" y="0"/>
          <wp:positionH relativeFrom="page">
            <wp:posOffset>-9525</wp:posOffset>
          </wp:positionH>
          <wp:positionV relativeFrom="paragraph">
            <wp:posOffset>-534035</wp:posOffset>
          </wp:positionV>
          <wp:extent cx="7555663" cy="1343025"/>
          <wp:effectExtent l="0" t="0" r="0" b="0"/>
          <wp:wrapNone/>
          <wp:docPr id="1380615986" name="Picture 138061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61239" name="Picture 691361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663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054"/>
    <w:multiLevelType w:val="hybridMultilevel"/>
    <w:tmpl w:val="E960BD8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7B2"/>
    <w:multiLevelType w:val="hybridMultilevel"/>
    <w:tmpl w:val="87C2AF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475B6"/>
    <w:multiLevelType w:val="hybridMultilevel"/>
    <w:tmpl w:val="0C80DB5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1C01"/>
    <w:multiLevelType w:val="hybridMultilevel"/>
    <w:tmpl w:val="B53645E2"/>
    <w:lvl w:ilvl="0" w:tplc="821A9534">
      <w:start w:val="1"/>
      <w:numFmt w:val="lowerLetter"/>
      <w:lvlText w:val="(%1)"/>
      <w:lvlJc w:val="left"/>
      <w:pPr>
        <w:ind w:left="360" w:hanging="360"/>
      </w:pPr>
      <w:rPr>
        <w:rFonts w:cs="Apto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539D0"/>
    <w:multiLevelType w:val="hybridMultilevel"/>
    <w:tmpl w:val="1220B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05822"/>
    <w:multiLevelType w:val="hybridMultilevel"/>
    <w:tmpl w:val="9162F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280826"/>
    <w:multiLevelType w:val="hybridMultilevel"/>
    <w:tmpl w:val="D30625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16544"/>
    <w:multiLevelType w:val="hybridMultilevel"/>
    <w:tmpl w:val="6FCEC380"/>
    <w:lvl w:ilvl="0" w:tplc="821A9534">
      <w:start w:val="1"/>
      <w:numFmt w:val="lowerLetter"/>
      <w:lvlText w:val="(%1)"/>
      <w:lvlJc w:val="left"/>
      <w:pPr>
        <w:ind w:left="360" w:hanging="360"/>
      </w:pPr>
      <w:rPr>
        <w:rFonts w:cs="Apto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B640E2"/>
    <w:multiLevelType w:val="hybridMultilevel"/>
    <w:tmpl w:val="B62E910E"/>
    <w:lvl w:ilvl="0" w:tplc="23A031DC">
      <w:start w:val="5"/>
      <w:numFmt w:val="lowerLetter"/>
      <w:lvlText w:val="(%1)"/>
      <w:lvlJc w:val="left"/>
      <w:pPr>
        <w:ind w:left="360" w:hanging="360"/>
      </w:pPr>
      <w:rPr>
        <w:rFonts w:cs="Aptos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508D3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B11171C"/>
    <w:multiLevelType w:val="hybridMultilevel"/>
    <w:tmpl w:val="6DC46B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5109EE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EDA44D1"/>
    <w:multiLevelType w:val="hybridMultilevel"/>
    <w:tmpl w:val="96942C0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0D7980"/>
    <w:multiLevelType w:val="hybridMultilevel"/>
    <w:tmpl w:val="205E1256"/>
    <w:lvl w:ilvl="0" w:tplc="FFFFFFFF">
      <w:start w:val="5"/>
      <w:numFmt w:val="lowerLetter"/>
      <w:lvlText w:val="(%1)"/>
      <w:lvlJc w:val="left"/>
      <w:pPr>
        <w:ind w:left="360" w:hanging="360"/>
      </w:pPr>
      <w:rPr>
        <w:rFonts w:cs="Aptos" w:hint="default"/>
      </w:rPr>
    </w:lvl>
    <w:lvl w:ilvl="1" w:tplc="821A9534">
      <w:start w:val="1"/>
      <w:numFmt w:val="lowerLetter"/>
      <w:lvlText w:val="(%2)"/>
      <w:lvlJc w:val="left"/>
      <w:pPr>
        <w:ind w:left="360" w:hanging="360"/>
      </w:pPr>
      <w:rPr>
        <w:rFonts w:cs="Apto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94953">
    <w:abstractNumId w:val="7"/>
  </w:num>
  <w:num w:numId="2" w16cid:durableId="1473015757">
    <w:abstractNumId w:val="10"/>
  </w:num>
  <w:num w:numId="3" w16cid:durableId="552740387">
    <w:abstractNumId w:val="11"/>
  </w:num>
  <w:num w:numId="4" w16cid:durableId="1336376930">
    <w:abstractNumId w:val="5"/>
  </w:num>
  <w:num w:numId="5" w16cid:durableId="1949123253">
    <w:abstractNumId w:val="6"/>
  </w:num>
  <w:num w:numId="6" w16cid:durableId="815607490">
    <w:abstractNumId w:val="9"/>
  </w:num>
  <w:num w:numId="7" w16cid:durableId="800536857">
    <w:abstractNumId w:val="1"/>
  </w:num>
  <w:num w:numId="8" w16cid:durableId="1504590539">
    <w:abstractNumId w:val="12"/>
  </w:num>
  <w:num w:numId="9" w16cid:durableId="111486907">
    <w:abstractNumId w:val="3"/>
  </w:num>
  <w:num w:numId="10" w16cid:durableId="414016671">
    <w:abstractNumId w:val="8"/>
  </w:num>
  <w:num w:numId="11" w16cid:durableId="1419866790">
    <w:abstractNumId w:val="2"/>
  </w:num>
  <w:num w:numId="12" w16cid:durableId="85539816">
    <w:abstractNumId w:val="0"/>
  </w:num>
  <w:num w:numId="13" w16cid:durableId="438448778">
    <w:abstractNumId w:val="4"/>
  </w:num>
  <w:num w:numId="14" w16cid:durableId="1896232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EF"/>
    <w:rsid w:val="001152C0"/>
    <w:rsid w:val="00123702"/>
    <w:rsid w:val="00153149"/>
    <w:rsid w:val="00193D5C"/>
    <w:rsid w:val="00195B93"/>
    <w:rsid w:val="001B2E61"/>
    <w:rsid w:val="001B6543"/>
    <w:rsid w:val="0022213C"/>
    <w:rsid w:val="00297F2C"/>
    <w:rsid w:val="004F50EF"/>
    <w:rsid w:val="005149C1"/>
    <w:rsid w:val="005B17EF"/>
    <w:rsid w:val="005C2F97"/>
    <w:rsid w:val="00677631"/>
    <w:rsid w:val="0073131F"/>
    <w:rsid w:val="007D3FE3"/>
    <w:rsid w:val="007E7343"/>
    <w:rsid w:val="008723CA"/>
    <w:rsid w:val="008933ED"/>
    <w:rsid w:val="00970E8D"/>
    <w:rsid w:val="00981C00"/>
    <w:rsid w:val="009E1673"/>
    <w:rsid w:val="00A04291"/>
    <w:rsid w:val="00A273C0"/>
    <w:rsid w:val="00A37F8E"/>
    <w:rsid w:val="00B05E3C"/>
    <w:rsid w:val="00B5458F"/>
    <w:rsid w:val="00B62743"/>
    <w:rsid w:val="00BD4D87"/>
    <w:rsid w:val="00CA5527"/>
    <w:rsid w:val="00D51948"/>
    <w:rsid w:val="00E346B6"/>
    <w:rsid w:val="00F27A41"/>
    <w:rsid w:val="00F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B3A50"/>
  <w15:chartTrackingRefBased/>
  <w15:docId w15:val="{B92E8019-EC63-4DCA-BBCD-7543A60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ptos"/>
        <w:kern w:val="2"/>
        <w:sz w:val="24"/>
        <w:szCs w:val="24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C0"/>
    <w:pPr>
      <w:spacing w:line="259" w:lineRule="auto"/>
    </w:pPr>
    <w:rPr>
      <w:rFonts w:eastAsiaTheme="minorHAnsi" w:cstheme="minorBid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TTable1">
    <w:name w:val="SAT Table 1"/>
    <w:basedOn w:val="TableNormal"/>
    <w:uiPriority w:val="99"/>
    <w:rsid w:val="00123702"/>
    <w:pPr>
      <w:spacing w:before="120" w:after="120" w:line="240" w:lineRule="auto"/>
      <w:contextualSpacing/>
    </w:pPr>
    <w:rPr>
      <w:rFonts w:eastAsiaTheme="minorHAnsi"/>
      <w:kern w:val="0"/>
      <w:szCs w:val="22"/>
      <w:lang w:eastAsia="en-US" w:bidi="ar-SA"/>
      <w14:ligatures w14:val="none"/>
    </w:rPr>
    <w:tblPr>
      <w:tblStyleRowBandSize w:val="1"/>
      <w:tblStyleCol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FFFFFF" w:themeColor="background1"/>
        <w:sz w:val="24"/>
      </w:rPr>
      <w:tblPr/>
      <w:tcPr>
        <w:shd w:val="clear" w:color="auto" w:fill="354E4C"/>
      </w:tcPr>
    </w:tblStylePr>
    <w:tblStylePr w:type="lastRow">
      <w:rPr>
        <w:rFonts w:asciiTheme="minorHAnsi" w:hAnsiTheme="minorHAnsi"/>
        <w:color w:val="auto"/>
        <w:sz w:val="20"/>
      </w:rPr>
    </w:tblStylePr>
    <w:tblStylePr w:type="firstCol">
      <w:rPr>
        <w:rFonts w:asciiTheme="minorHAnsi" w:hAnsiTheme="minorHAnsi"/>
        <w:color w:val="auto"/>
        <w:sz w:val="20"/>
      </w:rPr>
    </w:tblStylePr>
    <w:tblStylePr w:type="lastCol">
      <w:rPr>
        <w:rFonts w:asciiTheme="minorHAnsi" w:hAnsiTheme="minorHAnsi"/>
        <w:color w:val="auto"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color w:val="auto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color w:val="auto"/>
        <w:sz w:val="20"/>
      </w:rPr>
      <w:tblPr/>
      <w:tcPr>
        <w:shd w:val="clear" w:color="auto" w:fill="BBDDD8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F50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EF"/>
    <w:rPr>
      <w:rFonts w:eastAsiaTheme="majorEastAsia" w:cstheme="majorBidi"/>
      <w:i/>
      <w:iCs/>
      <w:color w:val="0F4761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EF"/>
    <w:rPr>
      <w:rFonts w:eastAsiaTheme="majorEastAsia" w:cstheme="majorBidi"/>
      <w:color w:val="0F4761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EF"/>
    <w:rPr>
      <w:rFonts w:eastAsiaTheme="majorEastAsia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EF"/>
    <w:rPr>
      <w:rFonts w:eastAsiaTheme="majorEastAsia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EF"/>
    <w:rPr>
      <w:rFonts w:eastAsiaTheme="majorEastAsia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EF"/>
    <w:rPr>
      <w:rFonts w:eastAsiaTheme="majorEastAsia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4F5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50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aliases w:val="Report front page Subtitle"/>
    <w:basedOn w:val="Normal"/>
    <w:next w:val="Normal"/>
    <w:link w:val="SubtitleChar"/>
    <w:uiPriority w:val="11"/>
    <w:qFormat/>
    <w:rsid w:val="004F5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aliases w:val="Report front page Subtitle Char"/>
    <w:basedOn w:val="DefaultParagraphFont"/>
    <w:link w:val="Subtitle"/>
    <w:uiPriority w:val="11"/>
    <w:rsid w:val="004F50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50EF"/>
    <w:pPr>
      <w:spacing w:before="160"/>
      <w:jc w:val="center"/>
    </w:pPr>
    <w:rPr>
      <w:rFonts w:cs="Angsana New"/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4F50EF"/>
    <w:rPr>
      <w:rFonts w:cs="Angsana New"/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4F50EF"/>
    <w:pPr>
      <w:ind w:left="720"/>
      <w:contextualSpacing/>
    </w:pPr>
    <w:rPr>
      <w:rFonts w:cs="Angsana New"/>
      <w:szCs w:val="30"/>
    </w:rPr>
  </w:style>
  <w:style w:type="character" w:styleId="IntenseEmphasis">
    <w:name w:val="Intense Emphasis"/>
    <w:basedOn w:val="DefaultParagraphFont"/>
    <w:uiPriority w:val="21"/>
    <w:qFormat/>
    <w:rsid w:val="004F5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EF"/>
    <w:rPr>
      <w:rFonts w:cs="Angsana New"/>
      <w:i/>
      <w:iCs/>
      <w:color w:val="0F4761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4F50EF"/>
    <w:rPr>
      <w:b/>
      <w:bCs/>
      <w:smallCaps/>
      <w:color w:val="0F4761" w:themeColor="accent1" w:themeShade="BF"/>
      <w:spacing w:val="5"/>
    </w:rPr>
  </w:style>
  <w:style w:type="paragraph" w:customStyle="1" w:styleId="Heading1PreambleDetetc">
    <w:name w:val="Heading 1 Preamble Det etc"/>
    <w:basedOn w:val="Subtitle"/>
    <w:qFormat/>
    <w:rsid w:val="008933ED"/>
    <w:pPr>
      <w:shd w:val="clear" w:color="auto" w:fill="486866"/>
    </w:pPr>
    <w:rPr>
      <w:rFonts w:eastAsia="Times New Roman" w:cs="Times New Roman"/>
      <w:b/>
      <w:color w:val="FFFFFF" w:themeColor="background1"/>
    </w:rPr>
  </w:style>
  <w:style w:type="table" w:customStyle="1" w:styleId="TableGridLight1">
    <w:name w:val="Table Grid Light1"/>
    <w:basedOn w:val="TableNormal"/>
    <w:next w:val="TableNormal"/>
    <w:uiPriority w:val="40"/>
    <w:rsid w:val="004F50EF"/>
    <w:pPr>
      <w:spacing w:after="0" w:line="240" w:lineRule="auto"/>
    </w:pPr>
    <w:rPr>
      <w:rFonts w:eastAsia="Calibri" w:cstheme="minorBidi"/>
      <w:kern w:val="0"/>
      <w:sz w:val="22"/>
      <w:szCs w:val="22"/>
      <w:lang w:eastAsia="en-US" w:bidi="ar-SA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MediumShading1-Accent11">
    <w:name w:val="Medium Shading 1 - Accent 11"/>
    <w:basedOn w:val="TableNormal"/>
    <w:uiPriority w:val="63"/>
    <w:rsid w:val="004F50EF"/>
    <w:pPr>
      <w:spacing w:after="0" w:line="240" w:lineRule="auto"/>
    </w:pPr>
    <w:rPr>
      <w:rFonts w:ascii="Aptos" w:eastAsiaTheme="minorHAnsi" w:hAnsi="Aptos" w:cs="Times New Roman"/>
      <w:kern w:val="0"/>
      <w:sz w:val="22"/>
      <w:lang w:eastAsia="en-US" w:bidi="ar-SA"/>
      <w14:ligatures w14:val="none"/>
    </w:rPr>
    <w:tblPr>
      <w:tblStyleRowBandSize w:val="1"/>
      <w:tblStyleColBandSize w:val="1"/>
      <w:tblInd w:w="737" w:type="dxa"/>
      <w:tblBorders>
        <w:top w:val="single" w:sz="4" w:space="0" w:color="486866"/>
        <w:left w:val="single" w:sz="4" w:space="0" w:color="486866"/>
        <w:bottom w:val="single" w:sz="4" w:space="0" w:color="486866"/>
        <w:right w:val="single" w:sz="4" w:space="0" w:color="486866"/>
        <w:insideH w:val="single" w:sz="4" w:space="0" w:color="486866"/>
        <w:insideV w:val="single" w:sz="4" w:space="0" w:color="486866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spacing w:before="0" w:after="0" w:line="240" w:lineRule="auto"/>
        <w:jc w:val="center"/>
      </w:pPr>
      <w:rPr>
        <w:rFonts w:ascii="Aptos" w:hAnsi="Aptos"/>
        <w:b/>
        <w:bCs/>
        <w:color w:val="FFFFFF"/>
        <w:sz w:val="22"/>
      </w:rPr>
      <w:tblPr/>
      <w:tcPr>
        <w:tcBorders>
          <w:top w:val="single" w:sz="4" w:space="0" w:color="486866"/>
          <w:left w:val="single" w:sz="4" w:space="0" w:color="486866"/>
          <w:bottom w:val="single" w:sz="4" w:space="0" w:color="486866"/>
          <w:right w:val="single" w:sz="4" w:space="0" w:color="486866"/>
          <w:insideH w:val="single" w:sz="4" w:space="0" w:color="486866"/>
          <w:insideV w:val="single" w:sz="4" w:space="0" w:color="486866"/>
          <w:tl2br w:val="nil"/>
          <w:tr2bl w:val="nil"/>
        </w:tcBorders>
        <w:shd w:val="clear" w:color="auto" w:fill="486866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pPr>
        <w:jc w:val="center"/>
      </w:pPr>
      <w:rPr>
        <w:b w:val="0"/>
        <w:bCs/>
      </w:rPr>
    </w:tblStylePr>
    <w:tblStylePr w:type="band1Horz">
      <w:pPr>
        <w:jc w:val="left"/>
      </w:pPr>
      <w:tblPr/>
      <w:tcPr>
        <w:shd w:val="clear" w:color="auto" w:fill="BBDDD8"/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11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C0"/>
    <w:rPr>
      <w:rFonts w:eastAsiaTheme="minorHAnsi" w:cstheme="minorBidi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11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C0"/>
    <w:rPr>
      <w:rFonts w:eastAsiaTheme="minorHAnsi" w:cstheme="minorBidi"/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115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bmissions@sat.wa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ubmissions@sat.wa.gov.au" TargetMode="External"/><Relationship Id="rId2" Type="http://schemas.openxmlformats.org/officeDocument/2006/relationships/hyperlink" Target="mailto:submissions@sat.wa.gov.au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3741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Nicole</dc:creator>
  <cp:keywords/>
  <dc:description/>
  <cp:lastModifiedBy>Hull, Nicole</cp:lastModifiedBy>
  <cp:revision>4</cp:revision>
  <dcterms:created xsi:type="dcterms:W3CDTF">2026-05-13T07:25:00Z</dcterms:created>
  <dcterms:modified xsi:type="dcterms:W3CDTF">2026-06-08T08:37:00Z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2026-05-12T09:17:32Z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19e6448d-8e1c-412c-b459-8f9cc33b57f2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</Properties>
</file>