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8689" w14:textId="488497D1" w:rsidR="007D5C0E" w:rsidRPr="007D5C0E" w:rsidRDefault="007D5C0E" w:rsidP="00381D09">
      <w:pPr>
        <w:pStyle w:val="Heading1"/>
        <w:spacing w:after="120" w:line="240" w:lineRule="auto"/>
        <w:ind w:right="-142"/>
        <w:jc w:val="left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829A44A" wp14:editId="231228A2">
            <wp:simplePos x="0" y="0"/>
            <wp:positionH relativeFrom="page">
              <wp:posOffset>24765</wp:posOffset>
            </wp:positionH>
            <wp:positionV relativeFrom="paragraph">
              <wp:posOffset>-914400</wp:posOffset>
            </wp:positionV>
            <wp:extent cx="7535545" cy="1326147"/>
            <wp:effectExtent l="0" t="0" r="0" b="7620"/>
            <wp:wrapNone/>
            <wp:docPr id="1420948193" name="Picture 42" descr="Public Sector Commission name and branding with the Government of Western Australia state crest. Includes the text &quot;Building a high performing, future fit sector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48193" name="Picture 42" descr="Public Sector Commission name and branding with the Government of Western Australia state crest. Includes the text &quot;Building a high performing, future fit sector&quot;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32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60">
        <w:t xml:space="preserve">Backfilling </w:t>
      </w:r>
      <w:r w:rsidR="00A20EFE">
        <w:t>T</w:t>
      </w:r>
      <w:r w:rsidR="00E82960">
        <w:t xml:space="preserve">emporary </w:t>
      </w:r>
      <w:r w:rsidR="00A20EFE">
        <w:t>V</w:t>
      </w:r>
      <w:r w:rsidR="00E82960">
        <w:t>acancies</w:t>
      </w:r>
      <w:r w:rsidRPr="007D5C0E">
        <w:t>: Decision Tree</w:t>
      </w:r>
      <w:r w:rsidR="00C40573">
        <w:t xml:space="preserve"> (text)</w:t>
      </w:r>
    </w:p>
    <w:p w14:paraId="31A5866B" w14:textId="21C10C9D" w:rsidR="00B67FF4" w:rsidRDefault="00B67FF4" w:rsidP="00381D0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the text version of the </w:t>
      </w:r>
      <w:r w:rsidR="00A20EFE">
        <w:rPr>
          <w:rFonts w:ascii="Arial" w:hAnsi="Arial" w:cs="Arial"/>
        </w:rPr>
        <w:t xml:space="preserve">Backfilling Temporary </w:t>
      </w:r>
      <w:r>
        <w:rPr>
          <w:rFonts w:ascii="Arial" w:hAnsi="Arial" w:cs="Arial"/>
        </w:rPr>
        <w:t xml:space="preserve">Vacancies: Decision Tree on </w:t>
      </w:r>
      <w:hyperlink r:id="rId9" w:history="1">
        <w:r>
          <w:rPr>
            <w:rStyle w:val="Hyperlink"/>
            <w:rFonts w:ascii="Arial" w:hAnsi="Arial" w:cs="Arial"/>
          </w:rPr>
          <w:t>WA.gov.au</w:t>
        </w:r>
      </w:hyperlink>
      <w:r>
        <w:rPr>
          <w:rFonts w:ascii="Arial" w:hAnsi="Arial" w:cs="Arial"/>
        </w:rPr>
        <w:t xml:space="preserve">. </w:t>
      </w:r>
    </w:p>
    <w:p w14:paraId="601831C6" w14:textId="7AA63FFF" w:rsidR="007D5C0E" w:rsidRPr="007D5C0E" w:rsidRDefault="007D5C0E" w:rsidP="00381D09">
      <w:pPr>
        <w:spacing w:after="120" w:line="240" w:lineRule="auto"/>
        <w:rPr>
          <w:rFonts w:ascii="Century Gothic" w:hAnsi="Century Gothic"/>
          <w:b/>
          <w:bCs/>
        </w:rPr>
      </w:pPr>
      <w:r w:rsidRPr="007D5C0E">
        <w:rPr>
          <w:rFonts w:ascii="Arial" w:hAnsi="Arial" w:cs="Arial"/>
        </w:rPr>
        <w:t xml:space="preserve">Read </w:t>
      </w:r>
      <w:hyperlink r:id="rId10" w:history="1">
        <w:r w:rsidR="00E82960" w:rsidRPr="001A4894">
          <w:rPr>
            <w:rStyle w:val="Hyperlink"/>
            <w:rFonts w:ascii="Arial" w:hAnsi="Arial" w:cs="Arial"/>
            <w:color w:val="0070C0"/>
          </w:rPr>
          <w:t>Commissioner’s Instruction 50</w:t>
        </w:r>
      </w:hyperlink>
      <w:r w:rsidR="00E82960" w:rsidRPr="001A4894">
        <w:rPr>
          <w:color w:val="0070C0"/>
        </w:rPr>
        <w:t xml:space="preserve"> </w:t>
      </w:r>
      <w:r w:rsidRPr="007D5C0E">
        <w:rPr>
          <w:rFonts w:ascii="Arial" w:hAnsi="Arial" w:cs="Arial"/>
        </w:rPr>
        <w:t xml:space="preserve">on </w:t>
      </w:r>
      <w:r w:rsidR="00E82960">
        <w:rPr>
          <w:rFonts w:ascii="Arial" w:hAnsi="Arial" w:cs="Arial"/>
        </w:rPr>
        <w:t>backfilling temporary</w:t>
      </w:r>
      <w:r w:rsidRPr="007D5C0E">
        <w:rPr>
          <w:rFonts w:ascii="Arial" w:hAnsi="Arial" w:cs="Arial"/>
        </w:rPr>
        <w:t xml:space="preserve"> vacancies for more detail on the summary information below. All recruitment must be based on merit, equity and probity.</w:t>
      </w:r>
    </w:p>
    <w:p w14:paraId="1B3A6A60" w14:textId="5211D43C" w:rsidR="007D5C0E" w:rsidRPr="00B04FEA" w:rsidRDefault="007D5C0E" w:rsidP="00381D09">
      <w:pPr>
        <w:spacing w:before="240"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04FEA">
        <w:rPr>
          <w:rFonts w:ascii="Arial" w:hAnsi="Arial" w:cs="Arial"/>
          <w:b/>
          <w:bCs/>
          <w:sz w:val="28"/>
          <w:szCs w:val="28"/>
        </w:rPr>
        <w:t xml:space="preserve">1. </w:t>
      </w:r>
      <w:r w:rsidR="00E82960" w:rsidRPr="00B04FEA">
        <w:rPr>
          <w:rFonts w:ascii="Arial" w:hAnsi="Arial" w:cs="Arial"/>
          <w:b/>
          <w:bCs/>
          <w:sz w:val="28"/>
          <w:szCs w:val="28"/>
        </w:rPr>
        <w:t xml:space="preserve">Appointments of </w:t>
      </w:r>
      <w:r w:rsidR="00A20EFE">
        <w:rPr>
          <w:rFonts w:ascii="Arial" w:hAnsi="Arial" w:cs="Arial"/>
          <w:b/>
          <w:bCs/>
          <w:sz w:val="28"/>
          <w:szCs w:val="28"/>
        </w:rPr>
        <w:t>up to</w:t>
      </w:r>
      <w:r w:rsidR="00E82960" w:rsidRPr="00B04FEA">
        <w:rPr>
          <w:rFonts w:ascii="Arial" w:hAnsi="Arial" w:cs="Arial"/>
          <w:b/>
          <w:bCs/>
          <w:sz w:val="28"/>
          <w:szCs w:val="28"/>
        </w:rPr>
        <w:t xml:space="preserve"> 12 months</w:t>
      </w:r>
    </w:p>
    <w:p w14:paraId="2B0F9881" w14:textId="0887E143" w:rsidR="007D5C0E" w:rsidRPr="006D373D" w:rsidRDefault="001A4894" w:rsidP="00381D09">
      <w:pPr>
        <w:spacing w:after="120" w:line="240" w:lineRule="auto"/>
        <w:rPr>
          <w:rFonts w:ascii="Arial" w:hAnsi="Arial" w:cs="Arial"/>
          <w:b/>
          <w:bCs/>
        </w:rPr>
      </w:pPr>
      <w:r w:rsidRPr="006D373D">
        <w:rPr>
          <w:rFonts w:ascii="Arial" w:hAnsi="Arial" w:cs="Arial"/>
          <w:b/>
          <w:bCs/>
        </w:rPr>
        <w:t>A. No advertising</w:t>
      </w:r>
    </w:p>
    <w:p w14:paraId="3F5082E5" w14:textId="77777777" w:rsidR="00583EF2" w:rsidRPr="006D373D" w:rsidRDefault="001A4894" w:rsidP="00381D09">
      <w:pPr>
        <w:pStyle w:val="ListParagraph"/>
        <w:numPr>
          <w:ilvl w:val="0"/>
          <w:numId w:val="5"/>
        </w:numPr>
        <w:spacing w:after="120" w:line="240" w:lineRule="auto"/>
        <w:ind w:left="426"/>
        <w:rPr>
          <w:rFonts w:ascii="Arial" w:hAnsi="Arial" w:cs="Arial"/>
        </w:rPr>
      </w:pPr>
      <w:r w:rsidRPr="006D373D">
        <w:rPr>
          <w:rFonts w:ascii="Arial" w:hAnsi="Arial" w:cs="Arial"/>
        </w:rPr>
        <w:t>Agency employees or external people can be appointed without advertising if it is assessed they can discharge the requirements of the position</w:t>
      </w:r>
      <w:r w:rsidR="00311E1E" w:rsidRPr="00583EF2">
        <w:rPr>
          <w:rStyle w:val="EndnoteReference"/>
          <w:rFonts w:ascii="Arial" w:hAnsi="Arial" w:cs="Arial"/>
        </w:rPr>
        <w:endnoteReference w:id="1"/>
      </w:r>
      <w:r w:rsidRPr="006D373D">
        <w:rPr>
          <w:rFonts w:ascii="Arial" w:hAnsi="Arial" w:cs="Arial"/>
        </w:rPr>
        <w:t xml:space="preserve">. </w:t>
      </w:r>
    </w:p>
    <w:p w14:paraId="5646A98E" w14:textId="58A33F38" w:rsidR="001A4894" w:rsidRPr="006D373D" w:rsidRDefault="001A4894" w:rsidP="00381D09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6D373D">
        <w:rPr>
          <w:rFonts w:ascii="Arial" w:hAnsi="Arial" w:cs="Arial"/>
        </w:rPr>
        <w:t>Appointments can be acting, secondment (of current employees) or fixed term arrangement</w:t>
      </w:r>
      <w:r w:rsidR="006A30DD" w:rsidRPr="006D373D">
        <w:rPr>
          <w:rFonts w:ascii="Arial" w:hAnsi="Arial" w:cs="Arial"/>
        </w:rPr>
        <w:t xml:space="preserve"> </w:t>
      </w:r>
      <w:r w:rsidRPr="006D373D">
        <w:rPr>
          <w:rFonts w:ascii="Arial" w:hAnsi="Arial" w:cs="Arial"/>
        </w:rPr>
        <w:t>(for external people).</w:t>
      </w:r>
    </w:p>
    <w:p w14:paraId="612E7268" w14:textId="583E6191" w:rsidR="001A4894" w:rsidRPr="006D373D" w:rsidRDefault="001A4894" w:rsidP="00381D09">
      <w:pPr>
        <w:spacing w:before="240" w:after="120" w:line="240" w:lineRule="auto"/>
        <w:rPr>
          <w:rFonts w:ascii="Arial" w:hAnsi="Arial" w:cs="Arial"/>
          <w:b/>
          <w:bCs/>
        </w:rPr>
      </w:pPr>
      <w:r w:rsidRPr="006D373D">
        <w:rPr>
          <w:rFonts w:ascii="Arial" w:hAnsi="Arial" w:cs="Arial"/>
          <w:b/>
          <w:bCs/>
        </w:rPr>
        <w:t>B. Advertising</w:t>
      </w:r>
    </w:p>
    <w:p w14:paraId="43DD9510" w14:textId="4F7DAA09" w:rsidR="007D5C0E" w:rsidRPr="00583EF2" w:rsidRDefault="00583EF2" w:rsidP="00381D09">
      <w:pPr>
        <w:numPr>
          <w:ilvl w:val="0"/>
          <w:numId w:val="2"/>
        </w:numPr>
        <w:spacing w:after="120" w:line="24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Advertising m</w:t>
      </w:r>
      <w:r w:rsidR="001A4894" w:rsidRPr="00583EF2">
        <w:rPr>
          <w:rFonts w:ascii="Arial" w:hAnsi="Arial" w:cs="Arial"/>
        </w:rPr>
        <w:t xml:space="preserve">ay </w:t>
      </w:r>
      <w:r>
        <w:rPr>
          <w:rFonts w:ascii="Arial" w:hAnsi="Arial" w:cs="Arial"/>
        </w:rPr>
        <w:t xml:space="preserve">be </w:t>
      </w:r>
      <w:r w:rsidR="001A4894" w:rsidRPr="00583EF2">
        <w:rPr>
          <w:rFonts w:ascii="Arial" w:hAnsi="Arial" w:cs="Arial"/>
        </w:rPr>
        <w:t>use</w:t>
      </w:r>
      <w:r>
        <w:rPr>
          <w:rFonts w:ascii="Arial" w:hAnsi="Arial" w:cs="Arial"/>
        </w:rPr>
        <w:t>d</w:t>
      </w:r>
      <w:r w:rsidR="001A4894" w:rsidRPr="00583EF2">
        <w:rPr>
          <w:rFonts w:ascii="Arial" w:hAnsi="Arial" w:cs="Arial"/>
        </w:rPr>
        <w:t xml:space="preserve"> if a temporary appointment is not successful through option A </w:t>
      </w:r>
      <w:r w:rsidR="006A30DD" w:rsidRPr="006A30DD">
        <w:rPr>
          <w:rFonts w:ascii="Arial" w:hAnsi="Arial" w:cs="Arial"/>
          <w:b/>
          <w:bCs/>
        </w:rPr>
        <w:t>or</w:t>
      </w:r>
      <w:r w:rsidR="001A4894" w:rsidRPr="00583EF2">
        <w:rPr>
          <w:rFonts w:ascii="Arial" w:hAnsi="Arial" w:cs="Arial"/>
        </w:rPr>
        <w:t xml:space="preserve"> if the agency decides to move straight to advertising</w:t>
      </w:r>
      <w:r>
        <w:rPr>
          <w:rFonts w:ascii="Arial" w:hAnsi="Arial" w:cs="Arial"/>
        </w:rPr>
        <w:t>.</w:t>
      </w:r>
    </w:p>
    <w:p w14:paraId="26AC5DE2" w14:textId="1107ED3F" w:rsidR="007D5C0E" w:rsidRPr="002E3602" w:rsidRDefault="00A20EFE" w:rsidP="00381D09">
      <w:pPr>
        <w:numPr>
          <w:ilvl w:val="0"/>
          <w:numId w:val="2"/>
        </w:numPr>
        <w:spacing w:after="120" w:line="240" w:lineRule="auto"/>
        <w:ind w:left="425" w:hanging="35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The a</w:t>
      </w:r>
      <w:r w:rsidR="001A4894" w:rsidRPr="002E3602">
        <w:rPr>
          <w:rFonts w:ascii="Arial" w:hAnsi="Arial" w:cs="Arial"/>
          <w:szCs w:val="24"/>
        </w:rPr>
        <w:t>gency deci</w:t>
      </w:r>
      <w:r w:rsidR="00583EF2" w:rsidRPr="002E3602">
        <w:rPr>
          <w:rFonts w:ascii="Arial" w:hAnsi="Arial" w:cs="Arial"/>
          <w:szCs w:val="24"/>
        </w:rPr>
        <w:t>des</w:t>
      </w:r>
      <w:r w:rsidR="001A4894" w:rsidRPr="002E3602">
        <w:rPr>
          <w:rFonts w:ascii="Arial" w:hAnsi="Arial" w:cs="Arial"/>
          <w:szCs w:val="24"/>
        </w:rPr>
        <w:t xml:space="preserve"> where and how widely to advertise</w:t>
      </w:r>
      <w:r w:rsidR="00583EF2" w:rsidRPr="002E3602">
        <w:rPr>
          <w:rFonts w:ascii="Arial" w:hAnsi="Arial" w:cs="Arial"/>
          <w:szCs w:val="24"/>
        </w:rPr>
        <w:t>.</w:t>
      </w:r>
    </w:p>
    <w:p w14:paraId="1BE7A971" w14:textId="54A2E77C" w:rsidR="002D26E5" w:rsidRPr="002E3602" w:rsidRDefault="007F481D" w:rsidP="00381D09">
      <w:pPr>
        <w:spacing w:after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4D7862" w:rsidRPr="002E3602">
        <w:rPr>
          <w:rFonts w:ascii="Arial" w:hAnsi="Arial" w:cs="Arial"/>
          <w:szCs w:val="24"/>
        </w:rPr>
        <w:t xml:space="preserve">sing either of these </w:t>
      </w:r>
      <w:r w:rsidR="00381D09">
        <w:rPr>
          <w:rFonts w:ascii="Arial" w:hAnsi="Arial" w:cs="Arial"/>
          <w:szCs w:val="24"/>
        </w:rPr>
        <w:t xml:space="preserve">advertising </w:t>
      </w:r>
      <w:r w:rsidR="00F16A8B">
        <w:rPr>
          <w:rFonts w:ascii="Arial" w:hAnsi="Arial" w:cs="Arial"/>
          <w:szCs w:val="24"/>
        </w:rPr>
        <w:t>options</w:t>
      </w:r>
      <w:r w:rsidR="004D7862" w:rsidRPr="002E3602">
        <w:rPr>
          <w:rFonts w:ascii="Arial" w:hAnsi="Arial" w:cs="Arial"/>
          <w:szCs w:val="24"/>
        </w:rPr>
        <w:t>, assess and select</w:t>
      </w:r>
      <w:r w:rsidR="004D7862" w:rsidRPr="002E3602">
        <w:rPr>
          <w:rStyle w:val="EndnoteReference"/>
          <w:rFonts w:ascii="Arial" w:hAnsi="Arial" w:cs="Arial"/>
          <w:szCs w:val="24"/>
        </w:rPr>
        <w:endnoteReference w:id="2"/>
      </w:r>
      <w:r w:rsidR="00583EF2" w:rsidRPr="002E3602">
        <w:rPr>
          <w:rFonts w:ascii="Arial" w:hAnsi="Arial" w:cs="Arial"/>
          <w:szCs w:val="24"/>
        </w:rPr>
        <w:t xml:space="preserve"> </w:t>
      </w:r>
      <w:r w:rsidR="004D7862" w:rsidRPr="002E3602">
        <w:rPr>
          <w:rFonts w:ascii="Arial" w:hAnsi="Arial" w:cs="Arial"/>
          <w:szCs w:val="24"/>
        </w:rPr>
        <w:t>applicants identified and appoint</w:t>
      </w:r>
      <w:r w:rsidR="004D7862" w:rsidRPr="002E3602">
        <w:rPr>
          <w:rStyle w:val="EndnoteReference"/>
          <w:rFonts w:ascii="Arial" w:hAnsi="Arial" w:cs="Arial"/>
          <w:szCs w:val="24"/>
        </w:rPr>
        <w:endnoteReference w:id="3"/>
      </w:r>
      <w:r w:rsidR="004D7862" w:rsidRPr="002E3602">
        <w:rPr>
          <w:rFonts w:ascii="Arial" w:hAnsi="Arial" w:cs="Arial"/>
          <w:szCs w:val="24"/>
        </w:rPr>
        <w:t xml:space="preserve"> to the temporary vacancy. Record decisions for all recruitment processes.</w:t>
      </w:r>
    </w:p>
    <w:p w14:paraId="3D9A5D20" w14:textId="5F2A6122" w:rsidR="007D5C0E" w:rsidRPr="00B04FEA" w:rsidRDefault="007D5C0E" w:rsidP="00381D09">
      <w:pPr>
        <w:spacing w:before="240"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04FEA">
        <w:rPr>
          <w:rFonts w:ascii="Arial" w:hAnsi="Arial" w:cs="Arial"/>
          <w:b/>
          <w:bCs/>
          <w:sz w:val="28"/>
          <w:szCs w:val="28"/>
        </w:rPr>
        <w:t xml:space="preserve">2. </w:t>
      </w:r>
      <w:r w:rsidR="001A4894" w:rsidRPr="00B04FEA">
        <w:rPr>
          <w:rFonts w:ascii="Arial" w:hAnsi="Arial" w:cs="Arial"/>
          <w:b/>
          <w:bCs/>
          <w:sz w:val="28"/>
          <w:szCs w:val="28"/>
        </w:rPr>
        <w:t>Appointments of more than 12 months</w:t>
      </w:r>
    </w:p>
    <w:p w14:paraId="34D6C877" w14:textId="1FACAA11" w:rsidR="002E3602" w:rsidRPr="002E3602" w:rsidRDefault="001A4894" w:rsidP="00381D09">
      <w:pPr>
        <w:tabs>
          <w:tab w:val="left" w:pos="1306"/>
        </w:tabs>
        <w:spacing w:after="120" w:line="240" w:lineRule="auto"/>
        <w:rPr>
          <w:rFonts w:ascii="Arial" w:hAnsi="Arial" w:cs="Arial"/>
          <w:color w:val="0070C0"/>
          <w:szCs w:val="24"/>
        </w:rPr>
      </w:pPr>
      <w:r w:rsidRPr="002E3602">
        <w:rPr>
          <w:rFonts w:ascii="Arial" w:hAnsi="Arial" w:cs="Arial"/>
          <w:szCs w:val="24"/>
        </w:rPr>
        <w:t>Use</w:t>
      </w:r>
      <w:r w:rsidRPr="002E3602">
        <w:rPr>
          <w:rFonts w:ascii="Arial" w:hAnsi="Arial" w:cs="Arial"/>
          <w:b/>
          <w:bCs/>
          <w:szCs w:val="24"/>
        </w:rPr>
        <w:t xml:space="preserve"> </w:t>
      </w:r>
      <w:r w:rsidRPr="002E3602">
        <w:rPr>
          <w:rFonts w:ascii="Arial" w:hAnsi="Arial" w:cs="Arial"/>
          <w:szCs w:val="24"/>
        </w:rPr>
        <w:t xml:space="preserve">the </w:t>
      </w:r>
      <w:hyperlink r:id="rId11" w:history="1">
        <w:r w:rsidRPr="002E3602">
          <w:rPr>
            <w:rStyle w:val="Hyperlink"/>
            <w:rFonts w:ascii="Arial" w:hAnsi="Arial" w:cs="Arial"/>
            <w:color w:val="0070C0"/>
            <w:szCs w:val="24"/>
          </w:rPr>
          <w:t>Fixed Term Vacancies: Decision Tree</w:t>
        </w:r>
      </w:hyperlink>
      <w:r w:rsidRPr="002E3602">
        <w:rPr>
          <w:rFonts w:ascii="Arial" w:hAnsi="Arial" w:cs="Arial"/>
          <w:color w:val="0070C0"/>
          <w:szCs w:val="24"/>
        </w:rPr>
        <w:t>.</w:t>
      </w:r>
    </w:p>
    <w:p w14:paraId="72607206" w14:textId="33C75AED" w:rsidR="004D526C" w:rsidRPr="002E3602" w:rsidRDefault="002E3602" w:rsidP="00381D09">
      <w:pPr>
        <w:tabs>
          <w:tab w:val="left" w:pos="1306"/>
        </w:tabs>
        <w:spacing w:after="120" w:line="240" w:lineRule="auto"/>
        <w:rPr>
          <w:rFonts w:ascii="Arial" w:hAnsi="Arial" w:cs="Arial"/>
          <w:szCs w:val="24"/>
        </w:rPr>
      </w:pPr>
      <w:r w:rsidRPr="002E3602">
        <w:rPr>
          <w:rFonts w:ascii="Arial" w:hAnsi="Arial" w:cs="Arial"/>
          <w:szCs w:val="24"/>
        </w:rPr>
        <w:t xml:space="preserve">Agencies must state </w:t>
      </w:r>
      <w:r w:rsidR="00A20EFE">
        <w:rPr>
          <w:rFonts w:ascii="Arial" w:hAnsi="Arial" w:cs="Arial"/>
          <w:szCs w:val="24"/>
        </w:rPr>
        <w:t xml:space="preserve">the </w:t>
      </w:r>
      <w:r w:rsidRPr="002E3602">
        <w:rPr>
          <w:rFonts w:ascii="Arial" w:hAnsi="Arial" w:cs="Arial"/>
          <w:szCs w:val="24"/>
        </w:rPr>
        <w:t>possibility of permanency when advertising or us</w:t>
      </w:r>
      <w:r w:rsidR="006D373D">
        <w:rPr>
          <w:rFonts w:ascii="Arial" w:hAnsi="Arial" w:cs="Arial"/>
          <w:szCs w:val="24"/>
        </w:rPr>
        <w:t>e</w:t>
      </w:r>
      <w:r w:rsidRPr="002E3602">
        <w:rPr>
          <w:rFonts w:ascii="Arial" w:hAnsi="Arial" w:cs="Arial"/>
          <w:szCs w:val="24"/>
        </w:rPr>
        <w:t xml:space="preserve"> limited search </w:t>
      </w:r>
      <w:r w:rsidR="00A20EFE">
        <w:rPr>
          <w:rFonts w:ascii="Arial" w:hAnsi="Arial" w:cs="Arial"/>
          <w:szCs w:val="24"/>
        </w:rPr>
        <w:t xml:space="preserve">methods </w:t>
      </w:r>
      <w:r w:rsidRPr="002E3602">
        <w:rPr>
          <w:rFonts w:ascii="Arial" w:hAnsi="Arial" w:cs="Arial"/>
          <w:szCs w:val="24"/>
        </w:rPr>
        <w:t xml:space="preserve">for backfilling temporary vacancies for more than 12 months. Refer to </w:t>
      </w:r>
      <w:r w:rsidR="00A20EFE">
        <w:rPr>
          <w:rFonts w:ascii="Arial" w:hAnsi="Arial" w:cs="Arial"/>
          <w:szCs w:val="24"/>
        </w:rPr>
        <w:t>the</w:t>
      </w:r>
      <w:r w:rsidR="00A20EFE" w:rsidRPr="002E3602">
        <w:rPr>
          <w:rFonts w:ascii="Arial" w:hAnsi="Arial" w:cs="Arial"/>
          <w:szCs w:val="24"/>
        </w:rPr>
        <w:t xml:space="preserve"> </w:t>
      </w:r>
      <w:r w:rsidRPr="002E3602">
        <w:rPr>
          <w:rFonts w:ascii="Arial" w:hAnsi="Arial" w:cs="Arial"/>
          <w:szCs w:val="24"/>
        </w:rPr>
        <w:t>agency policy on backfilling.</w:t>
      </w:r>
    </w:p>
    <w:p w14:paraId="75BC341F" w14:textId="04232FAA" w:rsidR="001D63E6" w:rsidRPr="001D63E6" w:rsidRDefault="001D63E6" w:rsidP="00381D09">
      <w:pPr>
        <w:pStyle w:val="Heading2"/>
        <w:spacing w:after="0" w:line="240" w:lineRule="auto"/>
      </w:pPr>
      <w:r w:rsidRPr="0016494C">
        <w:t>Notes</w:t>
      </w:r>
    </w:p>
    <w:sectPr w:rsidR="001D63E6" w:rsidRPr="001D63E6" w:rsidSect="00033835">
      <w:footerReference w:type="default" r:id="rId12"/>
      <w:footerReference w:type="first" r:id="rId13"/>
      <w:endnotePr>
        <w:numFmt w:val="decimal"/>
      </w:endnotePr>
      <w:pgSz w:w="11906" w:h="16838"/>
      <w:pgMar w:top="1440" w:right="991" w:bottom="1134" w:left="1134" w:header="708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F425" w14:textId="77777777" w:rsidR="009B1B6A" w:rsidRDefault="009B1B6A" w:rsidP="007D5C0E">
      <w:pPr>
        <w:spacing w:after="0" w:line="240" w:lineRule="auto"/>
      </w:pPr>
      <w:r>
        <w:separator/>
      </w:r>
    </w:p>
  </w:endnote>
  <w:endnote w:type="continuationSeparator" w:id="0">
    <w:p w14:paraId="687EA916" w14:textId="77777777" w:rsidR="009B1B6A" w:rsidRDefault="009B1B6A" w:rsidP="007D5C0E">
      <w:pPr>
        <w:spacing w:after="0" w:line="240" w:lineRule="auto"/>
      </w:pPr>
      <w:r>
        <w:continuationSeparator/>
      </w:r>
    </w:p>
  </w:endnote>
  <w:endnote w:id="1">
    <w:p w14:paraId="01E82511" w14:textId="0B1761F4" w:rsidR="00311E1E" w:rsidRPr="001D63E6" w:rsidRDefault="00311E1E" w:rsidP="001D63E6">
      <w:pPr>
        <w:pStyle w:val="EndnoteText"/>
        <w:spacing w:after="120"/>
        <w:rPr>
          <w:rFonts w:ascii="Arial" w:hAnsi="Arial" w:cs="Arial"/>
          <w:sz w:val="24"/>
          <w:szCs w:val="24"/>
        </w:rPr>
      </w:pPr>
      <w:r w:rsidRPr="001D63E6">
        <w:rPr>
          <w:rStyle w:val="EndnoteReference"/>
          <w:rFonts w:ascii="Arial" w:hAnsi="Arial" w:cs="Arial"/>
          <w:sz w:val="24"/>
          <w:szCs w:val="24"/>
        </w:rPr>
        <w:endnoteRef/>
      </w:r>
      <w:r w:rsidRPr="001D63E6">
        <w:rPr>
          <w:rFonts w:ascii="Arial" w:hAnsi="Arial" w:cs="Arial"/>
          <w:sz w:val="24"/>
          <w:szCs w:val="24"/>
        </w:rPr>
        <w:t xml:space="preserve"> </w:t>
      </w:r>
      <w:r w:rsidR="002E3602">
        <w:rPr>
          <w:rFonts w:ascii="Arial" w:hAnsi="Arial" w:cs="Arial"/>
          <w:sz w:val="24"/>
          <w:szCs w:val="24"/>
        </w:rPr>
        <w:t xml:space="preserve">Position: </w:t>
      </w:r>
      <w:r w:rsidRPr="001D63E6">
        <w:rPr>
          <w:rFonts w:ascii="Arial" w:hAnsi="Arial" w:cs="Arial"/>
          <w:sz w:val="24"/>
          <w:szCs w:val="24"/>
        </w:rPr>
        <w:t>Suitability requirements for backfilling temporary vacancies up to 12 months do not need to be the same as when appointing to permanent and fixed term vacancies.</w:t>
      </w:r>
      <w:r w:rsidR="00363075" w:rsidRPr="001D63E6">
        <w:rPr>
          <w:rFonts w:ascii="Arial" w:hAnsi="Arial" w:cs="Arial"/>
          <w:sz w:val="24"/>
          <w:szCs w:val="24"/>
        </w:rPr>
        <w:t xml:space="preserve"> The person must be able to perform the duties.</w:t>
      </w:r>
    </w:p>
  </w:endnote>
  <w:endnote w:id="2">
    <w:p w14:paraId="69C1F64F" w14:textId="01F807EC" w:rsidR="004D7862" w:rsidRPr="001D63E6" w:rsidRDefault="004D7862" w:rsidP="001D63E6">
      <w:pPr>
        <w:pStyle w:val="EndnoteText"/>
        <w:spacing w:after="120"/>
        <w:rPr>
          <w:rFonts w:ascii="Arial" w:hAnsi="Arial" w:cs="Arial"/>
          <w:sz w:val="24"/>
          <w:szCs w:val="24"/>
        </w:rPr>
      </w:pPr>
      <w:r w:rsidRPr="001D63E6">
        <w:rPr>
          <w:rStyle w:val="EndnoteReference"/>
          <w:rFonts w:ascii="Arial" w:hAnsi="Arial" w:cs="Arial"/>
          <w:sz w:val="24"/>
          <w:szCs w:val="24"/>
        </w:rPr>
        <w:endnoteRef/>
      </w:r>
      <w:r w:rsidRPr="001D63E6">
        <w:rPr>
          <w:rFonts w:ascii="Arial" w:hAnsi="Arial" w:cs="Arial"/>
          <w:sz w:val="24"/>
          <w:szCs w:val="24"/>
        </w:rPr>
        <w:t xml:space="preserve"> </w:t>
      </w:r>
      <w:r w:rsidR="002E3602">
        <w:rPr>
          <w:rFonts w:ascii="Arial" w:hAnsi="Arial" w:cs="Arial"/>
          <w:sz w:val="24"/>
          <w:szCs w:val="24"/>
        </w:rPr>
        <w:t xml:space="preserve">Select: </w:t>
      </w:r>
      <w:r w:rsidRPr="001D63E6">
        <w:rPr>
          <w:rFonts w:ascii="Arial" w:hAnsi="Arial" w:cs="Arial"/>
          <w:sz w:val="24"/>
          <w:szCs w:val="24"/>
        </w:rPr>
        <w:t>Use an inclusive recruitment process to assess suitability and identify unsuccessful applicants. Agencies must advise unsuccessful applicants of their right to lodge a breach of standard claim where eligible (check with HR).</w:t>
      </w:r>
    </w:p>
  </w:endnote>
  <w:endnote w:id="3">
    <w:p w14:paraId="09AF8BC5" w14:textId="01FEFE04" w:rsidR="004D7862" w:rsidRPr="001D63E6" w:rsidRDefault="004D7862" w:rsidP="001D63E6">
      <w:pPr>
        <w:pStyle w:val="EndnoteText"/>
        <w:spacing w:after="120"/>
        <w:rPr>
          <w:rFonts w:ascii="Arial" w:hAnsi="Arial" w:cs="Arial"/>
          <w:sz w:val="24"/>
          <w:szCs w:val="24"/>
        </w:rPr>
      </w:pPr>
      <w:r w:rsidRPr="001D63E6">
        <w:rPr>
          <w:rStyle w:val="EndnoteReference"/>
          <w:rFonts w:ascii="Arial" w:hAnsi="Arial" w:cs="Arial"/>
          <w:sz w:val="24"/>
          <w:szCs w:val="24"/>
        </w:rPr>
        <w:endnoteRef/>
      </w:r>
      <w:r w:rsidRPr="001D63E6">
        <w:rPr>
          <w:rFonts w:ascii="Arial" w:hAnsi="Arial" w:cs="Arial"/>
          <w:sz w:val="24"/>
          <w:szCs w:val="24"/>
        </w:rPr>
        <w:t xml:space="preserve"> </w:t>
      </w:r>
      <w:r w:rsidR="002E3602">
        <w:rPr>
          <w:rFonts w:ascii="Arial" w:hAnsi="Arial" w:cs="Arial"/>
          <w:sz w:val="24"/>
          <w:szCs w:val="24"/>
        </w:rPr>
        <w:t xml:space="preserve">Appoint: </w:t>
      </w:r>
      <w:r w:rsidR="00A20EFE">
        <w:rPr>
          <w:rFonts w:ascii="Arial" w:hAnsi="Arial" w:cs="Arial"/>
          <w:sz w:val="24"/>
          <w:szCs w:val="24"/>
        </w:rPr>
        <w:t>S</w:t>
      </w:r>
      <w:r w:rsidRPr="001D63E6">
        <w:rPr>
          <w:rFonts w:ascii="Arial" w:hAnsi="Arial" w:cs="Arial"/>
          <w:sz w:val="24"/>
          <w:szCs w:val="24"/>
        </w:rPr>
        <w:t>elect an employee for acting or secondment or appoint a person on a fixed term contract. Suitability requirements for temporary backfilling can differ from permanent processes but the person must be able to perform the duties.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188307"/>
      <w:docPartObj>
        <w:docPartGallery w:val="Page Numbers (Bottom of Page)"/>
        <w:docPartUnique/>
      </w:docPartObj>
    </w:sdtPr>
    <w:sdtContent>
      <w:p w14:paraId="0D498E53" w14:textId="76805DE6" w:rsidR="00033835" w:rsidRDefault="000338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7D23611" w14:textId="77777777" w:rsidR="00033835" w:rsidRDefault="0003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E92B" w14:textId="6BCA70F7" w:rsidR="00033835" w:rsidRPr="00381D09" w:rsidRDefault="00381D09" w:rsidP="00381D09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ab/>
    </w:r>
    <w:r w:rsidR="00033835" w:rsidRPr="00381D09">
      <w:rPr>
        <w:rFonts w:ascii="Arial" w:hAnsi="Arial" w:cs="Arial"/>
        <w:sz w:val="16"/>
        <w:szCs w:val="16"/>
      </w:rPr>
      <w:t>PSC26021871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2CBB" w14:textId="77777777" w:rsidR="009B1B6A" w:rsidRDefault="009B1B6A" w:rsidP="007D5C0E">
      <w:pPr>
        <w:spacing w:after="0" w:line="240" w:lineRule="auto"/>
      </w:pPr>
      <w:r>
        <w:separator/>
      </w:r>
    </w:p>
  </w:footnote>
  <w:footnote w:type="continuationSeparator" w:id="0">
    <w:p w14:paraId="532D10DA" w14:textId="77777777" w:rsidR="009B1B6A" w:rsidRDefault="009B1B6A" w:rsidP="007D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91D"/>
    <w:multiLevelType w:val="hybridMultilevel"/>
    <w:tmpl w:val="8FD2F6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137E"/>
    <w:multiLevelType w:val="hybridMultilevel"/>
    <w:tmpl w:val="5F92B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6467"/>
    <w:multiLevelType w:val="hybridMultilevel"/>
    <w:tmpl w:val="2840A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402D"/>
    <w:multiLevelType w:val="hybridMultilevel"/>
    <w:tmpl w:val="91725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94C15"/>
    <w:multiLevelType w:val="hybridMultilevel"/>
    <w:tmpl w:val="0CC66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42310">
    <w:abstractNumId w:val="0"/>
  </w:num>
  <w:num w:numId="2" w16cid:durableId="1287658126">
    <w:abstractNumId w:val="3"/>
  </w:num>
  <w:num w:numId="3" w16cid:durableId="1521970631">
    <w:abstractNumId w:val="2"/>
  </w:num>
  <w:num w:numId="4" w16cid:durableId="1605923004">
    <w:abstractNumId w:val="1"/>
  </w:num>
  <w:num w:numId="5" w16cid:durableId="1650357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0E"/>
    <w:rsid w:val="00033835"/>
    <w:rsid w:val="000B15F9"/>
    <w:rsid w:val="001146E8"/>
    <w:rsid w:val="00146BEE"/>
    <w:rsid w:val="001A4894"/>
    <w:rsid w:val="001C2C7C"/>
    <w:rsid w:val="001D63E6"/>
    <w:rsid w:val="001F192E"/>
    <w:rsid w:val="00292E33"/>
    <w:rsid w:val="002D26E5"/>
    <w:rsid w:val="002E3602"/>
    <w:rsid w:val="002F5C53"/>
    <w:rsid w:val="00311E1E"/>
    <w:rsid w:val="00363075"/>
    <w:rsid w:val="00381D09"/>
    <w:rsid w:val="003B563C"/>
    <w:rsid w:val="003C151E"/>
    <w:rsid w:val="003E16A7"/>
    <w:rsid w:val="003E6D8D"/>
    <w:rsid w:val="004056EE"/>
    <w:rsid w:val="0042448F"/>
    <w:rsid w:val="0043028A"/>
    <w:rsid w:val="00496361"/>
    <w:rsid w:val="004A72C0"/>
    <w:rsid w:val="004D526C"/>
    <w:rsid w:val="004D7862"/>
    <w:rsid w:val="00583EF2"/>
    <w:rsid w:val="005D0E2E"/>
    <w:rsid w:val="005D15E5"/>
    <w:rsid w:val="006A30DD"/>
    <w:rsid w:val="006B07B8"/>
    <w:rsid w:val="006D373D"/>
    <w:rsid w:val="007B096B"/>
    <w:rsid w:val="007D5C0E"/>
    <w:rsid w:val="007E1950"/>
    <w:rsid w:val="007F481D"/>
    <w:rsid w:val="00807181"/>
    <w:rsid w:val="00834DB8"/>
    <w:rsid w:val="00846310"/>
    <w:rsid w:val="00851AFC"/>
    <w:rsid w:val="00867BD0"/>
    <w:rsid w:val="008814F3"/>
    <w:rsid w:val="00884C8A"/>
    <w:rsid w:val="008F64DB"/>
    <w:rsid w:val="00961F94"/>
    <w:rsid w:val="0097153F"/>
    <w:rsid w:val="009B1B6A"/>
    <w:rsid w:val="009B4A05"/>
    <w:rsid w:val="00A20941"/>
    <w:rsid w:val="00A20EFE"/>
    <w:rsid w:val="00AD52C0"/>
    <w:rsid w:val="00AE2954"/>
    <w:rsid w:val="00B04FEA"/>
    <w:rsid w:val="00B305E1"/>
    <w:rsid w:val="00B37214"/>
    <w:rsid w:val="00B67FF4"/>
    <w:rsid w:val="00B81E77"/>
    <w:rsid w:val="00BE1869"/>
    <w:rsid w:val="00C23853"/>
    <w:rsid w:val="00C344F0"/>
    <w:rsid w:val="00C37A36"/>
    <w:rsid w:val="00C40573"/>
    <w:rsid w:val="00C406BF"/>
    <w:rsid w:val="00C81F2F"/>
    <w:rsid w:val="00D56A19"/>
    <w:rsid w:val="00D71F70"/>
    <w:rsid w:val="00DB767E"/>
    <w:rsid w:val="00DD2406"/>
    <w:rsid w:val="00DE3A67"/>
    <w:rsid w:val="00DE6586"/>
    <w:rsid w:val="00E046BE"/>
    <w:rsid w:val="00E81E85"/>
    <w:rsid w:val="00E82960"/>
    <w:rsid w:val="00E872C3"/>
    <w:rsid w:val="00EB5488"/>
    <w:rsid w:val="00F1152F"/>
    <w:rsid w:val="00F16A8B"/>
    <w:rsid w:val="00F713C4"/>
    <w:rsid w:val="00F7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F84F"/>
  <w15:chartTrackingRefBased/>
  <w15:docId w15:val="{4D36B0FC-EA46-42E8-99A2-2A527A2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C0E"/>
    <w:pPr>
      <w:keepNext/>
      <w:keepLines/>
      <w:spacing w:before="600" w:after="80" w:line="247" w:lineRule="auto"/>
      <w:jc w:val="center"/>
      <w:outlineLvl w:val="0"/>
    </w:pPr>
    <w:rPr>
      <w:rFonts w:ascii="Century Gothic" w:eastAsiaTheme="majorEastAsia" w:hAnsi="Century Gothic" w:cstheme="majorBi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BD0"/>
    <w:pPr>
      <w:spacing w:before="120" w:after="120" w:line="247" w:lineRule="auto"/>
      <w:outlineLvl w:val="1"/>
    </w:pPr>
    <w:rPr>
      <w:rFonts w:ascii="Century Gothic" w:hAnsi="Century Gothic" w:cs="Arial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0E"/>
    <w:rPr>
      <w:rFonts w:ascii="Century Gothic" w:eastAsiaTheme="majorEastAsia" w:hAnsi="Century Gothic" w:cstheme="majorBi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67BD0"/>
    <w:rPr>
      <w:rFonts w:ascii="Century Gothic" w:hAnsi="Century Gothic" w:cs="Arial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C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5C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5C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D5C0E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5C0E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7D5C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0E"/>
  </w:style>
  <w:style w:type="paragraph" w:styleId="Footer">
    <w:name w:val="footer"/>
    <w:basedOn w:val="Normal"/>
    <w:link w:val="FooterChar"/>
    <w:uiPriority w:val="99"/>
    <w:unhideWhenUsed/>
    <w:rsid w:val="007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0E"/>
  </w:style>
  <w:style w:type="character" w:styleId="Hyperlink">
    <w:name w:val="Hyperlink"/>
    <w:basedOn w:val="DefaultParagraphFont"/>
    <w:uiPriority w:val="99"/>
    <w:unhideWhenUsed/>
    <w:rsid w:val="001F19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EF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20E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0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EF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EF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EFE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publications/fixed-term-vacancies-decision-tr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a.gov.au/government/publications/commissioners-instruction-50-backfilling-temporary-vacan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backfilling-temporary-vacanc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17-74DD-49C2-8161-EF545093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Darren</dc:creator>
  <cp:keywords/>
  <dc:description/>
  <cp:lastModifiedBy>Hewett, Mikaela</cp:lastModifiedBy>
  <cp:revision>2</cp:revision>
  <cp:lastPrinted>2026-06-23T04:58:00Z</cp:lastPrinted>
  <dcterms:created xsi:type="dcterms:W3CDTF">2026-07-03T04:43:00Z</dcterms:created>
  <dcterms:modified xsi:type="dcterms:W3CDTF">2026-07-03T04:43:00Z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2026-05-25T06:08:28Z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ba526509-9a0c-4898-822f-55999f0ec039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</Properties>
</file>