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44091" w:rsidP="00E44091" w:rsidRDefault="001066F0" w14:paraId="46C7822E" w14:textId="3F623070">
      <w:pPr>
        <w:jc w:val="center"/>
        <w:rPr>
          <w:rFonts w:ascii="Arial" w:hAnsi="Arial" w:eastAsia="Arial" w:cs="Arial"/>
          <w:b/>
          <w:bCs/>
          <w:color w:val="001A70"/>
          <w:sz w:val="36"/>
          <w:szCs w:val="36"/>
        </w:rPr>
      </w:pPr>
      <w:r w:rsidRPr="001066F0">
        <w:rPr>
          <w:rFonts w:ascii="Times New Roman" w:hAnsi="Times New Roman" w:eastAsia="Times New Roman" w:cs="Times New Roman"/>
          <w:noProof/>
          <w:sz w:val="24"/>
          <w:szCs w:val="24"/>
          <w:lang w:val="en-AU" w:eastAsia="zh-CN" w:bidi="th-TH"/>
        </w:rPr>
        <w:drawing>
          <wp:anchor distT="0" distB="0" distL="114300" distR="114300" simplePos="0" relativeHeight="251658240" behindDoc="1" locked="0" layoutInCell="1" allowOverlap="1" wp14:anchorId="79D4C94C" wp14:editId="5D02B017">
            <wp:simplePos x="0" y="0"/>
            <wp:positionH relativeFrom="margin">
              <wp:align>right</wp:align>
            </wp:positionH>
            <wp:positionV relativeFrom="paragraph">
              <wp:posOffset>19685</wp:posOffset>
            </wp:positionV>
            <wp:extent cx="5505450" cy="1622378"/>
            <wp:effectExtent l="0" t="0" r="0" b="0"/>
            <wp:wrapNone/>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05450" cy="162237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1066F0" w:rsidR="001066F0" w:rsidP="001066F0" w:rsidRDefault="001066F0" w14:paraId="3EA5CDCB" w14:textId="467631D2">
      <w:pPr>
        <w:spacing w:after="0" w:line="240" w:lineRule="auto"/>
        <w:rPr>
          <w:rFonts w:ascii="Times New Roman" w:hAnsi="Times New Roman" w:eastAsia="Times New Roman" w:cs="Times New Roman"/>
          <w:sz w:val="24"/>
          <w:szCs w:val="24"/>
          <w:lang w:val="en-AU" w:eastAsia="zh-CN" w:bidi="th-TH"/>
        </w:rPr>
      </w:pPr>
    </w:p>
    <w:p w:rsidR="00BB2ECE" w:rsidP="001066F0" w:rsidRDefault="00BB2ECE" w14:paraId="6592E067" w14:textId="59C9B2B6">
      <w:pPr>
        <w:rPr>
          <w:rFonts w:ascii="Arial" w:hAnsi="Arial" w:eastAsia="Arial" w:cs="Arial"/>
          <w:b/>
          <w:bCs/>
          <w:sz w:val="36"/>
          <w:szCs w:val="36"/>
        </w:rPr>
      </w:pPr>
    </w:p>
    <w:p w:rsidR="00BB2ECE" w:rsidP="00F42C46" w:rsidRDefault="00F42C46" w14:paraId="7A0436B1" w14:textId="4F0DF5EE">
      <w:pPr>
        <w:tabs>
          <w:tab w:val="left" w:pos="5025"/>
        </w:tabs>
        <w:rPr>
          <w:rFonts w:ascii="Arial" w:hAnsi="Arial" w:eastAsia="Arial" w:cs="Arial"/>
          <w:b/>
          <w:bCs/>
          <w:sz w:val="36"/>
          <w:szCs w:val="36"/>
        </w:rPr>
      </w:pPr>
      <w:r>
        <w:rPr>
          <w:rFonts w:ascii="Arial" w:hAnsi="Arial" w:eastAsia="Arial" w:cs="Arial"/>
          <w:b/>
          <w:bCs/>
          <w:sz w:val="36"/>
          <w:szCs w:val="36"/>
        </w:rPr>
        <w:tab/>
      </w:r>
    </w:p>
    <w:p w:rsidRPr="00F42C46" w:rsidR="00F42C46" w:rsidP="00526949" w:rsidRDefault="00F42C46" w14:paraId="5B3DBF9C" w14:textId="591D4FC3">
      <w:pPr>
        <w:rPr>
          <w:rFonts w:ascii="Arial" w:hAnsi="Arial" w:eastAsia="Arial" w:cs="Arial"/>
          <w:b/>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630"/>
      </w:tblGrid>
      <w:tr w:rsidRPr="00BB2ECE" w:rsidR="00A07E36" w:rsidTr="59C21058" w14:paraId="04084DB2" w14:textId="77777777">
        <w:tc>
          <w:tcPr>
            <w:tcW w:w="8640" w:type="dxa"/>
            <w:shd w:val="clear" w:color="auto" w:fill="EAF0F8"/>
            <w:tcMar/>
          </w:tcPr>
          <w:p w:rsidRPr="00BB2ECE" w:rsidR="00A07E36" w:rsidP="56F404EE" w:rsidRDefault="56F404EE" w14:paraId="3294FB51" w14:textId="77777777">
            <w:pPr>
              <w:rPr>
                <w:rFonts w:ascii="Arial" w:hAnsi="Arial" w:eastAsia="Arial" w:cs="Arial"/>
                <w:b/>
                <w:bCs/>
                <w:sz w:val="24"/>
                <w:szCs w:val="24"/>
              </w:rPr>
            </w:pPr>
            <w:r w:rsidRPr="00BB2ECE">
              <w:rPr>
                <w:rFonts w:ascii="Arial" w:hAnsi="Arial" w:eastAsia="Arial" w:cs="Arial"/>
                <w:b/>
                <w:bCs/>
                <w:sz w:val="24"/>
                <w:szCs w:val="24"/>
              </w:rPr>
              <w:t>Q. What level of detail is expected in submissions?</w:t>
            </w:r>
          </w:p>
        </w:tc>
      </w:tr>
      <w:tr w:rsidRPr="00BB2ECE" w:rsidR="00A07E36" w:rsidTr="59C21058" w14:paraId="264A14AE" w14:textId="77777777">
        <w:tc>
          <w:tcPr>
            <w:tcW w:w="8640" w:type="dxa"/>
            <w:tcMar/>
          </w:tcPr>
          <w:p w:rsidRPr="00BB2ECE" w:rsidR="00A07E36" w:rsidP="56F404EE" w:rsidRDefault="56F404EE" w14:paraId="0A8FC49A" w14:textId="35667C4A">
            <w:pPr>
              <w:rPr>
                <w:rFonts w:ascii="Arial" w:hAnsi="Arial" w:eastAsia="Arial" w:cs="Arial"/>
                <w:sz w:val="24"/>
                <w:szCs w:val="24"/>
              </w:rPr>
            </w:pPr>
            <w:r w:rsidRPr="59C21058" w:rsidR="56F404EE">
              <w:rPr>
                <w:rFonts w:ascii="Arial" w:hAnsi="Arial" w:eastAsia="Arial" w:cs="Arial"/>
                <w:sz w:val="24"/>
                <w:szCs w:val="24"/>
              </w:rPr>
              <w:t xml:space="preserve">Submissions should be clear, </w:t>
            </w:r>
            <w:r w:rsidRPr="59C21058" w:rsidR="4901BFD1">
              <w:rPr>
                <w:rFonts w:ascii="Arial" w:hAnsi="Arial" w:eastAsia="Arial" w:cs="Arial"/>
                <w:sz w:val="24"/>
                <w:szCs w:val="24"/>
              </w:rPr>
              <w:t>concise,</w:t>
            </w:r>
            <w:r w:rsidRPr="59C21058" w:rsidR="56F404EE">
              <w:rPr>
                <w:rFonts w:ascii="Arial" w:hAnsi="Arial" w:eastAsia="Arial" w:cs="Arial"/>
                <w:sz w:val="24"/>
                <w:szCs w:val="24"/>
              </w:rPr>
              <w:t xml:space="preserve"> and structured. We are seeking sufficient detail to understand capability, role in the supply chain, and key requirements. Supporting material can be included where helpful but should be targeted and relevant.</w:t>
            </w:r>
          </w:p>
        </w:tc>
      </w:tr>
    </w:tbl>
    <w:p w:rsidRPr="00BB2ECE" w:rsidR="00A07E36" w:rsidP="56F404EE" w:rsidRDefault="00A07E36" w14:paraId="672A6659" w14:textId="10E895FA">
      <w:pPr>
        <w:rPr>
          <w:rFonts w:ascii="Arial" w:hAnsi="Arial" w:eastAsia="Arial" w:cs="Arial"/>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630"/>
      </w:tblGrid>
      <w:tr w:rsidRPr="00BB2ECE" w:rsidR="00A07E36" w:rsidTr="00261940" w14:paraId="77703EDA" w14:textId="77777777">
        <w:tc>
          <w:tcPr>
            <w:tcW w:w="8640" w:type="dxa"/>
            <w:shd w:val="clear" w:color="auto" w:fill="EAF0F8"/>
          </w:tcPr>
          <w:p w:rsidRPr="00BB2ECE" w:rsidR="00A07E36" w:rsidP="56F404EE" w:rsidRDefault="56F404EE" w14:paraId="47F33343" w14:textId="77777777">
            <w:pPr>
              <w:rPr>
                <w:rFonts w:ascii="Arial" w:hAnsi="Arial" w:eastAsia="Arial" w:cs="Arial"/>
                <w:b/>
                <w:bCs/>
                <w:sz w:val="24"/>
                <w:szCs w:val="24"/>
              </w:rPr>
            </w:pPr>
            <w:r w:rsidRPr="00BB2ECE">
              <w:rPr>
                <w:rFonts w:ascii="Arial" w:hAnsi="Arial" w:eastAsia="Arial" w:cs="Arial"/>
                <w:b/>
                <w:bCs/>
                <w:sz w:val="24"/>
                <w:szCs w:val="24"/>
              </w:rPr>
              <w:t>Q. Is this EME capability mapping or a full application process?</w:t>
            </w:r>
          </w:p>
        </w:tc>
      </w:tr>
      <w:tr w:rsidRPr="00BB2ECE" w:rsidR="00A07E36" w:rsidTr="00261940" w14:paraId="7A1D8015" w14:textId="77777777">
        <w:tc>
          <w:tcPr>
            <w:tcW w:w="8640" w:type="dxa"/>
          </w:tcPr>
          <w:p w:rsidRPr="00BB2ECE" w:rsidR="00A07E36" w:rsidP="56F404EE" w:rsidRDefault="56F404EE" w14:paraId="0C78704F" w14:textId="77777777">
            <w:pPr>
              <w:rPr>
                <w:rFonts w:ascii="Arial" w:hAnsi="Arial" w:eastAsia="Arial" w:cs="Arial"/>
                <w:sz w:val="24"/>
                <w:szCs w:val="24"/>
              </w:rPr>
            </w:pPr>
            <w:r w:rsidRPr="00BB2ECE">
              <w:rPr>
                <w:rFonts w:ascii="Arial" w:hAnsi="Arial" w:eastAsia="Arial" w:cs="Arial"/>
                <w:sz w:val="24"/>
                <w:szCs w:val="24"/>
              </w:rPr>
              <w:t>The EME is a market-sounding process designed to understand industry capability and requirements. It is not a formal procurement or final application process. Insights gathered will inform subsequent assessment and potential further engagement.</w:t>
            </w:r>
          </w:p>
        </w:tc>
      </w:tr>
    </w:tbl>
    <w:p w:rsidRPr="00BB2ECE" w:rsidR="00A07E36" w:rsidP="56F404EE" w:rsidRDefault="00A07E36" w14:paraId="0A37501D" w14:textId="77777777">
      <w:pPr>
        <w:rPr>
          <w:rFonts w:ascii="Arial" w:hAnsi="Arial" w:eastAsia="Arial" w:cs="Arial"/>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630"/>
      </w:tblGrid>
      <w:tr w:rsidRPr="00BB2ECE" w:rsidR="00A07E36" w:rsidTr="3628F93F" w14:paraId="164B139F" w14:textId="77777777">
        <w:tc>
          <w:tcPr>
            <w:tcW w:w="8640" w:type="dxa"/>
            <w:shd w:val="clear" w:color="auto" w:fill="EAF0F8"/>
            <w:tcMar/>
          </w:tcPr>
          <w:p w:rsidRPr="00BB2ECE" w:rsidR="00A07E36" w:rsidP="56F404EE" w:rsidRDefault="56F404EE" w14:paraId="494D192D" w14:textId="2845FED9">
            <w:pPr>
              <w:rPr>
                <w:rFonts w:ascii="Arial" w:hAnsi="Arial" w:eastAsia="Arial" w:cs="Arial"/>
                <w:b w:val="1"/>
                <w:bCs w:val="1"/>
                <w:sz w:val="24"/>
                <w:szCs w:val="24"/>
              </w:rPr>
            </w:pPr>
            <w:r w:rsidRPr="3628F93F" w:rsidR="6DB2B600">
              <w:rPr>
                <w:rFonts w:ascii="Arial" w:hAnsi="Arial" w:eastAsia="Arial" w:cs="Arial"/>
                <w:b w:val="1"/>
                <w:bCs w:val="1"/>
                <w:sz w:val="24"/>
                <w:szCs w:val="24"/>
              </w:rPr>
              <w:t xml:space="preserve">Q. Are single </w:t>
            </w:r>
            <w:r w:rsidRPr="3628F93F" w:rsidR="6DB2B600">
              <w:rPr>
                <w:rFonts w:ascii="Arial" w:hAnsi="Arial" w:eastAsia="Arial" w:cs="Arial"/>
                <w:b w:val="1"/>
                <w:bCs w:val="1"/>
                <w:sz w:val="24"/>
                <w:szCs w:val="24"/>
              </w:rPr>
              <w:t>organisation</w:t>
            </w:r>
            <w:r w:rsidRPr="3628F93F" w:rsidR="0660CEBF">
              <w:rPr>
                <w:rFonts w:ascii="Arial" w:hAnsi="Arial" w:eastAsia="Arial" w:cs="Arial"/>
                <w:b w:val="1"/>
                <w:bCs w:val="1"/>
                <w:sz w:val="24"/>
                <w:szCs w:val="24"/>
              </w:rPr>
              <w:t>’</w:t>
            </w:r>
            <w:r w:rsidRPr="3628F93F" w:rsidR="6DB2B600">
              <w:rPr>
                <w:rFonts w:ascii="Arial" w:hAnsi="Arial" w:eastAsia="Arial" w:cs="Arial"/>
                <w:b w:val="1"/>
                <w:bCs w:val="1"/>
                <w:sz w:val="24"/>
                <w:szCs w:val="24"/>
              </w:rPr>
              <w:t>s</w:t>
            </w:r>
            <w:r w:rsidRPr="3628F93F" w:rsidR="6DB2B600">
              <w:rPr>
                <w:rFonts w:ascii="Arial" w:hAnsi="Arial" w:eastAsia="Arial" w:cs="Arial"/>
                <w:b w:val="1"/>
                <w:bCs w:val="1"/>
                <w:sz w:val="24"/>
                <w:szCs w:val="24"/>
              </w:rPr>
              <w:t xml:space="preserve"> or supply chain clusters preferred?</w:t>
            </w:r>
          </w:p>
        </w:tc>
      </w:tr>
      <w:tr w:rsidRPr="00BB2ECE" w:rsidR="00A07E36" w:rsidTr="3628F93F" w14:paraId="5E2A8751" w14:textId="77777777">
        <w:tc>
          <w:tcPr>
            <w:tcW w:w="8640" w:type="dxa"/>
            <w:tcMar/>
          </w:tcPr>
          <w:p w:rsidRPr="00BB2ECE" w:rsidR="00A07E36" w:rsidP="56F404EE" w:rsidRDefault="56F404EE" w14:paraId="2327A07E" w14:textId="4076CA97">
            <w:pPr>
              <w:rPr>
                <w:rFonts w:ascii="Arial" w:hAnsi="Arial" w:eastAsia="Arial" w:cs="Arial"/>
                <w:sz w:val="24"/>
                <w:szCs w:val="24"/>
              </w:rPr>
            </w:pPr>
            <w:r w:rsidRPr="3628F93F" w:rsidR="6DB2B600">
              <w:rPr>
                <w:rFonts w:ascii="Arial" w:hAnsi="Arial" w:eastAsia="Arial" w:cs="Arial"/>
                <w:sz w:val="24"/>
                <w:szCs w:val="24"/>
              </w:rPr>
              <w:t xml:space="preserve">Submissions are open to both individual </w:t>
            </w:r>
            <w:r w:rsidRPr="3628F93F" w:rsidR="6DB2B600">
              <w:rPr>
                <w:rFonts w:ascii="Arial" w:hAnsi="Arial" w:eastAsia="Arial" w:cs="Arial"/>
                <w:sz w:val="24"/>
                <w:szCs w:val="24"/>
              </w:rPr>
              <w:t>organisation</w:t>
            </w:r>
            <w:r w:rsidRPr="3628F93F" w:rsidR="21B165D2">
              <w:rPr>
                <w:rFonts w:ascii="Arial" w:hAnsi="Arial" w:eastAsia="Arial" w:cs="Arial"/>
                <w:sz w:val="24"/>
                <w:szCs w:val="24"/>
              </w:rPr>
              <w:t>’</w:t>
            </w:r>
            <w:r w:rsidRPr="3628F93F" w:rsidR="6DB2B600">
              <w:rPr>
                <w:rFonts w:ascii="Arial" w:hAnsi="Arial" w:eastAsia="Arial" w:cs="Arial"/>
                <w:sz w:val="24"/>
                <w:szCs w:val="24"/>
              </w:rPr>
              <w:t>s</w:t>
            </w:r>
            <w:r w:rsidRPr="3628F93F" w:rsidR="6DB2B600">
              <w:rPr>
                <w:rFonts w:ascii="Arial" w:hAnsi="Arial" w:eastAsia="Arial" w:cs="Arial"/>
                <w:sz w:val="24"/>
                <w:szCs w:val="24"/>
              </w:rPr>
              <w:t xml:space="preserve"> and connected supply chain or cluster proposals. </w:t>
            </w:r>
            <w:r w:rsidRPr="3628F93F" w:rsidR="6DB2B600">
              <w:rPr>
                <w:rFonts w:ascii="Arial" w:hAnsi="Arial" w:eastAsia="Arial" w:cs="Arial"/>
                <w:sz w:val="24"/>
                <w:szCs w:val="24"/>
              </w:rPr>
              <w:t>Integrated approaches demonstrating end-to-end capability are encouraged where relevant.</w:t>
            </w:r>
          </w:p>
        </w:tc>
      </w:tr>
    </w:tbl>
    <w:p w:rsidRPr="00BB2ECE" w:rsidR="00A07E36" w:rsidP="56F404EE" w:rsidRDefault="00A07E36" w14:paraId="5DAB6C7B" w14:textId="77777777">
      <w:pPr>
        <w:rPr>
          <w:rFonts w:ascii="Arial" w:hAnsi="Arial" w:eastAsia="Arial" w:cs="Arial"/>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630"/>
      </w:tblGrid>
      <w:tr w:rsidRPr="00BB2ECE" w:rsidR="00A07E36" w:rsidTr="3628F93F" w14:paraId="49AB2915" w14:textId="77777777">
        <w:tc>
          <w:tcPr>
            <w:tcW w:w="8640" w:type="dxa"/>
            <w:shd w:val="clear" w:color="auto" w:fill="EAF0F8"/>
            <w:tcMar/>
          </w:tcPr>
          <w:p w:rsidRPr="00BB2ECE" w:rsidR="00A07E36" w:rsidP="56F404EE" w:rsidRDefault="56F404EE" w14:paraId="1AFBA0A7" w14:textId="5844EC5F">
            <w:pPr>
              <w:rPr>
                <w:rFonts w:ascii="Arial" w:hAnsi="Arial" w:eastAsia="Arial" w:cs="Arial"/>
                <w:b w:val="1"/>
                <w:bCs w:val="1"/>
                <w:sz w:val="24"/>
                <w:szCs w:val="24"/>
              </w:rPr>
            </w:pPr>
            <w:r w:rsidRPr="3628F93F" w:rsidR="6DB2B600">
              <w:rPr>
                <w:rFonts w:ascii="Arial" w:hAnsi="Arial" w:eastAsia="Arial" w:cs="Arial"/>
                <w:b w:val="1"/>
                <w:bCs w:val="1"/>
                <w:sz w:val="24"/>
                <w:szCs w:val="24"/>
              </w:rPr>
              <w:t>Q. What happens after the E</w:t>
            </w:r>
            <w:r w:rsidRPr="3628F93F" w:rsidR="0BDAFAE4">
              <w:rPr>
                <w:rFonts w:ascii="Arial" w:hAnsi="Arial" w:eastAsia="Arial" w:cs="Arial"/>
                <w:b w:val="1"/>
                <w:bCs w:val="1"/>
                <w:sz w:val="24"/>
                <w:szCs w:val="24"/>
              </w:rPr>
              <w:t>arly Market Engagement (EME)</w:t>
            </w:r>
            <w:r w:rsidRPr="3628F93F" w:rsidR="6DB2B600">
              <w:rPr>
                <w:rFonts w:ascii="Arial" w:hAnsi="Arial" w:eastAsia="Arial" w:cs="Arial"/>
                <w:b w:val="1"/>
                <w:bCs w:val="1"/>
                <w:sz w:val="24"/>
                <w:szCs w:val="24"/>
              </w:rPr>
              <w:t xml:space="preserve"> closes?</w:t>
            </w:r>
          </w:p>
        </w:tc>
      </w:tr>
      <w:tr w:rsidRPr="00BB2ECE" w:rsidR="00A07E36" w:rsidTr="3628F93F" w14:paraId="65FFAB23" w14:textId="77777777">
        <w:tc>
          <w:tcPr>
            <w:tcW w:w="8640" w:type="dxa"/>
            <w:tcMar/>
          </w:tcPr>
          <w:p w:rsidRPr="00BB2ECE" w:rsidR="00A07E36" w:rsidP="56F404EE" w:rsidRDefault="56F404EE" w14:paraId="40504C96" w14:textId="77777777">
            <w:pPr>
              <w:rPr>
                <w:rFonts w:ascii="Arial" w:hAnsi="Arial" w:eastAsia="Arial" w:cs="Arial"/>
                <w:sz w:val="24"/>
                <w:szCs w:val="24"/>
              </w:rPr>
            </w:pPr>
            <w:r w:rsidRPr="00BB2ECE">
              <w:rPr>
                <w:rFonts w:ascii="Arial" w:hAnsi="Arial" w:eastAsia="Arial" w:cs="Arial"/>
                <w:sz w:val="24"/>
                <w:szCs w:val="24"/>
              </w:rPr>
              <w:t>Submissions will undergo analysis and shortlisting, followed by assessment by a cross-government panel. Further engagement may occur with selected proponents as part of the process.</w:t>
            </w:r>
          </w:p>
        </w:tc>
      </w:tr>
    </w:tbl>
    <w:p w:rsidR="00A07E36" w:rsidP="56F404EE" w:rsidRDefault="00A07E36" w14:paraId="02EB378F" w14:textId="0EF1DD9B">
      <w:pPr>
        <w:rPr>
          <w:rFonts w:ascii="Arial" w:hAnsi="Arial" w:eastAsia="Arial" w:cs="Arial"/>
          <w:sz w:val="24"/>
          <w:szCs w:val="24"/>
        </w:rPr>
      </w:pPr>
    </w:p>
    <w:p w:rsidR="004F5331" w:rsidP="56F404EE" w:rsidRDefault="004F5331" w14:paraId="4AAA11A8" w14:textId="77777777">
      <w:pPr>
        <w:rPr>
          <w:rFonts w:ascii="Arial" w:hAnsi="Arial" w:eastAsia="Arial" w:cs="Arial"/>
          <w:sz w:val="24"/>
          <w:szCs w:val="24"/>
        </w:rPr>
      </w:pPr>
    </w:p>
    <w:p w:rsidRPr="00BB2ECE" w:rsidR="000F7D9A" w:rsidP="56F404EE" w:rsidRDefault="000F7D9A" w14:paraId="5D05377F" w14:textId="77777777">
      <w:pPr>
        <w:rPr>
          <w:rFonts w:ascii="Arial" w:hAnsi="Arial" w:eastAsia="Arial" w:cs="Arial"/>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630"/>
      </w:tblGrid>
      <w:tr w:rsidRPr="00BB2ECE" w:rsidR="00A07E36" w:rsidTr="59C21058" w14:paraId="63882E2C" w14:textId="77777777">
        <w:tc>
          <w:tcPr>
            <w:tcW w:w="8640" w:type="dxa"/>
            <w:shd w:val="clear" w:color="auto" w:fill="EAF0F8"/>
            <w:tcMar/>
          </w:tcPr>
          <w:p w:rsidRPr="00BB2ECE" w:rsidR="00A07E36" w:rsidP="56F404EE" w:rsidRDefault="56F404EE" w14:paraId="22D113C9" w14:textId="0B887500">
            <w:pPr>
              <w:rPr>
                <w:rFonts w:ascii="Arial" w:hAnsi="Arial" w:eastAsia="Arial" w:cs="Arial"/>
                <w:b/>
                <w:bCs/>
                <w:sz w:val="24"/>
                <w:szCs w:val="24"/>
              </w:rPr>
            </w:pPr>
            <w:r w:rsidRPr="00BB2ECE">
              <w:rPr>
                <w:rFonts w:ascii="Arial" w:hAnsi="Arial" w:eastAsia="Arial" w:cs="Arial"/>
                <w:b/>
                <w:bCs/>
                <w:sz w:val="24"/>
                <w:szCs w:val="24"/>
              </w:rPr>
              <w:lastRenderedPageBreak/>
              <w:t>Q. Is this a procurement or tender process?</w:t>
            </w:r>
          </w:p>
        </w:tc>
      </w:tr>
      <w:tr w:rsidRPr="00BB2ECE" w:rsidR="00A07E36" w:rsidTr="59C21058" w14:paraId="1FB38560" w14:textId="77777777">
        <w:tc>
          <w:tcPr>
            <w:tcW w:w="8640" w:type="dxa"/>
            <w:tcMar/>
          </w:tcPr>
          <w:p w:rsidRPr="00BB2ECE" w:rsidR="00A07E36" w:rsidP="56F404EE" w:rsidRDefault="56F404EE" w14:paraId="73DE27E6" w14:textId="0CA7BF0E">
            <w:pPr>
              <w:rPr>
                <w:rFonts w:ascii="Arial" w:hAnsi="Arial" w:eastAsia="Arial" w:cs="Arial"/>
                <w:sz w:val="24"/>
                <w:szCs w:val="24"/>
              </w:rPr>
            </w:pPr>
            <w:r w:rsidRPr="59C21058" w:rsidR="56F404EE">
              <w:rPr>
                <w:rFonts w:ascii="Arial" w:hAnsi="Arial" w:eastAsia="Arial" w:cs="Arial"/>
                <w:sz w:val="24"/>
                <w:szCs w:val="24"/>
              </w:rPr>
              <w:t xml:space="preserve">No. </w:t>
            </w:r>
            <w:r w:rsidRPr="59C21058" w:rsidR="56F404EE">
              <w:rPr>
                <w:rFonts w:ascii="Arial" w:hAnsi="Arial" w:eastAsia="Arial" w:cs="Arial"/>
                <w:sz w:val="24"/>
                <w:szCs w:val="24"/>
              </w:rPr>
              <w:t>The EME</w:t>
            </w:r>
            <w:r w:rsidRPr="59C21058" w:rsidR="56F404EE">
              <w:rPr>
                <w:rFonts w:ascii="Arial" w:hAnsi="Arial" w:eastAsia="Arial" w:cs="Arial"/>
                <w:sz w:val="24"/>
                <w:szCs w:val="24"/>
              </w:rPr>
              <w:t xml:space="preserve"> is a market-sounding process designed to understand industry capability and requirements.</w:t>
            </w:r>
            <w:r w:rsidRPr="59C21058" w:rsidR="56F404EE">
              <w:rPr>
                <w:rFonts w:ascii="Arial" w:hAnsi="Arial" w:eastAsia="Arial" w:cs="Arial"/>
                <w:sz w:val="24"/>
                <w:szCs w:val="24"/>
              </w:rPr>
              <w:t xml:space="preserve"> It is not a procurement or tender </w:t>
            </w:r>
            <w:r w:rsidRPr="59C21058" w:rsidR="2F7858A7">
              <w:rPr>
                <w:rFonts w:ascii="Arial" w:hAnsi="Arial" w:eastAsia="Arial" w:cs="Arial"/>
                <w:sz w:val="24"/>
                <w:szCs w:val="24"/>
              </w:rPr>
              <w:t>process,</w:t>
            </w:r>
            <w:r w:rsidRPr="59C21058" w:rsidR="56F404EE">
              <w:rPr>
                <w:rFonts w:ascii="Arial" w:hAnsi="Arial" w:eastAsia="Arial" w:cs="Arial"/>
                <w:sz w:val="24"/>
                <w:szCs w:val="24"/>
              </w:rPr>
              <w:t xml:space="preserve"> and no commitments to contracts have been made.</w:t>
            </w:r>
          </w:p>
        </w:tc>
      </w:tr>
    </w:tbl>
    <w:p w:rsidRPr="00BB2ECE" w:rsidR="00A07E36" w:rsidP="56F404EE" w:rsidRDefault="00A07E36" w14:paraId="6A05A809" w14:textId="70785510">
      <w:pPr>
        <w:rPr>
          <w:rFonts w:ascii="Arial" w:hAnsi="Arial" w:eastAsia="Arial" w:cs="Arial"/>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630"/>
      </w:tblGrid>
      <w:tr w:rsidRPr="00BB2ECE" w:rsidR="00A07E36" w:rsidTr="3628F93F" w14:paraId="5E1D771A" w14:textId="77777777">
        <w:tc>
          <w:tcPr>
            <w:tcW w:w="8640" w:type="dxa"/>
            <w:shd w:val="clear" w:color="auto" w:fill="EAF0F8"/>
            <w:tcMar/>
          </w:tcPr>
          <w:p w:rsidRPr="00BB2ECE" w:rsidR="00A07E36" w:rsidP="56F404EE" w:rsidRDefault="56F404EE" w14:paraId="001DB5BE" w14:textId="0AA75951">
            <w:pPr>
              <w:rPr>
                <w:rFonts w:ascii="Arial" w:hAnsi="Arial" w:eastAsia="Arial" w:cs="Arial"/>
                <w:b w:val="1"/>
                <w:bCs w:val="1"/>
                <w:sz w:val="24"/>
                <w:szCs w:val="24"/>
              </w:rPr>
            </w:pPr>
            <w:r w:rsidRPr="3628F93F" w:rsidR="6DB2B600">
              <w:rPr>
                <w:rFonts w:ascii="Arial" w:hAnsi="Arial" w:eastAsia="Arial" w:cs="Arial"/>
                <w:b w:val="1"/>
                <w:bCs w:val="1"/>
                <w:sz w:val="24"/>
                <w:szCs w:val="24"/>
              </w:rPr>
              <w:t xml:space="preserve">Q. What types of </w:t>
            </w:r>
            <w:r w:rsidRPr="3628F93F" w:rsidR="6DB2B600">
              <w:rPr>
                <w:rFonts w:ascii="Arial" w:hAnsi="Arial" w:eastAsia="Arial" w:cs="Arial"/>
                <w:b w:val="1"/>
                <w:bCs w:val="1"/>
                <w:sz w:val="24"/>
                <w:szCs w:val="24"/>
              </w:rPr>
              <w:t>organisation</w:t>
            </w:r>
            <w:r w:rsidRPr="3628F93F" w:rsidR="4545E87D">
              <w:rPr>
                <w:rFonts w:ascii="Arial" w:hAnsi="Arial" w:eastAsia="Arial" w:cs="Arial"/>
                <w:b w:val="1"/>
                <w:bCs w:val="1"/>
                <w:sz w:val="24"/>
                <w:szCs w:val="24"/>
              </w:rPr>
              <w:t>’</w:t>
            </w:r>
            <w:r w:rsidRPr="3628F93F" w:rsidR="6DB2B600">
              <w:rPr>
                <w:rFonts w:ascii="Arial" w:hAnsi="Arial" w:eastAsia="Arial" w:cs="Arial"/>
                <w:b w:val="1"/>
                <w:bCs w:val="1"/>
                <w:sz w:val="24"/>
                <w:szCs w:val="24"/>
              </w:rPr>
              <w:t>s</w:t>
            </w:r>
            <w:r w:rsidRPr="3628F93F" w:rsidR="6DB2B600">
              <w:rPr>
                <w:rFonts w:ascii="Arial" w:hAnsi="Arial" w:eastAsia="Arial" w:cs="Arial"/>
                <w:b w:val="1"/>
                <w:bCs w:val="1"/>
                <w:sz w:val="24"/>
                <w:szCs w:val="24"/>
              </w:rPr>
              <w:t xml:space="preserve"> are encouraged to </w:t>
            </w:r>
            <w:r w:rsidRPr="3628F93F" w:rsidR="6DB2B600">
              <w:rPr>
                <w:rFonts w:ascii="Arial" w:hAnsi="Arial" w:eastAsia="Arial" w:cs="Arial"/>
                <w:b w:val="1"/>
                <w:bCs w:val="1"/>
                <w:sz w:val="24"/>
                <w:szCs w:val="24"/>
              </w:rPr>
              <w:t>submit</w:t>
            </w:r>
            <w:r w:rsidRPr="3628F93F" w:rsidR="6DB2B600">
              <w:rPr>
                <w:rFonts w:ascii="Arial" w:hAnsi="Arial" w:eastAsia="Arial" w:cs="Arial"/>
                <w:b w:val="1"/>
                <w:bCs w:val="1"/>
                <w:sz w:val="24"/>
                <w:szCs w:val="24"/>
              </w:rPr>
              <w:t>?</w:t>
            </w:r>
          </w:p>
        </w:tc>
      </w:tr>
      <w:tr w:rsidRPr="00BB2ECE" w:rsidR="00A07E36" w:rsidTr="3628F93F" w14:paraId="121720F4" w14:textId="77777777">
        <w:tc>
          <w:tcPr>
            <w:tcW w:w="8640" w:type="dxa"/>
            <w:tcMar/>
          </w:tcPr>
          <w:p w:rsidRPr="00BB2ECE" w:rsidR="00A07E36" w:rsidP="56F404EE" w:rsidRDefault="56F404EE" w14:paraId="551575BE" w14:textId="02AF45B4">
            <w:pPr>
              <w:rPr>
                <w:rFonts w:ascii="Arial" w:hAnsi="Arial" w:eastAsia="Arial" w:cs="Arial"/>
                <w:sz w:val="24"/>
                <w:szCs w:val="24"/>
              </w:rPr>
            </w:pPr>
            <w:r w:rsidRPr="3628F93F" w:rsidR="6DB2B600">
              <w:rPr>
                <w:rFonts w:ascii="Arial" w:hAnsi="Arial" w:eastAsia="Arial" w:cs="Arial"/>
                <w:sz w:val="24"/>
                <w:szCs w:val="24"/>
              </w:rPr>
              <w:t xml:space="preserve">Submissions are encouraged </w:t>
            </w:r>
            <w:r w:rsidRPr="3628F93F" w:rsidR="6DB2B600">
              <w:rPr>
                <w:rFonts w:ascii="Arial" w:hAnsi="Arial" w:eastAsia="Arial" w:cs="Arial"/>
                <w:sz w:val="24"/>
                <w:szCs w:val="24"/>
              </w:rPr>
              <w:t>from</w:t>
            </w:r>
            <w:r w:rsidRPr="3628F93F" w:rsidR="6DB2B600">
              <w:rPr>
                <w:rFonts w:ascii="Arial" w:hAnsi="Arial" w:eastAsia="Arial" w:cs="Arial"/>
                <w:sz w:val="24"/>
                <w:szCs w:val="24"/>
              </w:rPr>
              <w:t xml:space="preserve"> </w:t>
            </w:r>
            <w:r w:rsidRPr="3628F93F" w:rsidR="6DB2B600">
              <w:rPr>
                <w:rFonts w:ascii="Arial" w:hAnsi="Arial" w:eastAsia="Arial" w:cs="Arial"/>
                <w:sz w:val="24"/>
                <w:szCs w:val="24"/>
              </w:rPr>
              <w:t>organisation</w:t>
            </w:r>
            <w:r w:rsidRPr="3628F93F" w:rsidR="0B07B48A">
              <w:rPr>
                <w:rFonts w:ascii="Arial" w:hAnsi="Arial" w:eastAsia="Arial" w:cs="Arial"/>
                <w:sz w:val="24"/>
                <w:szCs w:val="24"/>
              </w:rPr>
              <w:t>’</w:t>
            </w:r>
            <w:r w:rsidRPr="3628F93F" w:rsidR="6DB2B600">
              <w:rPr>
                <w:rFonts w:ascii="Arial" w:hAnsi="Arial" w:eastAsia="Arial" w:cs="Arial"/>
                <w:sz w:val="24"/>
                <w:szCs w:val="24"/>
              </w:rPr>
              <w:t>s</w:t>
            </w:r>
            <w:r w:rsidRPr="3628F93F" w:rsidR="6DB2B600">
              <w:rPr>
                <w:rFonts w:ascii="Arial" w:hAnsi="Arial" w:eastAsia="Arial" w:cs="Arial"/>
                <w:sz w:val="24"/>
                <w:szCs w:val="24"/>
              </w:rPr>
              <w:t xml:space="preserve"> across the supply chain, including primes, SMEs, service providers, and enabling industries.</w:t>
            </w:r>
          </w:p>
        </w:tc>
      </w:tr>
    </w:tbl>
    <w:p w:rsidRPr="00BB2ECE" w:rsidR="00A07E36" w:rsidP="56F404EE" w:rsidRDefault="00A07E36" w14:paraId="5A39BBE3" w14:textId="77777777">
      <w:pPr>
        <w:rPr>
          <w:rFonts w:ascii="Arial" w:hAnsi="Arial" w:eastAsia="Arial" w:cs="Arial"/>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630"/>
      </w:tblGrid>
      <w:tr w:rsidRPr="00BB2ECE" w:rsidR="00A07E36" w:rsidTr="00AE413F" w14:paraId="0260449C" w14:textId="77777777">
        <w:tc>
          <w:tcPr>
            <w:tcW w:w="8640" w:type="dxa"/>
            <w:shd w:val="clear" w:color="auto" w:fill="EAF0F8"/>
          </w:tcPr>
          <w:p w:rsidRPr="00BB2ECE" w:rsidR="00A07E36" w:rsidP="56F404EE" w:rsidRDefault="56F404EE" w14:paraId="27E01E11" w14:textId="77777777">
            <w:pPr>
              <w:rPr>
                <w:rFonts w:ascii="Arial" w:hAnsi="Arial" w:eastAsia="Arial" w:cs="Arial"/>
                <w:b/>
                <w:bCs/>
                <w:sz w:val="24"/>
                <w:szCs w:val="24"/>
              </w:rPr>
            </w:pPr>
            <w:r w:rsidRPr="00BB2ECE">
              <w:rPr>
                <w:rFonts w:ascii="Arial" w:hAnsi="Arial" w:eastAsia="Arial" w:cs="Arial"/>
                <w:b/>
                <w:bCs/>
                <w:sz w:val="24"/>
                <w:szCs w:val="24"/>
              </w:rPr>
              <w:t>Q. Will all submissions progress to the next stage?</w:t>
            </w:r>
          </w:p>
        </w:tc>
      </w:tr>
      <w:tr w:rsidRPr="00BB2ECE" w:rsidR="00A07E36" w:rsidTr="00AE413F" w14:paraId="1EE0E2B1" w14:textId="77777777">
        <w:tc>
          <w:tcPr>
            <w:tcW w:w="8640" w:type="dxa"/>
          </w:tcPr>
          <w:p w:rsidRPr="00BB2ECE" w:rsidR="00A07E36" w:rsidP="56F404EE" w:rsidRDefault="56F404EE" w14:paraId="6626BEBD" w14:textId="77777777">
            <w:pPr>
              <w:rPr>
                <w:rFonts w:ascii="Arial" w:hAnsi="Arial" w:eastAsia="Arial" w:cs="Arial"/>
                <w:sz w:val="24"/>
                <w:szCs w:val="24"/>
              </w:rPr>
            </w:pPr>
            <w:r w:rsidRPr="00BB2ECE">
              <w:rPr>
                <w:rFonts w:ascii="Arial" w:hAnsi="Arial" w:eastAsia="Arial" w:cs="Arial"/>
                <w:sz w:val="24"/>
                <w:szCs w:val="24"/>
              </w:rPr>
              <w:t>Submissions will be assessed through a structured process. Further engagement may occur with shortlisted proponents only.</w:t>
            </w:r>
          </w:p>
        </w:tc>
      </w:tr>
    </w:tbl>
    <w:p w:rsidRPr="00BB2ECE" w:rsidR="00A07E36" w:rsidP="56F404EE" w:rsidRDefault="00A07E36" w14:paraId="41C8F396" w14:textId="77777777">
      <w:pPr>
        <w:rPr>
          <w:rFonts w:ascii="Arial" w:hAnsi="Arial" w:eastAsia="Arial" w:cs="Arial"/>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630"/>
      </w:tblGrid>
      <w:tr w:rsidRPr="00BB2ECE" w:rsidR="00A07E36" w:rsidTr="59C21058" w14:paraId="7EFE7BEE" w14:textId="77777777">
        <w:tc>
          <w:tcPr>
            <w:tcW w:w="8640" w:type="dxa"/>
            <w:shd w:val="clear" w:color="auto" w:fill="EAF0F8"/>
            <w:tcMar/>
          </w:tcPr>
          <w:p w:rsidRPr="00BB2ECE" w:rsidR="00A07E36" w:rsidP="56F404EE" w:rsidRDefault="56F404EE" w14:paraId="1E01DF76" w14:textId="77777777">
            <w:pPr>
              <w:rPr>
                <w:rFonts w:ascii="Arial" w:hAnsi="Arial" w:eastAsia="Arial" w:cs="Arial"/>
                <w:b/>
                <w:bCs/>
                <w:sz w:val="24"/>
                <w:szCs w:val="24"/>
              </w:rPr>
            </w:pPr>
            <w:r w:rsidRPr="00BB2ECE">
              <w:rPr>
                <w:rFonts w:ascii="Arial" w:hAnsi="Arial" w:eastAsia="Arial" w:cs="Arial"/>
                <w:b/>
                <w:bCs/>
                <w:sz w:val="24"/>
                <w:szCs w:val="24"/>
              </w:rPr>
              <w:t>Q. What evidence of supplier readiness is useful?</w:t>
            </w:r>
          </w:p>
        </w:tc>
      </w:tr>
      <w:tr w:rsidRPr="00BB2ECE" w:rsidR="00A07E36" w:rsidTr="59C21058" w14:paraId="62C187D7" w14:textId="77777777">
        <w:tc>
          <w:tcPr>
            <w:tcW w:w="8640" w:type="dxa"/>
            <w:tcMar/>
          </w:tcPr>
          <w:p w:rsidRPr="00BB2ECE" w:rsidR="00A07E36" w:rsidP="56F404EE" w:rsidRDefault="56F404EE" w14:paraId="6F45FA08" w14:textId="293AA226">
            <w:pPr>
              <w:rPr>
                <w:rFonts w:ascii="Arial" w:hAnsi="Arial" w:eastAsia="Arial" w:cs="Arial"/>
                <w:sz w:val="24"/>
                <w:szCs w:val="24"/>
              </w:rPr>
            </w:pPr>
            <w:r w:rsidRPr="59C21058" w:rsidR="56F404EE">
              <w:rPr>
                <w:rFonts w:ascii="Arial" w:hAnsi="Arial" w:eastAsia="Arial" w:cs="Arial"/>
                <w:sz w:val="24"/>
                <w:szCs w:val="24"/>
              </w:rPr>
              <w:t xml:space="preserve">Useful information includes ability to scale, workforce capability, supply chain integration, delivery track </w:t>
            </w:r>
            <w:r w:rsidRPr="59C21058" w:rsidR="0F849C8B">
              <w:rPr>
                <w:rFonts w:ascii="Arial" w:hAnsi="Arial" w:eastAsia="Arial" w:cs="Arial"/>
                <w:sz w:val="24"/>
                <w:szCs w:val="24"/>
              </w:rPr>
              <w:t>record,</w:t>
            </w:r>
            <w:r w:rsidRPr="59C21058" w:rsidR="56F404EE">
              <w:rPr>
                <w:rFonts w:ascii="Arial" w:hAnsi="Arial" w:eastAsia="Arial" w:cs="Arial"/>
                <w:sz w:val="24"/>
                <w:szCs w:val="24"/>
              </w:rPr>
              <w:t xml:space="preserve"> and key dependencies. Submissions should </w:t>
            </w:r>
            <w:r w:rsidRPr="59C21058" w:rsidR="56F404EE">
              <w:rPr>
                <w:rFonts w:ascii="Arial" w:hAnsi="Arial" w:eastAsia="Arial" w:cs="Arial"/>
                <w:sz w:val="24"/>
                <w:szCs w:val="24"/>
              </w:rPr>
              <w:t>demonstrate</w:t>
            </w:r>
            <w:r w:rsidRPr="59C21058" w:rsidR="56F404EE">
              <w:rPr>
                <w:rFonts w:ascii="Arial" w:hAnsi="Arial" w:eastAsia="Arial" w:cs="Arial"/>
                <w:sz w:val="24"/>
                <w:szCs w:val="24"/>
              </w:rPr>
              <w:t xml:space="preserve"> capacity for sustainable delivery over time.</w:t>
            </w:r>
          </w:p>
        </w:tc>
      </w:tr>
    </w:tbl>
    <w:p w:rsidRPr="00BB2ECE" w:rsidR="00A07E36" w:rsidP="56F404EE" w:rsidRDefault="00A07E36" w14:paraId="72A3D3EC" w14:textId="5D0E507C">
      <w:pPr>
        <w:rPr>
          <w:rFonts w:ascii="Arial" w:hAnsi="Arial" w:eastAsia="Arial" w:cs="Arial"/>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630"/>
      </w:tblGrid>
      <w:tr w:rsidRPr="00BB2ECE" w:rsidR="00A07E36" w:rsidTr="00AE413F" w14:paraId="53D3C406" w14:textId="77777777">
        <w:tc>
          <w:tcPr>
            <w:tcW w:w="8640" w:type="dxa"/>
            <w:shd w:val="clear" w:color="auto" w:fill="EAF0F8"/>
          </w:tcPr>
          <w:p w:rsidRPr="00BB2ECE" w:rsidR="00A07E36" w:rsidP="56F404EE" w:rsidRDefault="56F404EE" w14:paraId="3F07011D" w14:textId="77777777">
            <w:pPr>
              <w:rPr>
                <w:rFonts w:ascii="Arial" w:hAnsi="Arial" w:eastAsia="Arial" w:cs="Arial"/>
                <w:b/>
                <w:bCs/>
                <w:sz w:val="24"/>
                <w:szCs w:val="24"/>
              </w:rPr>
            </w:pPr>
            <w:r w:rsidRPr="00BB2ECE">
              <w:rPr>
                <w:rFonts w:ascii="Arial" w:hAnsi="Arial" w:eastAsia="Arial" w:cs="Arial"/>
                <w:b/>
                <w:bCs/>
                <w:sz w:val="24"/>
                <w:szCs w:val="24"/>
              </w:rPr>
              <w:t>Q. Who is responsible for awareness and implementation?</w:t>
            </w:r>
          </w:p>
        </w:tc>
      </w:tr>
      <w:tr w:rsidRPr="00BB2ECE" w:rsidR="00A07E36" w:rsidTr="00AE413F" w14:paraId="3B56094C" w14:textId="77777777">
        <w:tc>
          <w:tcPr>
            <w:tcW w:w="8640" w:type="dxa"/>
          </w:tcPr>
          <w:p w:rsidRPr="00BB2ECE" w:rsidR="00A07E36" w:rsidP="56F404EE" w:rsidRDefault="56F404EE" w14:paraId="4A682849" w14:textId="77777777">
            <w:pPr>
              <w:rPr>
                <w:rFonts w:ascii="Arial" w:hAnsi="Arial" w:eastAsia="Arial" w:cs="Arial"/>
                <w:sz w:val="24"/>
                <w:szCs w:val="24"/>
              </w:rPr>
            </w:pPr>
            <w:r w:rsidRPr="00BB2ECE">
              <w:rPr>
                <w:rFonts w:ascii="Arial" w:hAnsi="Arial" w:eastAsia="Arial" w:cs="Arial"/>
                <w:sz w:val="24"/>
                <w:szCs w:val="24"/>
              </w:rPr>
              <w:t>Defence West is coordinating the EME process, working across Government and industry to build awareness and engagement.</w:t>
            </w:r>
          </w:p>
        </w:tc>
      </w:tr>
    </w:tbl>
    <w:p w:rsidRPr="00BB2ECE" w:rsidR="00A07E36" w:rsidP="56F404EE" w:rsidRDefault="00A07E36" w14:paraId="0D0B940D" w14:textId="62DB1708">
      <w:pPr>
        <w:rPr>
          <w:rFonts w:ascii="Arial" w:hAnsi="Arial" w:eastAsia="Arial" w:cs="Arial"/>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630"/>
      </w:tblGrid>
      <w:tr w:rsidRPr="00BB2ECE" w:rsidR="00A07E36" w:rsidTr="59C21058" w14:paraId="7CB98BEA" w14:textId="77777777">
        <w:tc>
          <w:tcPr>
            <w:tcW w:w="8640" w:type="dxa"/>
            <w:shd w:val="clear" w:color="auto" w:fill="EAF0F8"/>
            <w:tcMar/>
          </w:tcPr>
          <w:p w:rsidRPr="00BB2ECE" w:rsidR="00A07E36" w:rsidP="56F404EE" w:rsidRDefault="56F404EE" w14:paraId="10DE3392" w14:textId="693D0091">
            <w:pPr>
              <w:rPr>
                <w:rFonts w:ascii="Arial" w:hAnsi="Arial" w:eastAsia="Arial" w:cs="Arial"/>
                <w:b/>
                <w:bCs/>
                <w:sz w:val="24"/>
                <w:szCs w:val="24"/>
              </w:rPr>
            </w:pPr>
            <w:r w:rsidRPr="00BB2ECE">
              <w:rPr>
                <w:rFonts w:ascii="Arial" w:hAnsi="Arial" w:eastAsia="Arial" w:cs="Arial"/>
                <w:b/>
                <w:bCs/>
                <w:sz w:val="24"/>
                <w:szCs w:val="24"/>
              </w:rPr>
              <w:t>Q. Will ownership structures (local vs offshore) affect assessment?</w:t>
            </w:r>
          </w:p>
        </w:tc>
      </w:tr>
      <w:tr w:rsidRPr="00BB2ECE" w:rsidR="00A07E36" w:rsidTr="59C21058" w14:paraId="4CB541C5" w14:textId="77777777">
        <w:tc>
          <w:tcPr>
            <w:tcW w:w="8640" w:type="dxa"/>
            <w:tcMar/>
          </w:tcPr>
          <w:p w:rsidRPr="00BB2ECE" w:rsidR="00A07E36" w:rsidP="56F404EE" w:rsidRDefault="56F404EE" w14:paraId="263EBAD6" w14:textId="0BCD0FAB">
            <w:pPr>
              <w:rPr>
                <w:rFonts w:ascii="Arial" w:hAnsi="Arial" w:eastAsia="Arial" w:cs="Arial"/>
                <w:sz w:val="24"/>
                <w:szCs w:val="24"/>
              </w:rPr>
            </w:pPr>
            <w:r w:rsidRPr="59C21058" w:rsidR="56F404EE">
              <w:rPr>
                <w:rFonts w:ascii="Arial" w:hAnsi="Arial" w:eastAsia="Arial" w:cs="Arial"/>
                <w:sz w:val="24"/>
                <w:szCs w:val="24"/>
              </w:rPr>
              <w:t xml:space="preserve">Ownership and control structures may be considered as part of broader assessment of sovereign capability, supply chain </w:t>
            </w:r>
            <w:r w:rsidRPr="59C21058" w:rsidR="4BC9A3A6">
              <w:rPr>
                <w:rFonts w:ascii="Arial" w:hAnsi="Arial" w:eastAsia="Arial" w:cs="Arial"/>
                <w:sz w:val="24"/>
                <w:szCs w:val="24"/>
              </w:rPr>
              <w:t>integrity,</w:t>
            </w:r>
            <w:r w:rsidRPr="59C21058" w:rsidR="56F404EE">
              <w:rPr>
                <w:rFonts w:ascii="Arial" w:hAnsi="Arial" w:eastAsia="Arial" w:cs="Arial"/>
                <w:sz w:val="24"/>
                <w:szCs w:val="24"/>
              </w:rPr>
              <w:t xml:space="preserve"> and strategic alignment.</w:t>
            </w:r>
          </w:p>
        </w:tc>
      </w:tr>
    </w:tbl>
    <w:p w:rsidR="00A07E36" w:rsidP="56F404EE" w:rsidRDefault="00A07E36" w14:paraId="0E27B00A" w14:textId="55D5EA1A">
      <w:pPr>
        <w:rPr>
          <w:rFonts w:ascii="Arial" w:hAnsi="Arial" w:eastAsia="Arial" w:cs="Arial"/>
          <w:sz w:val="24"/>
          <w:szCs w:val="24"/>
        </w:rPr>
      </w:pPr>
    </w:p>
    <w:p w:rsidR="00685A41" w:rsidP="56F404EE" w:rsidRDefault="00685A41" w14:paraId="1D9080E3" w14:textId="68ECFB5B">
      <w:pPr>
        <w:rPr>
          <w:rFonts w:ascii="Arial" w:hAnsi="Arial" w:eastAsia="Arial" w:cs="Arial"/>
          <w:sz w:val="24"/>
          <w:szCs w:val="24"/>
        </w:rPr>
      </w:pPr>
    </w:p>
    <w:p w:rsidR="00685A41" w:rsidP="56F404EE" w:rsidRDefault="00685A41" w14:paraId="504A9E95" w14:textId="3DD9D987">
      <w:pPr>
        <w:rPr>
          <w:rFonts w:ascii="Arial" w:hAnsi="Arial" w:eastAsia="Arial" w:cs="Arial"/>
          <w:sz w:val="24"/>
          <w:szCs w:val="24"/>
        </w:rPr>
      </w:pPr>
    </w:p>
    <w:p w:rsidRPr="00BB2ECE" w:rsidR="00685A41" w:rsidP="56F404EE" w:rsidRDefault="00685A41" w14:paraId="34BACD8F" w14:textId="73A40C02">
      <w:pPr>
        <w:rPr>
          <w:rFonts w:ascii="Arial" w:hAnsi="Arial" w:eastAsia="Arial" w:cs="Arial"/>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630"/>
      </w:tblGrid>
      <w:tr w:rsidRPr="00BB2ECE" w:rsidR="00A07E36" w:rsidTr="00AE413F" w14:paraId="30944E71" w14:textId="77777777">
        <w:tc>
          <w:tcPr>
            <w:tcW w:w="8640" w:type="dxa"/>
            <w:shd w:val="clear" w:color="auto" w:fill="EAF0F8"/>
          </w:tcPr>
          <w:p w:rsidRPr="00BB2ECE" w:rsidR="00A07E36" w:rsidP="56F404EE" w:rsidRDefault="56F404EE" w14:paraId="43B37827" w14:textId="77777777">
            <w:pPr>
              <w:rPr>
                <w:rFonts w:ascii="Arial" w:hAnsi="Arial" w:eastAsia="Arial" w:cs="Arial"/>
                <w:b/>
                <w:bCs/>
                <w:sz w:val="24"/>
                <w:szCs w:val="24"/>
              </w:rPr>
            </w:pPr>
            <w:r w:rsidRPr="00BB2ECE">
              <w:rPr>
                <w:rFonts w:ascii="Arial" w:hAnsi="Arial" w:eastAsia="Arial" w:cs="Arial"/>
                <w:b/>
                <w:bCs/>
                <w:sz w:val="24"/>
                <w:szCs w:val="24"/>
              </w:rPr>
              <w:lastRenderedPageBreak/>
              <w:t xml:space="preserve">Q. Are </w:t>
            </w:r>
            <w:proofErr w:type="gramStart"/>
            <w:r w:rsidRPr="00BB2ECE">
              <w:rPr>
                <w:rFonts w:ascii="Arial" w:hAnsi="Arial" w:eastAsia="Arial" w:cs="Arial"/>
                <w:b/>
                <w:bCs/>
                <w:sz w:val="24"/>
                <w:szCs w:val="24"/>
              </w:rPr>
              <w:t>there</w:t>
            </w:r>
            <w:proofErr w:type="gramEnd"/>
            <w:r w:rsidRPr="00BB2ECE">
              <w:rPr>
                <w:rFonts w:ascii="Arial" w:hAnsi="Arial" w:eastAsia="Arial" w:cs="Arial"/>
                <w:b/>
                <w:bCs/>
                <w:sz w:val="24"/>
                <w:szCs w:val="24"/>
              </w:rPr>
              <w:t xml:space="preserve"> preferred countries for OEMs?</w:t>
            </w:r>
          </w:p>
        </w:tc>
      </w:tr>
      <w:tr w:rsidRPr="00BB2ECE" w:rsidR="00A07E36" w:rsidTr="00AE413F" w14:paraId="6FF20907" w14:textId="77777777">
        <w:tc>
          <w:tcPr>
            <w:tcW w:w="8640" w:type="dxa"/>
          </w:tcPr>
          <w:p w:rsidRPr="00BB2ECE" w:rsidR="00A07E36" w:rsidP="56F404EE" w:rsidRDefault="56F404EE" w14:paraId="5A189355" w14:textId="77777777">
            <w:pPr>
              <w:rPr>
                <w:rFonts w:ascii="Arial" w:hAnsi="Arial" w:eastAsia="Arial" w:cs="Arial"/>
                <w:sz w:val="24"/>
                <w:szCs w:val="24"/>
              </w:rPr>
            </w:pPr>
            <w:r w:rsidRPr="00BB2ECE">
              <w:rPr>
                <w:rFonts w:ascii="Arial" w:hAnsi="Arial" w:eastAsia="Arial" w:cs="Arial"/>
                <w:sz w:val="24"/>
                <w:szCs w:val="24"/>
              </w:rPr>
              <w:t>Submissions should reflect alignment with Australia’s defence and regulatory environment. Any constraints will be guided by Commonwealth Defence Industry related policy settings and standards.</w:t>
            </w:r>
          </w:p>
        </w:tc>
      </w:tr>
    </w:tbl>
    <w:p w:rsidRPr="00BB2ECE" w:rsidR="00A07E36" w:rsidP="56F404EE" w:rsidRDefault="00A07E36" w14:paraId="60061E4C" w14:textId="77777777">
      <w:pPr>
        <w:rPr>
          <w:rFonts w:ascii="Arial" w:hAnsi="Arial" w:eastAsia="Arial" w:cs="Arial"/>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630"/>
      </w:tblGrid>
      <w:tr w:rsidRPr="00BB2ECE" w:rsidR="00A07E36" w:rsidTr="00AE413F" w14:paraId="7E5D0D65" w14:textId="77777777">
        <w:tc>
          <w:tcPr>
            <w:tcW w:w="8640" w:type="dxa"/>
            <w:shd w:val="clear" w:color="auto" w:fill="EAF0F8"/>
          </w:tcPr>
          <w:p w:rsidRPr="00BB2ECE" w:rsidR="00A07E36" w:rsidP="56F404EE" w:rsidRDefault="56F404EE" w14:paraId="345F3FD8" w14:textId="77777777">
            <w:pPr>
              <w:rPr>
                <w:rFonts w:ascii="Arial" w:hAnsi="Arial" w:eastAsia="Arial" w:cs="Arial"/>
                <w:b/>
                <w:bCs/>
                <w:sz w:val="24"/>
                <w:szCs w:val="24"/>
              </w:rPr>
            </w:pPr>
            <w:r w:rsidRPr="00BB2ECE">
              <w:rPr>
                <w:rFonts w:ascii="Arial" w:hAnsi="Arial" w:eastAsia="Arial" w:cs="Arial"/>
                <w:b/>
                <w:bCs/>
                <w:sz w:val="24"/>
                <w:szCs w:val="24"/>
              </w:rPr>
              <w:t>Q. What support is available for DISP accreditation?</w:t>
            </w:r>
          </w:p>
        </w:tc>
      </w:tr>
      <w:tr w:rsidRPr="00BB2ECE" w:rsidR="00A07E36" w:rsidTr="00AE413F" w14:paraId="5EE28309" w14:textId="77777777">
        <w:tc>
          <w:tcPr>
            <w:tcW w:w="8640" w:type="dxa"/>
          </w:tcPr>
          <w:p w:rsidRPr="00BB2ECE" w:rsidR="00A07E36" w:rsidP="56F404EE" w:rsidRDefault="56F404EE" w14:paraId="326F7569" w14:textId="77777777">
            <w:pPr>
              <w:rPr>
                <w:rFonts w:ascii="Arial" w:hAnsi="Arial" w:eastAsia="Arial" w:cs="Arial"/>
                <w:sz w:val="24"/>
                <w:szCs w:val="24"/>
              </w:rPr>
            </w:pPr>
            <w:r w:rsidRPr="00BB2ECE">
              <w:rPr>
                <w:rFonts w:ascii="Arial" w:hAnsi="Arial" w:eastAsia="Arial" w:cs="Arial"/>
                <w:sz w:val="24"/>
                <w:szCs w:val="24"/>
              </w:rPr>
              <w:t>Organisations are responsible for pursuing DISP accreditation. Defence West can support awareness and connection to relevant information and pathways.</w:t>
            </w:r>
          </w:p>
        </w:tc>
      </w:tr>
    </w:tbl>
    <w:p w:rsidRPr="00BB2ECE" w:rsidR="00A07E36" w:rsidP="56F404EE" w:rsidRDefault="00A07E36" w14:paraId="44EAFD9C" w14:textId="77777777">
      <w:pPr>
        <w:rPr>
          <w:rFonts w:ascii="Arial" w:hAnsi="Arial" w:eastAsia="Arial" w:cs="Arial"/>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630"/>
      </w:tblGrid>
      <w:tr w:rsidRPr="00BB2ECE" w:rsidR="00A07E36" w:rsidTr="3628F93F" w14:paraId="3CA2D304" w14:textId="77777777">
        <w:tc>
          <w:tcPr>
            <w:tcW w:w="8640" w:type="dxa"/>
            <w:shd w:val="clear" w:color="auto" w:fill="EAF0F8"/>
            <w:tcMar/>
          </w:tcPr>
          <w:p w:rsidRPr="00BB2ECE" w:rsidR="00A07E36" w:rsidP="56F404EE" w:rsidRDefault="56F404EE" w14:paraId="5CC8D107" w14:textId="254387F3">
            <w:pPr>
              <w:rPr>
                <w:rFonts w:ascii="Arial" w:hAnsi="Arial" w:eastAsia="Arial" w:cs="Arial"/>
                <w:b w:val="1"/>
                <w:bCs w:val="1"/>
                <w:sz w:val="24"/>
                <w:szCs w:val="24"/>
              </w:rPr>
            </w:pPr>
            <w:r w:rsidRPr="3628F93F" w:rsidR="6DB2B600">
              <w:rPr>
                <w:rFonts w:ascii="Arial" w:hAnsi="Arial" w:eastAsia="Arial" w:cs="Arial"/>
                <w:b w:val="1"/>
                <w:bCs w:val="1"/>
                <w:sz w:val="24"/>
                <w:szCs w:val="24"/>
              </w:rPr>
              <w:t xml:space="preserve">Q. Can international </w:t>
            </w:r>
            <w:r w:rsidRPr="3628F93F" w:rsidR="6DB2B600">
              <w:rPr>
                <w:rFonts w:ascii="Arial" w:hAnsi="Arial" w:eastAsia="Arial" w:cs="Arial"/>
                <w:b w:val="1"/>
                <w:bCs w:val="1"/>
                <w:sz w:val="24"/>
                <w:szCs w:val="24"/>
              </w:rPr>
              <w:t>organisation</w:t>
            </w:r>
            <w:r w:rsidRPr="3628F93F" w:rsidR="6CC0C665">
              <w:rPr>
                <w:rFonts w:ascii="Arial" w:hAnsi="Arial" w:eastAsia="Arial" w:cs="Arial"/>
                <w:b w:val="1"/>
                <w:bCs w:val="1"/>
                <w:sz w:val="24"/>
                <w:szCs w:val="24"/>
              </w:rPr>
              <w:t>’</w:t>
            </w:r>
            <w:r w:rsidRPr="3628F93F" w:rsidR="6DB2B600">
              <w:rPr>
                <w:rFonts w:ascii="Arial" w:hAnsi="Arial" w:eastAsia="Arial" w:cs="Arial"/>
                <w:b w:val="1"/>
                <w:bCs w:val="1"/>
                <w:sz w:val="24"/>
                <w:szCs w:val="24"/>
              </w:rPr>
              <w:t>s</w:t>
            </w:r>
            <w:r w:rsidRPr="3628F93F" w:rsidR="6DB2B600">
              <w:rPr>
                <w:rFonts w:ascii="Arial" w:hAnsi="Arial" w:eastAsia="Arial" w:cs="Arial"/>
                <w:b w:val="1"/>
                <w:bCs w:val="1"/>
                <w:sz w:val="24"/>
                <w:szCs w:val="24"/>
              </w:rPr>
              <w:t xml:space="preserve"> </w:t>
            </w:r>
            <w:r w:rsidRPr="3628F93F" w:rsidR="6DB2B600">
              <w:rPr>
                <w:rFonts w:ascii="Arial" w:hAnsi="Arial" w:eastAsia="Arial" w:cs="Arial"/>
                <w:b w:val="1"/>
                <w:bCs w:val="1"/>
                <w:sz w:val="24"/>
                <w:szCs w:val="24"/>
              </w:rPr>
              <w:t>participate</w:t>
            </w:r>
            <w:r w:rsidRPr="3628F93F" w:rsidR="6DB2B600">
              <w:rPr>
                <w:rFonts w:ascii="Arial" w:hAnsi="Arial" w:eastAsia="Arial" w:cs="Arial"/>
                <w:b w:val="1"/>
                <w:bCs w:val="1"/>
                <w:sz w:val="24"/>
                <w:szCs w:val="24"/>
              </w:rPr>
              <w:t>?</w:t>
            </w:r>
          </w:p>
        </w:tc>
      </w:tr>
      <w:tr w:rsidRPr="00BB2ECE" w:rsidR="00A07E36" w:rsidTr="3628F93F" w14:paraId="695E282B" w14:textId="77777777">
        <w:tc>
          <w:tcPr>
            <w:tcW w:w="8640" w:type="dxa"/>
            <w:tcMar/>
          </w:tcPr>
          <w:p w:rsidRPr="00BB2ECE" w:rsidR="00A07E36" w:rsidP="56F404EE" w:rsidRDefault="56F404EE" w14:paraId="71D43FB5" w14:textId="77777777">
            <w:pPr>
              <w:rPr>
                <w:rFonts w:ascii="Arial" w:hAnsi="Arial" w:eastAsia="Arial" w:cs="Arial"/>
                <w:sz w:val="24"/>
                <w:szCs w:val="24"/>
              </w:rPr>
            </w:pPr>
            <w:r w:rsidRPr="00BB2ECE">
              <w:rPr>
                <w:rFonts w:ascii="Arial" w:hAnsi="Arial" w:eastAsia="Arial" w:cs="Arial"/>
                <w:sz w:val="24"/>
                <w:szCs w:val="24"/>
              </w:rPr>
              <w:t>Yes. Submissions are open to international organisations, noting alignment with Australia’s regulatory and Defence Industry policy settings will be considered.</w:t>
            </w:r>
          </w:p>
        </w:tc>
      </w:tr>
    </w:tbl>
    <w:p w:rsidRPr="00BB2ECE" w:rsidR="00A07E36" w:rsidP="56F404EE" w:rsidRDefault="00A07E36" w14:paraId="4B94D5A5" w14:textId="77777777">
      <w:pPr>
        <w:rPr>
          <w:rFonts w:ascii="Arial" w:hAnsi="Arial" w:eastAsia="Arial" w:cs="Arial"/>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630"/>
      </w:tblGrid>
      <w:tr w:rsidRPr="00BB2ECE" w:rsidR="00A07E36" w:rsidTr="00AE413F" w14:paraId="02840A34" w14:textId="77777777">
        <w:tc>
          <w:tcPr>
            <w:tcW w:w="8640" w:type="dxa"/>
            <w:shd w:val="clear" w:color="auto" w:fill="EAF0F8"/>
          </w:tcPr>
          <w:p w:rsidRPr="00BB2ECE" w:rsidR="00A07E36" w:rsidP="56F404EE" w:rsidRDefault="56F404EE" w14:paraId="0DBD6A1B" w14:textId="77777777">
            <w:pPr>
              <w:rPr>
                <w:rFonts w:ascii="Arial" w:hAnsi="Arial" w:eastAsia="Arial" w:cs="Arial"/>
                <w:b/>
                <w:bCs/>
                <w:sz w:val="24"/>
                <w:szCs w:val="24"/>
              </w:rPr>
            </w:pPr>
            <w:r w:rsidRPr="00BB2ECE">
              <w:rPr>
                <w:rFonts w:ascii="Arial" w:hAnsi="Arial" w:eastAsia="Arial" w:cs="Arial"/>
                <w:b/>
                <w:bCs/>
                <w:sz w:val="24"/>
                <w:szCs w:val="24"/>
              </w:rPr>
              <w:t>Q. What aligns most with ADF requirements?</w:t>
            </w:r>
          </w:p>
        </w:tc>
      </w:tr>
      <w:tr w:rsidRPr="00BB2ECE" w:rsidR="00A07E36" w:rsidTr="00AE413F" w14:paraId="7632BC3F" w14:textId="77777777">
        <w:tc>
          <w:tcPr>
            <w:tcW w:w="8640" w:type="dxa"/>
          </w:tcPr>
          <w:p w:rsidRPr="00BB2ECE" w:rsidR="00A07E36" w:rsidP="56F404EE" w:rsidRDefault="56F404EE" w14:paraId="49D32D91" w14:textId="77777777">
            <w:pPr>
              <w:rPr>
                <w:rFonts w:ascii="Arial" w:hAnsi="Arial" w:eastAsia="Arial" w:cs="Arial"/>
                <w:sz w:val="24"/>
                <w:szCs w:val="24"/>
              </w:rPr>
            </w:pPr>
            <w:r w:rsidRPr="00BB2ECE">
              <w:rPr>
                <w:rFonts w:ascii="Arial" w:hAnsi="Arial" w:eastAsia="Arial" w:cs="Arial"/>
                <w:sz w:val="24"/>
                <w:szCs w:val="24"/>
              </w:rPr>
              <w:t>Capabilities aligned to defence manufacturing, sustainment and supply chains, particularly those supporting sovereign capability outcomes, are of interest. Detailed alignment will be assessed through the evaluation process.</w:t>
            </w:r>
          </w:p>
        </w:tc>
      </w:tr>
    </w:tbl>
    <w:p w:rsidRPr="00BB2ECE" w:rsidR="00A07E36" w:rsidP="56F404EE" w:rsidRDefault="00A07E36" w14:paraId="3DEEC669" w14:textId="77777777">
      <w:pPr>
        <w:rPr>
          <w:rFonts w:ascii="Arial" w:hAnsi="Arial" w:eastAsia="Arial" w:cs="Arial"/>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630"/>
      </w:tblGrid>
      <w:tr w:rsidRPr="00BB2ECE" w:rsidR="00A07E36" w:rsidTr="59C21058" w14:paraId="48ADA64E" w14:textId="77777777">
        <w:tc>
          <w:tcPr>
            <w:tcW w:w="8640" w:type="dxa"/>
            <w:shd w:val="clear" w:color="auto" w:fill="EAF0F8"/>
            <w:tcMar/>
          </w:tcPr>
          <w:p w:rsidRPr="00BB2ECE" w:rsidR="00A07E36" w:rsidP="56F404EE" w:rsidRDefault="56F404EE" w14:paraId="2BC19F72" w14:textId="6CB20585">
            <w:pPr>
              <w:rPr>
                <w:rFonts w:ascii="Arial" w:hAnsi="Arial" w:eastAsia="Arial" w:cs="Arial"/>
                <w:b/>
                <w:bCs/>
                <w:sz w:val="24"/>
                <w:szCs w:val="24"/>
              </w:rPr>
            </w:pPr>
            <w:r w:rsidRPr="00BB2ECE">
              <w:rPr>
                <w:rFonts w:ascii="Arial" w:hAnsi="Arial" w:eastAsia="Arial" w:cs="Arial"/>
                <w:b/>
                <w:bCs/>
                <w:sz w:val="24"/>
                <w:szCs w:val="24"/>
              </w:rPr>
              <w:t xml:space="preserve">Q. What capabilities </w:t>
            </w:r>
            <w:r w:rsidRPr="00BB2ECE" w:rsidR="0073759C">
              <w:rPr>
                <w:rFonts w:ascii="Arial" w:hAnsi="Arial" w:eastAsia="Arial" w:cs="Arial"/>
                <w:b/>
                <w:bCs/>
                <w:sz w:val="24"/>
                <w:szCs w:val="24"/>
              </w:rPr>
              <w:t>are</w:t>
            </w:r>
            <w:r w:rsidRPr="00BB2ECE">
              <w:rPr>
                <w:rFonts w:ascii="Arial" w:hAnsi="Arial" w:eastAsia="Arial" w:cs="Arial"/>
                <w:b/>
                <w:bCs/>
                <w:sz w:val="24"/>
                <w:szCs w:val="24"/>
              </w:rPr>
              <w:t xml:space="preserve"> WA most interested in attracting?</w:t>
            </w:r>
          </w:p>
        </w:tc>
      </w:tr>
      <w:tr w:rsidRPr="00BB2ECE" w:rsidR="00A07E36" w:rsidTr="59C21058" w14:paraId="18C17438" w14:textId="77777777">
        <w:tc>
          <w:tcPr>
            <w:tcW w:w="8640" w:type="dxa"/>
            <w:tcMar/>
          </w:tcPr>
          <w:p w:rsidRPr="00BB2ECE" w:rsidR="00A07E36" w:rsidP="56F404EE" w:rsidRDefault="56F404EE" w14:paraId="3B209572" w14:textId="5FCCD92E">
            <w:pPr>
              <w:rPr>
                <w:rFonts w:ascii="Arial" w:hAnsi="Arial" w:eastAsia="Arial" w:cs="Arial"/>
                <w:sz w:val="24"/>
                <w:szCs w:val="24"/>
              </w:rPr>
            </w:pPr>
            <w:r w:rsidRPr="59C21058" w:rsidR="56F404EE">
              <w:rPr>
                <w:rFonts w:ascii="Arial" w:hAnsi="Arial" w:eastAsia="Arial" w:cs="Arial"/>
                <w:sz w:val="24"/>
                <w:szCs w:val="24"/>
              </w:rPr>
              <w:t xml:space="preserve">The EME is seeking a broad range of </w:t>
            </w:r>
            <w:r w:rsidRPr="59C21058" w:rsidR="56F404EE">
              <w:rPr>
                <w:rFonts w:ascii="Arial" w:hAnsi="Arial" w:eastAsia="Arial" w:cs="Arial"/>
                <w:sz w:val="24"/>
                <w:szCs w:val="24"/>
              </w:rPr>
              <w:t>defence</w:t>
            </w:r>
            <w:r w:rsidRPr="59C21058" w:rsidR="56F404EE">
              <w:rPr>
                <w:rFonts w:ascii="Arial" w:hAnsi="Arial" w:eastAsia="Arial" w:cs="Arial"/>
                <w:sz w:val="24"/>
                <w:szCs w:val="24"/>
              </w:rPr>
              <w:t xml:space="preserve">-related manufacturing, supply </w:t>
            </w:r>
            <w:r w:rsidRPr="59C21058" w:rsidR="56F404EE">
              <w:rPr>
                <w:rFonts w:ascii="Arial" w:hAnsi="Arial" w:eastAsia="Arial" w:cs="Arial"/>
                <w:sz w:val="24"/>
                <w:szCs w:val="24"/>
              </w:rPr>
              <w:t>chain</w:t>
            </w:r>
            <w:r w:rsidRPr="59C21058" w:rsidR="56F404EE">
              <w:rPr>
                <w:rFonts w:ascii="Arial" w:hAnsi="Arial" w:eastAsia="Arial" w:cs="Arial"/>
                <w:sz w:val="24"/>
                <w:szCs w:val="24"/>
              </w:rPr>
              <w:t xml:space="preserve"> and enabling capabilities. Priority will be informed by alignment to </w:t>
            </w:r>
            <w:r w:rsidRPr="59C21058" w:rsidR="56F404EE">
              <w:rPr>
                <w:rFonts w:ascii="Arial" w:hAnsi="Arial" w:eastAsia="Arial" w:cs="Arial"/>
                <w:sz w:val="24"/>
                <w:szCs w:val="24"/>
              </w:rPr>
              <w:t>defence</w:t>
            </w:r>
            <w:r w:rsidRPr="59C21058" w:rsidR="56F404EE">
              <w:rPr>
                <w:rFonts w:ascii="Arial" w:hAnsi="Arial" w:eastAsia="Arial" w:cs="Arial"/>
                <w:sz w:val="24"/>
                <w:szCs w:val="24"/>
              </w:rPr>
              <w:t xml:space="preserve"> requirements, sovereign capability </w:t>
            </w:r>
            <w:r w:rsidRPr="59C21058" w:rsidR="396E388F">
              <w:rPr>
                <w:rFonts w:ascii="Arial" w:hAnsi="Arial" w:eastAsia="Arial" w:cs="Arial"/>
                <w:sz w:val="24"/>
                <w:szCs w:val="24"/>
              </w:rPr>
              <w:t>objectives,</w:t>
            </w:r>
            <w:r w:rsidRPr="59C21058" w:rsidR="56F404EE">
              <w:rPr>
                <w:rFonts w:ascii="Arial" w:hAnsi="Arial" w:eastAsia="Arial" w:cs="Arial"/>
                <w:sz w:val="24"/>
                <w:szCs w:val="24"/>
              </w:rPr>
              <w:t xml:space="preserve"> and market viability.</w:t>
            </w:r>
          </w:p>
        </w:tc>
      </w:tr>
    </w:tbl>
    <w:p w:rsidRPr="00BB2ECE" w:rsidR="00A07E36" w:rsidP="56F404EE" w:rsidRDefault="00A07E36" w14:paraId="3656B9AB" w14:textId="77777777">
      <w:pPr>
        <w:rPr>
          <w:rFonts w:ascii="Arial" w:hAnsi="Arial" w:eastAsia="Arial" w:cs="Arial"/>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630"/>
      </w:tblGrid>
      <w:tr w:rsidRPr="00BB2ECE" w:rsidR="00A07E36" w:rsidTr="00AE413F" w14:paraId="64CE9455" w14:textId="77777777">
        <w:tc>
          <w:tcPr>
            <w:tcW w:w="8640" w:type="dxa"/>
            <w:shd w:val="clear" w:color="auto" w:fill="EAF0F8"/>
          </w:tcPr>
          <w:p w:rsidRPr="00BB2ECE" w:rsidR="00A07E36" w:rsidP="56F404EE" w:rsidRDefault="56F404EE" w14:paraId="294818F1" w14:textId="77777777">
            <w:pPr>
              <w:rPr>
                <w:rFonts w:ascii="Arial" w:hAnsi="Arial" w:eastAsia="Arial" w:cs="Arial"/>
                <w:b/>
                <w:bCs/>
                <w:sz w:val="24"/>
                <w:szCs w:val="24"/>
              </w:rPr>
            </w:pPr>
            <w:r w:rsidRPr="00BB2ECE">
              <w:rPr>
                <w:rFonts w:ascii="Arial" w:hAnsi="Arial" w:eastAsia="Arial" w:cs="Arial"/>
                <w:b/>
                <w:bCs/>
                <w:sz w:val="24"/>
                <w:szCs w:val="24"/>
              </w:rPr>
              <w:t>Q. Will Government connect industry to testing/certification partners?</w:t>
            </w:r>
          </w:p>
        </w:tc>
      </w:tr>
      <w:tr w:rsidRPr="00BB2ECE" w:rsidR="00A07E36" w:rsidTr="00AE413F" w14:paraId="6E4019B2" w14:textId="77777777">
        <w:tc>
          <w:tcPr>
            <w:tcW w:w="8640" w:type="dxa"/>
          </w:tcPr>
          <w:p w:rsidRPr="00BB2ECE" w:rsidR="00A07E36" w:rsidP="56F404EE" w:rsidRDefault="56F404EE" w14:paraId="30FE25E8" w14:textId="77777777">
            <w:pPr>
              <w:rPr>
                <w:rFonts w:ascii="Arial" w:hAnsi="Arial" w:eastAsia="Arial" w:cs="Arial"/>
                <w:sz w:val="24"/>
                <w:szCs w:val="24"/>
              </w:rPr>
            </w:pPr>
            <w:r w:rsidRPr="00BB2ECE">
              <w:rPr>
                <w:rFonts w:ascii="Arial" w:hAnsi="Arial" w:eastAsia="Arial" w:cs="Arial"/>
                <w:sz w:val="24"/>
                <w:szCs w:val="24"/>
              </w:rPr>
              <w:t>The Early Market Engagement will help identify opportunities for collaboration and connection within the innovation and research ecosystem, including testing and certification pathways.</w:t>
            </w:r>
          </w:p>
        </w:tc>
      </w:tr>
    </w:tbl>
    <w:p w:rsidR="00A07E36" w:rsidP="56F404EE" w:rsidRDefault="00A07E36" w14:paraId="45FB0818" w14:textId="77777777">
      <w:pPr>
        <w:rPr>
          <w:rFonts w:ascii="Arial" w:hAnsi="Arial" w:eastAsia="Arial" w:cs="Arial"/>
          <w:sz w:val="24"/>
          <w:szCs w:val="24"/>
        </w:rPr>
      </w:pPr>
    </w:p>
    <w:p w:rsidRPr="00BB2ECE" w:rsidR="000F7D9A" w:rsidP="56F404EE" w:rsidRDefault="000F7D9A" w14:paraId="1ED73DDD" w14:textId="77777777">
      <w:pPr>
        <w:rPr>
          <w:rFonts w:ascii="Arial" w:hAnsi="Arial" w:eastAsia="Arial" w:cs="Arial"/>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630"/>
      </w:tblGrid>
      <w:tr w:rsidRPr="00BB2ECE" w:rsidR="00A07E36" w:rsidTr="00AE413F" w14:paraId="69BE00FD" w14:textId="77777777">
        <w:tc>
          <w:tcPr>
            <w:tcW w:w="8640" w:type="dxa"/>
            <w:shd w:val="clear" w:color="auto" w:fill="EAF0F8"/>
          </w:tcPr>
          <w:p w:rsidRPr="00BB2ECE" w:rsidR="00A07E36" w:rsidP="56F404EE" w:rsidRDefault="56F404EE" w14:paraId="586B0A3E" w14:textId="77777777">
            <w:pPr>
              <w:rPr>
                <w:rFonts w:ascii="Arial" w:hAnsi="Arial" w:eastAsia="Arial" w:cs="Arial"/>
                <w:b/>
                <w:bCs/>
                <w:sz w:val="24"/>
                <w:szCs w:val="24"/>
              </w:rPr>
            </w:pPr>
            <w:r w:rsidRPr="00BB2ECE">
              <w:rPr>
                <w:rFonts w:ascii="Arial" w:hAnsi="Arial" w:eastAsia="Arial" w:cs="Arial"/>
                <w:b/>
                <w:bCs/>
                <w:sz w:val="24"/>
                <w:szCs w:val="24"/>
              </w:rPr>
              <w:lastRenderedPageBreak/>
              <w:t xml:space="preserve">Q. How will </w:t>
            </w:r>
            <w:proofErr w:type="gramStart"/>
            <w:r w:rsidRPr="00BB2ECE">
              <w:rPr>
                <w:rFonts w:ascii="Arial" w:hAnsi="Arial" w:eastAsia="Arial" w:cs="Arial"/>
                <w:b/>
                <w:bCs/>
                <w:sz w:val="24"/>
                <w:szCs w:val="24"/>
              </w:rPr>
              <w:t>enabling</w:t>
            </w:r>
            <w:proofErr w:type="gramEnd"/>
            <w:r w:rsidRPr="00BB2ECE">
              <w:rPr>
                <w:rFonts w:ascii="Arial" w:hAnsi="Arial" w:eastAsia="Arial" w:cs="Arial"/>
                <w:b/>
                <w:bCs/>
                <w:sz w:val="24"/>
                <w:szCs w:val="24"/>
              </w:rPr>
              <w:t xml:space="preserve"> materials </w:t>
            </w:r>
            <w:proofErr w:type="gramStart"/>
            <w:r w:rsidRPr="00BB2ECE">
              <w:rPr>
                <w:rFonts w:ascii="Arial" w:hAnsi="Arial" w:eastAsia="Arial" w:cs="Arial"/>
                <w:b/>
                <w:bCs/>
                <w:sz w:val="24"/>
                <w:szCs w:val="24"/>
              </w:rPr>
              <w:t>be</w:t>
            </w:r>
            <w:proofErr w:type="gramEnd"/>
            <w:r w:rsidRPr="00BB2ECE">
              <w:rPr>
                <w:rFonts w:ascii="Arial" w:hAnsi="Arial" w:eastAsia="Arial" w:cs="Arial"/>
                <w:b/>
                <w:bCs/>
                <w:sz w:val="24"/>
                <w:szCs w:val="24"/>
              </w:rPr>
              <w:t xml:space="preserve"> supported?</w:t>
            </w:r>
          </w:p>
        </w:tc>
      </w:tr>
      <w:tr w:rsidRPr="00BB2ECE" w:rsidR="00A07E36" w:rsidTr="00AE413F" w14:paraId="2F5D69CF" w14:textId="77777777">
        <w:tc>
          <w:tcPr>
            <w:tcW w:w="8640" w:type="dxa"/>
          </w:tcPr>
          <w:p w:rsidRPr="00BB2ECE" w:rsidR="00A07E36" w:rsidP="56F404EE" w:rsidRDefault="56F404EE" w14:paraId="5A75CA1E" w14:textId="77777777">
            <w:pPr>
              <w:rPr>
                <w:rFonts w:ascii="Arial" w:hAnsi="Arial" w:eastAsia="Arial" w:cs="Arial"/>
                <w:sz w:val="24"/>
                <w:szCs w:val="24"/>
              </w:rPr>
            </w:pPr>
            <w:r w:rsidRPr="00BB2ECE">
              <w:rPr>
                <w:rFonts w:ascii="Arial" w:hAnsi="Arial" w:eastAsia="Arial" w:cs="Arial"/>
                <w:sz w:val="24"/>
                <w:szCs w:val="24"/>
              </w:rPr>
              <w:t>Submissions identifying enabling technologies and materials will inform understanding of capability gaps and opportunities within the broader ecosystem.</w:t>
            </w:r>
          </w:p>
        </w:tc>
      </w:tr>
    </w:tbl>
    <w:p w:rsidRPr="00BB2ECE" w:rsidR="00A07E36" w:rsidP="56F404EE" w:rsidRDefault="00A07E36" w14:paraId="049F31CB" w14:textId="77777777">
      <w:pPr>
        <w:rPr>
          <w:rFonts w:ascii="Arial" w:hAnsi="Arial" w:eastAsia="Arial" w:cs="Arial"/>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630"/>
      </w:tblGrid>
      <w:tr w:rsidRPr="00BB2ECE" w:rsidR="00A07E36" w:rsidTr="00AE413F" w14:paraId="58C013E0" w14:textId="77777777">
        <w:tc>
          <w:tcPr>
            <w:tcW w:w="8640" w:type="dxa"/>
            <w:shd w:val="clear" w:color="auto" w:fill="EAF0F8"/>
          </w:tcPr>
          <w:p w:rsidRPr="00BB2ECE" w:rsidR="00A07E36" w:rsidP="56F404EE" w:rsidRDefault="56F404EE" w14:paraId="35B8A7AE" w14:textId="77777777">
            <w:pPr>
              <w:rPr>
                <w:rFonts w:ascii="Arial" w:hAnsi="Arial" w:eastAsia="Arial" w:cs="Arial"/>
                <w:b/>
                <w:bCs/>
                <w:sz w:val="24"/>
                <w:szCs w:val="24"/>
              </w:rPr>
            </w:pPr>
            <w:r w:rsidRPr="00BB2ECE">
              <w:rPr>
                <w:rFonts w:ascii="Arial" w:hAnsi="Arial" w:eastAsia="Arial" w:cs="Arial"/>
                <w:b/>
                <w:bCs/>
                <w:sz w:val="24"/>
                <w:szCs w:val="24"/>
              </w:rPr>
              <w:t>Q. How does the Forge fit within the broader WA innovation ecosystem?</w:t>
            </w:r>
          </w:p>
        </w:tc>
      </w:tr>
      <w:tr w:rsidRPr="00BB2ECE" w:rsidR="00A07E36" w:rsidTr="00AE413F" w14:paraId="223F9B1B" w14:textId="77777777">
        <w:tc>
          <w:tcPr>
            <w:tcW w:w="8640" w:type="dxa"/>
          </w:tcPr>
          <w:p w:rsidRPr="00BB2ECE" w:rsidR="00A07E36" w:rsidP="56F404EE" w:rsidRDefault="56F404EE" w14:paraId="6F034765" w14:textId="77777777">
            <w:pPr>
              <w:rPr>
                <w:rFonts w:ascii="Arial" w:hAnsi="Arial" w:eastAsia="Arial" w:cs="Arial"/>
                <w:sz w:val="24"/>
                <w:szCs w:val="24"/>
              </w:rPr>
            </w:pPr>
            <w:r w:rsidRPr="00BB2ECE">
              <w:rPr>
                <w:rFonts w:ascii="Arial" w:hAnsi="Arial" w:eastAsia="Arial" w:cs="Arial"/>
                <w:sz w:val="24"/>
                <w:szCs w:val="24"/>
              </w:rPr>
              <w:t>The Western Defence Forge is intended to complement existing Western Australian Government and DSTG innovation and research initiatives, with opportunities for collaboration and integration to be informed through the EME process.</w:t>
            </w:r>
          </w:p>
        </w:tc>
      </w:tr>
    </w:tbl>
    <w:p w:rsidRPr="00BB2ECE" w:rsidR="00A07E36" w:rsidP="56F404EE" w:rsidRDefault="00A07E36" w14:paraId="53128261" w14:textId="77777777">
      <w:pPr>
        <w:rPr>
          <w:rFonts w:ascii="Arial" w:hAnsi="Arial" w:eastAsia="Arial" w:cs="Arial"/>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630"/>
      </w:tblGrid>
      <w:tr w:rsidRPr="00BB2ECE" w:rsidR="00A07E36" w:rsidTr="00AE413F" w14:paraId="73057227" w14:textId="77777777">
        <w:tc>
          <w:tcPr>
            <w:tcW w:w="8640" w:type="dxa"/>
            <w:shd w:val="clear" w:color="auto" w:fill="EAF0F8"/>
          </w:tcPr>
          <w:p w:rsidRPr="00BB2ECE" w:rsidR="00A07E36" w:rsidP="56F404EE" w:rsidRDefault="56F404EE" w14:paraId="2C556140" w14:textId="77777777">
            <w:pPr>
              <w:rPr>
                <w:rFonts w:ascii="Arial" w:hAnsi="Arial" w:eastAsia="Arial" w:cs="Arial"/>
                <w:b/>
                <w:bCs/>
                <w:sz w:val="24"/>
                <w:szCs w:val="24"/>
              </w:rPr>
            </w:pPr>
            <w:r w:rsidRPr="00BB2ECE">
              <w:rPr>
                <w:rFonts w:ascii="Arial" w:hAnsi="Arial" w:eastAsia="Arial" w:cs="Arial"/>
                <w:b/>
                <w:bCs/>
                <w:sz w:val="24"/>
                <w:szCs w:val="24"/>
              </w:rPr>
              <w:t>Q. What role exists for ESG / energy reduction technologies?</w:t>
            </w:r>
          </w:p>
        </w:tc>
      </w:tr>
      <w:tr w:rsidRPr="00BB2ECE" w:rsidR="00A07E36" w:rsidTr="00AE413F" w14:paraId="63CF529A" w14:textId="77777777">
        <w:tc>
          <w:tcPr>
            <w:tcW w:w="8640" w:type="dxa"/>
          </w:tcPr>
          <w:p w:rsidRPr="00BB2ECE" w:rsidR="00A07E36" w:rsidP="56F404EE" w:rsidRDefault="56F404EE" w14:paraId="20FB49C7" w14:textId="77777777">
            <w:pPr>
              <w:rPr>
                <w:rFonts w:ascii="Arial" w:hAnsi="Arial" w:eastAsia="Arial" w:cs="Arial"/>
                <w:sz w:val="24"/>
                <w:szCs w:val="24"/>
              </w:rPr>
            </w:pPr>
            <w:r w:rsidRPr="00BB2ECE">
              <w:rPr>
                <w:rFonts w:ascii="Arial" w:hAnsi="Arial" w:eastAsia="Arial" w:cs="Arial"/>
                <w:sz w:val="24"/>
                <w:szCs w:val="24"/>
              </w:rPr>
              <w:t>Innovative technologies, including ESG-aligned solutions, are encouraged where they support defence capability or industrial performance.</w:t>
            </w:r>
          </w:p>
        </w:tc>
      </w:tr>
    </w:tbl>
    <w:p w:rsidRPr="00BB2ECE" w:rsidR="00A07E36" w:rsidP="56F404EE" w:rsidRDefault="00A07E36" w14:paraId="62486C05" w14:textId="77777777">
      <w:pPr>
        <w:rPr>
          <w:rFonts w:ascii="Arial" w:hAnsi="Arial" w:eastAsia="Arial" w:cs="Arial"/>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630"/>
      </w:tblGrid>
      <w:tr w:rsidRPr="00BB2ECE" w:rsidR="00A07E36" w:rsidTr="00AE413F" w14:paraId="42ADF6A6" w14:textId="77777777">
        <w:tc>
          <w:tcPr>
            <w:tcW w:w="8640" w:type="dxa"/>
            <w:shd w:val="clear" w:color="auto" w:fill="EAF0F8"/>
          </w:tcPr>
          <w:p w:rsidRPr="00BB2ECE" w:rsidR="00A07E36" w:rsidP="56F404EE" w:rsidRDefault="56F404EE" w14:paraId="634256B7" w14:textId="77777777">
            <w:pPr>
              <w:rPr>
                <w:rFonts w:ascii="Arial" w:hAnsi="Arial" w:eastAsia="Arial" w:cs="Arial"/>
                <w:b/>
                <w:bCs/>
                <w:sz w:val="24"/>
                <w:szCs w:val="24"/>
              </w:rPr>
            </w:pPr>
            <w:r w:rsidRPr="00BB2ECE">
              <w:rPr>
                <w:rFonts w:ascii="Arial" w:hAnsi="Arial" w:eastAsia="Arial" w:cs="Arial"/>
                <w:b/>
                <w:bCs/>
                <w:sz w:val="24"/>
                <w:szCs w:val="24"/>
              </w:rPr>
              <w:t>Q. What funding or incentive models will be available?</w:t>
            </w:r>
          </w:p>
        </w:tc>
      </w:tr>
      <w:tr w:rsidRPr="00BB2ECE" w:rsidR="00A07E36" w:rsidTr="00AE413F" w14:paraId="34DCE7CD" w14:textId="77777777">
        <w:tc>
          <w:tcPr>
            <w:tcW w:w="8640" w:type="dxa"/>
          </w:tcPr>
          <w:p w:rsidRPr="00BB2ECE" w:rsidR="00A07E36" w:rsidP="56F404EE" w:rsidRDefault="56F404EE" w14:paraId="37201611" w14:textId="77777777">
            <w:pPr>
              <w:rPr>
                <w:rFonts w:ascii="Arial" w:hAnsi="Arial" w:eastAsia="Arial" w:cs="Arial"/>
                <w:sz w:val="24"/>
                <w:szCs w:val="24"/>
              </w:rPr>
            </w:pPr>
            <w:r w:rsidRPr="00BB2ECE">
              <w:rPr>
                <w:rFonts w:ascii="Arial" w:hAnsi="Arial" w:eastAsia="Arial" w:cs="Arial"/>
                <w:sz w:val="24"/>
                <w:szCs w:val="24"/>
              </w:rPr>
              <w:t>No funding or incentive programs are being committed at this stage. The EME will inform potential future support mechanisms, which would be subject to separate Government consideration.</w:t>
            </w:r>
          </w:p>
        </w:tc>
      </w:tr>
    </w:tbl>
    <w:p w:rsidRPr="00BB2ECE" w:rsidR="00A07E36" w:rsidP="56F404EE" w:rsidRDefault="00A07E36" w14:paraId="4101652C" w14:textId="77777777">
      <w:pPr>
        <w:rPr>
          <w:rFonts w:ascii="Arial" w:hAnsi="Arial" w:eastAsia="Arial" w:cs="Arial"/>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630"/>
      </w:tblGrid>
      <w:tr w:rsidRPr="00BB2ECE" w:rsidR="00A07E36" w:rsidTr="00AE413F" w14:paraId="79B88452" w14:textId="77777777">
        <w:tc>
          <w:tcPr>
            <w:tcW w:w="8640" w:type="dxa"/>
            <w:shd w:val="clear" w:color="auto" w:fill="EAF0F8"/>
          </w:tcPr>
          <w:p w:rsidRPr="00BB2ECE" w:rsidR="00A07E36" w:rsidP="56F404EE" w:rsidRDefault="56F404EE" w14:paraId="2EC67E0B" w14:textId="77777777">
            <w:pPr>
              <w:rPr>
                <w:rFonts w:ascii="Arial" w:hAnsi="Arial" w:eastAsia="Arial" w:cs="Arial"/>
                <w:b/>
                <w:bCs/>
                <w:sz w:val="24"/>
                <w:szCs w:val="24"/>
              </w:rPr>
            </w:pPr>
            <w:r w:rsidRPr="00BB2ECE">
              <w:rPr>
                <w:rFonts w:ascii="Arial" w:hAnsi="Arial" w:eastAsia="Arial" w:cs="Arial"/>
                <w:b/>
                <w:bCs/>
                <w:sz w:val="24"/>
                <w:szCs w:val="24"/>
              </w:rPr>
              <w:t>Q. Will financial guarantees be supported?</w:t>
            </w:r>
          </w:p>
        </w:tc>
      </w:tr>
      <w:tr w:rsidRPr="00BB2ECE" w:rsidR="00A07E36" w:rsidTr="00AE413F" w14:paraId="5DC55D8E" w14:textId="77777777">
        <w:tc>
          <w:tcPr>
            <w:tcW w:w="8640" w:type="dxa"/>
          </w:tcPr>
          <w:p w:rsidRPr="00BB2ECE" w:rsidR="00A07E36" w:rsidP="56F404EE" w:rsidRDefault="56F404EE" w14:paraId="1D0EA8BB" w14:textId="77777777">
            <w:pPr>
              <w:rPr>
                <w:rFonts w:ascii="Arial" w:hAnsi="Arial" w:eastAsia="Arial" w:cs="Arial"/>
                <w:sz w:val="24"/>
                <w:szCs w:val="24"/>
              </w:rPr>
            </w:pPr>
            <w:r w:rsidRPr="00BB2ECE">
              <w:rPr>
                <w:rFonts w:ascii="Arial" w:hAnsi="Arial" w:eastAsia="Arial" w:cs="Arial"/>
                <w:sz w:val="24"/>
                <w:szCs w:val="24"/>
              </w:rPr>
              <w:t>Government is not currently considering financial guarantees for contracts. This process is focused on capability and feasibility; any future support mechanisms will be considered separately.</w:t>
            </w:r>
          </w:p>
        </w:tc>
      </w:tr>
    </w:tbl>
    <w:p w:rsidRPr="00BB2ECE" w:rsidR="00A07E36" w:rsidP="56F404EE" w:rsidRDefault="00A07E36" w14:paraId="4B99056E" w14:textId="77777777">
      <w:pPr>
        <w:rPr>
          <w:rFonts w:ascii="Arial" w:hAnsi="Arial" w:eastAsia="Arial" w:cs="Arial"/>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630"/>
      </w:tblGrid>
      <w:tr w:rsidRPr="00BB2ECE" w:rsidR="00A07E36" w:rsidTr="00AE413F" w14:paraId="5AC643AF" w14:textId="77777777">
        <w:tc>
          <w:tcPr>
            <w:tcW w:w="8640" w:type="dxa"/>
            <w:shd w:val="clear" w:color="auto" w:fill="EAF0F8"/>
          </w:tcPr>
          <w:p w:rsidRPr="00BB2ECE" w:rsidR="00A07E36" w:rsidP="56F404EE" w:rsidRDefault="56F404EE" w14:paraId="15CD4A18" w14:textId="77777777">
            <w:pPr>
              <w:rPr>
                <w:rFonts w:ascii="Arial" w:hAnsi="Arial" w:eastAsia="Arial" w:cs="Arial"/>
                <w:b/>
                <w:bCs/>
                <w:sz w:val="24"/>
                <w:szCs w:val="24"/>
              </w:rPr>
            </w:pPr>
            <w:r w:rsidRPr="00BB2ECE">
              <w:rPr>
                <w:rFonts w:ascii="Arial" w:hAnsi="Arial" w:eastAsia="Arial" w:cs="Arial"/>
                <w:b/>
                <w:bCs/>
                <w:sz w:val="24"/>
                <w:szCs w:val="24"/>
              </w:rPr>
              <w:t>Q. Are there funding programs available now?</w:t>
            </w:r>
          </w:p>
        </w:tc>
      </w:tr>
      <w:tr w:rsidRPr="00BB2ECE" w:rsidR="00A07E36" w:rsidTr="00AE413F" w14:paraId="3ADDD8F3" w14:textId="77777777">
        <w:tc>
          <w:tcPr>
            <w:tcW w:w="8640" w:type="dxa"/>
          </w:tcPr>
          <w:p w:rsidRPr="00BB2ECE" w:rsidR="00A07E36" w:rsidP="56F404EE" w:rsidRDefault="56F404EE" w14:paraId="3182B33B" w14:textId="77777777">
            <w:pPr>
              <w:rPr>
                <w:rFonts w:ascii="Arial" w:hAnsi="Arial" w:eastAsia="Arial" w:cs="Arial"/>
                <w:sz w:val="24"/>
                <w:szCs w:val="24"/>
              </w:rPr>
            </w:pPr>
            <w:r w:rsidRPr="00BB2ECE">
              <w:rPr>
                <w:rFonts w:ascii="Arial" w:hAnsi="Arial" w:eastAsia="Arial" w:cs="Arial"/>
                <w:sz w:val="24"/>
                <w:szCs w:val="24"/>
              </w:rPr>
              <w:t>Current relevant funding rounds are closed. Any future support mechanisms are subject to Government consideration.</w:t>
            </w:r>
          </w:p>
        </w:tc>
      </w:tr>
    </w:tbl>
    <w:p w:rsidR="00A07E36" w:rsidP="56F404EE" w:rsidRDefault="00A07E36" w14:paraId="1299C43A" w14:textId="77777777">
      <w:pPr>
        <w:rPr>
          <w:rFonts w:ascii="Arial" w:hAnsi="Arial" w:eastAsia="Arial" w:cs="Arial"/>
          <w:sz w:val="24"/>
          <w:szCs w:val="24"/>
        </w:rPr>
      </w:pPr>
    </w:p>
    <w:p w:rsidRPr="00BB2ECE" w:rsidR="00685A41" w:rsidP="56F404EE" w:rsidRDefault="00685A41" w14:paraId="4C8F40B2" w14:textId="77777777">
      <w:pPr>
        <w:rPr>
          <w:rFonts w:ascii="Arial" w:hAnsi="Arial" w:eastAsia="Arial" w:cs="Arial"/>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630"/>
      </w:tblGrid>
      <w:tr w:rsidRPr="00BB2ECE" w:rsidR="00A07E36" w:rsidTr="00AE413F" w14:paraId="75C6CADF" w14:textId="77777777">
        <w:tc>
          <w:tcPr>
            <w:tcW w:w="8640" w:type="dxa"/>
            <w:shd w:val="clear" w:color="auto" w:fill="EAF0F8"/>
          </w:tcPr>
          <w:p w:rsidRPr="00BB2ECE" w:rsidR="00A07E36" w:rsidP="56F404EE" w:rsidRDefault="56F404EE" w14:paraId="38B02365" w14:textId="77777777">
            <w:pPr>
              <w:rPr>
                <w:rFonts w:ascii="Arial" w:hAnsi="Arial" w:eastAsia="Arial" w:cs="Arial"/>
                <w:b/>
                <w:bCs/>
                <w:sz w:val="24"/>
                <w:szCs w:val="24"/>
              </w:rPr>
            </w:pPr>
            <w:r w:rsidRPr="00BB2ECE">
              <w:rPr>
                <w:rFonts w:ascii="Arial" w:hAnsi="Arial" w:eastAsia="Arial" w:cs="Arial"/>
                <w:b/>
                <w:bCs/>
                <w:sz w:val="24"/>
                <w:szCs w:val="24"/>
              </w:rPr>
              <w:lastRenderedPageBreak/>
              <w:t>Q. What workforce support exists?</w:t>
            </w:r>
          </w:p>
        </w:tc>
      </w:tr>
      <w:tr w:rsidRPr="00BB2ECE" w:rsidR="00A07E36" w:rsidTr="00AE413F" w14:paraId="5A8B870A" w14:textId="77777777">
        <w:tc>
          <w:tcPr>
            <w:tcW w:w="8640" w:type="dxa"/>
          </w:tcPr>
          <w:p w:rsidRPr="00BB2ECE" w:rsidR="00A07E36" w:rsidP="56F404EE" w:rsidRDefault="56F404EE" w14:paraId="46F32BCB" w14:textId="77777777">
            <w:pPr>
              <w:rPr>
                <w:rFonts w:ascii="Arial" w:hAnsi="Arial" w:eastAsia="Arial" w:cs="Arial"/>
                <w:sz w:val="24"/>
                <w:szCs w:val="24"/>
              </w:rPr>
            </w:pPr>
            <w:r w:rsidRPr="00BB2ECE">
              <w:rPr>
                <w:rFonts w:ascii="Arial" w:hAnsi="Arial" w:eastAsia="Arial" w:cs="Arial"/>
                <w:sz w:val="24"/>
                <w:szCs w:val="24"/>
              </w:rPr>
              <w:t>Workforce requirements identified through the EME will inform planning across training, skills development and workforce attraction initiatives in collaboration with Government agencies.</w:t>
            </w:r>
          </w:p>
        </w:tc>
      </w:tr>
    </w:tbl>
    <w:p w:rsidRPr="00BB2ECE" w:rsidR="00A07E36" w:rsidP="56F404EE" w:rsidRDefault="00A07E36" w14:paraId="4DDBEF00" w14:textId="77777777">
      <w:pPr>
        <w:rPr>
          <w:rFonts w:ascii="Arial" w:hAnsi="Arial" w:eastAsia="Arial" w:cs="Arial"/>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630"/>
      </w:tblGrid>
      <w:tr w:rsidRPr="00BB2ECE" w:rsidR="00A07E36" w:rsidTr="00AE413F" w14:paraId="74B33A86" w14:textId="77777777">
        <w:tc>
          <w:tcPr>
            <w:tcW w:w="8640" w:type="dxa"/>
            <w:shd w:val="clear" w:color="auto" w:fill="EAF0F8"/>
          </w:tcPr>
          <w:p w:rsidRPr="00BB2ECE" w:rsidR="00A07E36" w:rsidP="56F404EE" w:rsidRDefault="56F404EE" w14:paraId="1E8434A3" w14:textId="77777777">
            <w:pPr>
              <w:rPr>
                <w:rFonts w:ascii="Arial" w:hAnsi="Arial" w:eastAsia="Arial" w:cs="Arial"/>
                <w:b/>
                <w:bCs/>
                <w:sz w:val="24"/>
                <w:szCs w:val="24"/>
              </w:rPr>
            </w:pPr>
            <w:r w:rsidRPr="00BB2ECE">
              <w:rPr>
                <w:rFonts w:ascii="Arial" w:hAnsi="Arial" w:eastAsia="Arial" w:cs="Arial"/>
                <w:b/>
                <w:bCs/>
                <w:sz w:val="24"/>
                <w:szCs w:val="24"/>
              </w:rPr>
              <w:t>Q. Can workforce be outside WA?</w:t>
            </w:r>
          </w:p>
        </w:tc>
      </w:tr>
      <w:tr w:rsidRPr="00BB2ECE" w:rsidR="00A07E36" w:rsidTr="00AE413F" w14:paraId="2B486503" w14:textId="77777777">
        <w:tc>
          <w:tcPr>
            <w:tcW w:w="8640" w:type="dxa"/>
          </w:tcPr>
          <w:p w:rsidRPr="00BB2ECE" w:rsidR="00A07E36" w:rsidP="56F404EE" w:rsidRDefault="56F404EE" w14:paraId="4405E691" w14:textId="77777777">
            <w:pPr>
              <w:rPr>
                <w:rFonts w:ascii="Arial" w:hAnsi="Arial" w:eastAsia="Arial" w:cs="Arial"/>
                <w:sz w:val="24"/>
                <w:szCs w:val="24"/>
              </w:rPr>
            </w:pPr>
            <w:r w:rsidRPr="00BB2ECE">
              <w:rPr>
                <w:rFonts w:ascii="Arial" w:hAnsi="Arial" w:eastAsia="Arial" w:cs="Arial"/>
                <w:sz w:val="24"/>
                <w:szCs w:val="24"/>
              </w:rPr>
              <w:t>Submissions can outline workforce models, including interstate or international components. However, development of local workforce capability is a key consideration.</w:t>
            </w:r>
          </w:p>
        </w:tc>
      </w:tr>
    </w:tbl>
    <w:p w:rsidRPr="00BB2ECE" w:rsidR="00A07E36" w:rsidP="56F404EE" w:rsidRDefault="00A07E36" w14:paraId="3461D779" w14:textId="77777777">
      <w:pPr>
        <w:rPr>
          <w:rFonts w:ascii="Arial" w:hAnsi="Arial" w:eastAsia="Arial" w:cs="Arial"/>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630"/>
      </w:tblGrid>
      <w:tr w:rsidRPr="00BB2ECE" w:rsidR="00A07E36" w:rsidTr="00AE413F" w14:paraId="44D0DC73" w14:textId="77777777">
        <w:tc>
          <w:tcPr>
            <w:tcW w:w="8640" w:type="dxa"/>
            <w:shd w:val="clear" w:color="auto" w:fill="EAF0F8"/>
          </w:tcPr>
          <w:p w:rsidRPr="00BB2ECE" w:rsidR="00A07E36" w:rsidP="56F404EE" w:rsidRDefault="56F404EE" w14:paraId="322A6650" w14:textId="77777777">
            <w:pPr>
              <w:rPr>
                <w:rFonts w:ascii="Arial" w:hAnsi="Arial" w:eastAsia="Arial" w:cs="Arial"/>
                <w:b/>
                <w:bCs/>
                <w:sz w:val="24"/>
                <w:szCs w:val="24"/>
              </w:rPr>
            </w:pPr>
            <w:r w:rsidRPr="00BB2ECE">
              <w:rPr>
                <w:rFonts w:ascii="Arial" w:hAnsi="Arial" w:eastAsia="Arial" w:cs="Arial"/>
                <w:b/>
                <w:bCs/>
                <w:sz w:val="24"/>
                <w:szCs w:val="24"/>
              </w:rPr>
              <w:t>Q. Is location predetermined (e.g. Collie)?</w:t>
            </w:r>
          </w:p>
        </w:tc>
      </w:tr>
      <w:tr w:rsidRPr="00BB2ECE" w:rsidR="00A07E36" w:rsidTr="00AE413F" w14:paraId="7515001F" w14:textId="77777777">
        <w:tc>
          <w:tcPr>
            <w:tcW w:w="8640" w:type="dxa"/>
          </w:tcPr>
          <w:p w:rsidRPr="00BB2ECE" w:rsidR="00A07E36" w:rsidP="56F404EE" w:rsidRDefault="56F404EE" w14:paraId="1B650C55" w14:textId="77777777">
            <w:pPr>
              <w:rPr>
                <w:rFonts w:ascii="Arial" w:hAnsi="Arial" w:eastAsia="Arial" w:cs="Arial"/>
                <w:sz w:val="24"/>
                <w:szCs w:val="24"/>
              </w:rPr>
            </w:pPr>
            <w:r w:rsidRPr="00BB2ECE">
              <w:rPr>
                <w:rFonts w:ascii="Arial" w:hAnsi="Arial" w:eastAsia="Arial" w:cs="Arial"/>
                <w:sz w:val="24"/>
                <w:szCs w:val="24"/>
              </w:rPr>
              <w:t xml:space="preserve">No specific location has been </w:t>
            </w:r>
            <w:proofErr w:type="gramStart"/>
            <w:r w:rsidRPr="00BB2ECE">
              <w:rPr>
                <w:rFonts w:ascii="Arial" w:hAnsi="Arial" w:eastAsia="Arial" w:cs="Arial"/>
                <w:sz w:val="24"/>
                <w:szCs w:val="24"/>
              </w:rPr>
              <w:t>predetermined</w:t>
            </w:r>
            <w:proofErr w:type="gramEnd"/>
            <w:r w:rsidRPr="00BB2ECE">
              <w:rPr>
                <w:rFonts w:ascii="Arial" w:hAnsi="Arial" w:eastAsia="Arial" w:cs="Arial"/>
                <w:sz w:val="24"/>
                <w:szCs w:val="24"/>
              </w:rPr>
              <w:t>. Locations, including regional options such as Collie, will be informed by industry requirements identified through the EME.</w:t>
            </w:r>
          </w:p>
        </w:tc>
      </w:tr>
    </w:tbl>
    <w:p w:rsidRPr="00BB2ECE" w:rsidR="00A07E36" w:rsidP="56F404EE" w:rsidRDefault="00A07E36" w14:paraId="3CF2D8B6" w14:textId="77777777">
      <w:pPr>
        <w:rPr>
          <w:rFonts w:ascii="Arial" w:hAnsi="Arial" w:eastAsia="Arial" w:cs="Arial"/>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630"/>
      </w:tblGrid>
      <w:tr w:rsidRPr="00BB2ECE" w:rsidR="00A07E36" w:rsidTr="3628F93F" w14:paraId="4E40848D" w14:textId="77777777">
        <w:tc>
          <w:tcPr>
            <w:tcW w:w="8640" w:type="dxa"/>
            <w:shd w:val="clear" w:color="auto" w:fill="EAF0F8"/>
            <w:tcMar/>
          </w:tcPr>
          <w:p w:rsidRPr="00BB2ECE" w:rsidR="00A07E36" w:rsidP="56F404EE" w:rsidRDefault="56F404EE" w14:paraId="3E2DA9F1" w14:textId="77777777">
            <w:pPr>
              <w:rPr>
                <w:rFonts w:ascii="Arial" w:hAnsi="Arial" w:eastAsia="Arial" w:cs="Arial"/>
                <w:b/>
                <w:bCs/>
                <w:sz w:val="24"/>
                <w:szCs w:val="24"/>
              </w:rPr>
            </w:pPr>
            <w:r w:rsidRPr="00BB2ECE">
              <w:rPr>
                <w:rFonts w:ascii="Arial" w:hAnsi="Arial" w:eastAsia="Arial" w:cs="Arial"/>
                <w:b/>
                <w:bCs/>
                <w:sz w:val="24"/>
                <w:szCs w:val="24"/>
              </w:rPr>
              <w:t>Q. Is explosive ordnance storage in scope?</w:t>
            </w:r>
          </w:p>
        </w:tc>
      </w:tr>
      <w:tr w:rsidRPr="00BB2ECE" w:rsidR="00A07E36" w:rsidTr="3628F93F" w14:paraId="2D0F75F0" w14:textId="77777777">
        <w:tc>
          <w:tcPr>
            <w:tcW w:w="8640" w:type="dxa"/>
            <w:tcMar/>
          </w:tcPr>
          <w:p w:rsidRPr="00BB2ECE" w:rsidR="00A07E36" w:rsidP="56F404EE" w:rsidRDefault="56F404EE" w14:paraId="4F7A5C8C" w14:textId="6D624FF2">
            <w:pPr>
              <w:rPr>
                <w:rFonts w:ascii="Arial" w:hAnsi="Arial" w:eastAsia="Arial" w:cs="Arial"/>
                <w:sz w:val="24"/>
                <w:szCs w:val="24"/>
              </w:rPr>
            </w:pPr>
            <w:r w:rsidRPr="3628F93F" w:rsidR="6DB2B600">
              <w:rPr>
                <w:rFonts w:ascii="Arial" w:hAnsi="Arial" w:eastAsia="Arial" w:cs="Arial"/>
                <w:sz w:val="24"/>
                <w:szCs w:val="24"/>
              </w:rPr>
              <w:t xml:space="preserve">Specific capabilities, including storage and maintenance, are being explored through the EME. Feasibility will depend on regulatory, </w:t>
            </w:r>
            <w:r w:rsidRPr="3628F93F" w:rsidR="50D721E1">
              <w:rPr>
                <w:rFonts w:ascii="Arial" w:hAnsi="Arial" w:eastAsia="Arial" w:cs="Arial"/>
                <w:sz w:val="24"/>
                <w:szCs w:val="24"/>
              </w:rPr>
              <w:t>infrastructure,</w:t>
            </w:r>
            <w:r w:rsidRPr="3628F93F" w:rsidR="6DB2B600">
              <w:rPr>
                <w:rFonts w:ascii="Arial" w:hAnsi="Arial" w:eastAsia="Arial" w:cs="Arial"/>
                <w:sz w:val="24"/>
                <w:szCs w:val="24"/>
              </w:rPr>
              <w:t xml:space="preserve"> and operational considerations.</w:t>
            </w:r>
          </w:p>
        </w:tc>
      </w:tr>
    </w:tbl>
    <w:p w:rsidR="00A07E36" w:rsidRDefault="00A07E36" w14:paraId="0FB78278" w14:textId="36CAEDDE"/>
    <w:p w:rsidR="00BB2ECE" w:rsidRDefault="00BB2ECE" w14:paraId="33673C33" w14:textId="77777777"/>
    <w:p w:rsidRPr="00BB2ECE" w:rsidR="00BB2ECE" w:rsidRDefault="00BB2ECE" w14:paraId="5258D84E" w14:textId="798EB2D3"/>
    <w:sectPr w:rsidRPr="00BB2ECE" w:rsidR="00BB2ECE" w:rsidSect="00034616">
      <w:footerReference w:type="default" r:id="rId9"/>
      <w:pgSz w:w="12240" w:h="15840" w:orient="portrait"/>
      <w:pgMar w:top="850" w:right="1800" w:bottom="85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1EE7" w:rsidP="0073759C" w:rsidRDefault="00251EE7" w14:paraId="16E10893" w14:textId="77777777">
      <w:pPr>
        <w:spacing w:after="0" w:line="240" w:lineRule="auto"/>
      </w:pPr>
      <w:r>
        <w:separator/>
      </w:r>
    </w:p>
  </w:endnote>
  <w:endnote w:type="continuationSeparator" w:id="0">
    <w:p w:rsidR="00251EE7" w:rsidP="0073759C" w:rsidRDefault="00251EE7" w14:paraId="33609C7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705776"/>
      <w:docPartObj>
        <w:docPartGallery w:val="Page Numbers (Bottom of Page)"/>
        <w:docPartUnique/>
      </w:docPartObj>
    </w:sdtPr>
    <w:sdtEndPr/>
    <w:sdtContent>
      <w:p w:rsidR="0073759C" w:rsidRDefault="0073759C" w14:paraId="6E192CB6" w14:textId="550CE6D5">
        <w:pPr>
          <w:pStyle w:val="Footer"/>
          <w:jc w:val="right"/>
        </w:pPr>
        <w:r>
          <w:fldChar w:fldCharType="begin"/>
        </w:r>
        <w:r>
          <w:instrText>PAGE   \* MERGEFORMAT</w:instrText>
        </w:r>
        <w:r>
          <w:fldChar w:fldCharType="separate"/>
        </w:r>
        <w:r>
          <w:rPr>
            <w:lang w:val="en-GB"/>
          </w:rPr>
          <w:t>2</w:t>
        </w:r>
        <w:r>
          <w:fldChar w:fldCharType="end"/>
        </w:r>
      </w:p>
    </w:sdtContent>
  </w:sdt>
  <w:p w:rsidR="0073759C" w:rsidRDefault="0073759C" w14:paraId="75349B3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1EE7" w:rsidP="0073759C" w:rsidRDefault="00251EE7" w14:paraId="405248C0" w14:textId="77777777">
      <w:pPr>
        <w:spacing w:after="0" w:line="240" w:lineRule="auto"/>
      </w:pPr>
      <w:r>
        <w:separator/>
      </w:r>
    </w:p>
  </w:footnote>
  <w:footnote w:type="continuationSeparator" w:id="0">
    <w:p w:rsidR="00251EE7" w:rsidP="0073759C" w:rsidRDefault="00251EE7" w14:paraId="205689BE"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16cid:durableId="998116561">
    <w:abstractNumId w:val="8"/>
  </w:num>
  <w:num w:numId="2" w16cid:durableId="378625320">
    <w:abstractNumId w:val="6"/>
  </w:num>
  <w:num w:numId="3" w16cid:durableId="1396665200">
    <w:abstractNumId w:val="5"/>
  </w:num>
  <w:num w:numId="4" w16cid:durableId="549650836">
    <w:abstractNumId w:val="4"/>
  </w:num>
  <w:num w:numId="5" w16cid:durableId="1220019858">
    <w:abstractNumId w:val="7"/>
  </w:num>
  <w:num w:numId="6" w16cid:durableId="351878440">
    <w:abstractNumId w:val="3"/>
  </w:num>
  <w:num w:numId="7" w16cid:durableId="2125348781">
    <w:abstractNumId w:val="2"/>
  </w:num>
  <w:num w:numId="8" w16cid:durableId="1570578226">
    <w:abstractNumId w:val="1"/>
  </w:num>
  <w:num w:numId="9" w16cid:durableId="914171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F7D9A"/>
    <w:rsid w:val="001066F0"/>
    <w:rsid w:val="0012460A"/>
    <w:rsid w:val="0015074B"/>
    <w:rsid w:val="00251EE7"/>
    <w:rsid w:val="00261940"/>
    <w:rsid w:val="00270E13"/>
    <w:rsid w:val="0029639D"/>
    <w:rsid w:val="002F25B1"/>
    <w:rsid w:val="003146A7"/>
    <w:rsid w:val="00326F90"/>
    <w:rsid w:val="00400BF1"/>
    <w:rsid w:val="00402F3F"/>
    <w:rsid w:val="004F5331"/>
    <w:rsid w:val="00526949"/>
    <w:rsid w:val="0058625E"/>
    <w:rsid w:val="00685A41"/>
    <w:rsid w:val="006A48D6"/>
    <w:rsid w:val="00727350"/>
    <w:rsid w:val="0073759C"/>
    <w:rsid w:val="0097279E"/>
    <w:rsid w:val="009B121D"/>
    <w:rsid w:val="009D55A6"/>
    <w:rsid w:val="00A07E36"/>
    <w:rsid w:val="00A45C52"/>
    <w:rsid w:val="00A958DD"/>
    <w:rsid w:val="00AA1D8D"/>
    <w:rsid w:val="00AE413F"/>
    <w:rsid w:val="00B47730"/>
    <w:rsid w:val="00BB2ECE"/>
    <w:rsid w:val="00C95943"/>
    <w:rsid w:val="00CB0664"/>
    <w:rsid w:val="00E44091"/>
    <w:rsid w:val="00F42C46"/>
    <w:rsid w:val="00F64525"/>
    <w:rsid w:val="00FC693F"/>
    <w:rsid w:val="00FE40EC"/>
    <w:rsid w:val="0660CEBF"/>
    <w:rsid w:val="0B07B48A"/>
    <w:rsid w:val="0BDAFAE4"/>
    <w:rsid w:val="0F849C8B"/>
    <w:rsid w:val="21B165D2"/>
    <w:rsid w:val="2F7858A7"/>
    <w:rsid w:val="3628F93F"/>
    <w:rsid w:val="396E388F"/>
    <w:rsid w:val="4545E87D"/>
    <w:rsid w:val="4901BFD1"/>
    <w:rsid w:val="4BC9A3A6"/>
    <w:rsid w:val="4C74803A"/>
    <w:rsid w:val="50D721E1"/>
    <w:rsid w:val="56F404EE"/>
    <w:rsid w:val="59C21058"/>
    <w:rsid w:val="6CC0C665"/>
    <w:rsid w:val="6DB2B60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00"/>
  <w15:docId w15:val="{1E329CEB-A3B6-4D68-B50D-532932163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4.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65410EEE6E8CE4C9CEA427302D3C179" ma:contentTypeVersion="8" ma:contentTypeDescription="Create a new document." ma:contentTypeScope="" ma:versionID="4fbbe493bf4e60b0b49f3fe4c77de881">
  <xsd:schema xmlns:xsd="http://www.w3.org/2001/XMLSchema" xmlns:xs="http://www.w3.org/2001/XMLSchema" xmlns:p="http://schemas.microsoft.com/office/2006/metadata/properties" xmlns:ns2="0b1cf17d-5c46-4bcd-94dd-54e7bd99f792" xmlns:ns3="3e290cbc-1e59-4d6d-b3db-7f2bdc79bbfc" xmlns:ns4="036b26ed-9820-40ef-943f-28076d4ed096" xmlns:ns5="8145bf96-3f2a-4804-8293-5d92995f7ad9" targetNamespace="http://schemas.microsoft.com/office/2006/metadata/properties" ma:root="true" ma:fieldsID="7ec859a92bb9e2a5f11a69ebae0dfa5a" ns2:_="" ns3:_="" ns4:_="" ns5:_="">
    <xsd:import namespace="0b1cf17d-5c46-4bcd-94dd-54e7bd99f792"/>
    <xsd:import namespace="3e290cbc-1e59-4d6d-b3db-7f2bdc79bbfc"/>
    <xsd:import namespace="036b26ed-9820-40ef-943f-28076d4ed096"/>
    <xsd:import namespace="8145bf96-3f2a-4804-8293-5d92995f7a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Location" minOccurs="0"/>
                <xsd:element ref="ns2:Number" minOccurs="0"/>
                <xsd:element ref="ns2:MediaServiceObjectDetectorVersions" minOccurs="0"/>
                <xsd:element ref="ns2:MediaServiceSearchProperties" minOccurs="0"/>
                <xsd:element ref="ns4:lcf76f155ced4ddcb4097134ff3c332f" minOccurs="0"/>
                <xsd:element ref="ns5:TaxCatchAll" minOccurs="0"/>
                <xsd:element ref="ns4:MediaServiceBillingMetadata" minOccurs="0"/>
                <xsd:element ref="ns4:DueDate" minOccurs="0"/>
                <xsd:element ref="ns4:Action" minOccurs="0"/>
                <xsd:element ref="ns4:Assign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1cf17d-5c46-4bcd-94dd-54e7bd99f7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Number" ma:index="21" nillable="true" ma:displayName="Number" ma:format="Dropdown" ma:internalName="Number" ma:percentage="FALSE">
      <xsd:simpleType>
        <xsd:restriction base="dms:Number"/>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290cbc-1e59-4d6d-b3db-7f2bdc79bbf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b26ed-9820-40ef-943f-28076d4ed096" elementFormDefault="qualified">
    <xsd:import namespace="http://schemas.microsoft.com/office/2006/documentManagement/types"/>
    <xsd:import namespace="http://schemas.microsoft.com/office/infopath/2007/PartnerControls"/>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MediaServiceBillingMetadata" ma:index="27" nillable="true" ma:displayName="MediaServiceBillingMetadata" ma:hidden="true" ma:internalName="MediaServiceBillingMetadata" ma:readOnly="true">
      <xsd:simpleType>
        <xsd:restriction base="dms:Note"/>
      </xsd:simpleType>
    </xsd:element>
    <xsd:element name="DueDate" ma:index="28" nillable="true" ma:displayName="Due Date" ma:format="DateOnly" ma:internalName="DueDate">
      <xsd:simpleType>
        <xsd:restriction base="dms:DateTime"/>
      </xsd:simpleType>
    </xsd:element>
    <xsd:element name="Action" ma:index="29" nillable="true" ma:displayName="Action" ma:format="Dropdown" ma:internalName="Action">
      <xsd:simpleType>
        <xsd:restriction base="dms:Text">
          <xsd:maxLength value="255"/>
        </xsd:restriction>
      </xsd:simpleType>
    </xsd:element>
    <xsd:element name="Assigned" ma:index="30" nillable="true" ma:displayName="Assigned" ma:format="Dropdown" ma:list="UserInfo" ma:SharePointGroup="0" ma:internalName="Assigne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45bf96-3f2a-4804-8293-5d92995f7ad9"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950fb840-dae4-4924-9bb3-ac11e52003e9}" ma:internalName="TaxCatchAll" ma:showField="CatchAllData" ma:web="8145bf96-3f2a-4804-8293-5d92995f7a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ueDate xmlns="036b26ed-9820-40ef-943f-28076d4ed096" xsi:nil="true"/>
    <Number xmlns="0b1cf17d-5c46-4bcd-94dd-54e7bd99f792" xsi:nil="true"/>
    <Assigned xmlns="036b26ed-9820-40ef-943f-28076d4ed096">
      <UserInfo>
        <DisplayName/>
        <AccountId xsi:nil="true"/>
        <AccountType/>
      </UserInfo>
    </Assigned>
    <TaxCatchAll xmlns="8145bf96-3f2a-4804-8293-5d92995f7ad9" xsi:nil="true"/>
    <Action xmlns="036b26ed-9820-40ef-943f-28076d4ed096" xsi:nil="true"/>
    <lcf76f155ced4ddcb4097134ff3c332f xmlns="036b26ed-9820-40ef-943f-28076d4ed09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1EBDA6F8-1368-4350-A48C-0C572BCA85E4}"/>
</file>

<file path=customXml/itemProps3.xml><?xml version="1.0" encoding="utf-8"?>
<ds:datastoreItem xmlns:ds="http://schemas.openxmlformats.org/officeDocument/2006/customXml" ds:itemID="{2859FD7C-469D-4496-AC26-54A557ABD975}"/>
</file>

<file path=customXml/itemProps4.xml><?xml version="1.0" encoding="utf-8"?>
<ds:datastoreItem xmlns:ds="http://schemas.openxmlformats.org/officeDocument/2006/customXml" ds:itemID="{03D42250-784E-4D54-8C2D-6D52862746D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Anderson, Emily</dc:creator>
  <keywords/>
  <dc:description>generated by python-docx</dc:description>
  <lastModifiedBy>Dawson, Linda</lastModifiedBy>
  <revision>28</revision>
  <lastPrinted>2026-07-03T07:04:00.0000000Z</lastPrinted>
  <dcterms:created xsi:type="dcterms:W3CDTF">2026-07-03T05:14:00.0000000Z</dcterms:created>
  <dcterms:modified xsi:type="dcterms:W3CDTF">2026-07-03T08:33:09.8402980Z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6cf7cf-4bad-475a-a557-f71d08d59046_Enabled">
    <vt:lpwstr>true</vt:lpwstr>
  </property>
  <property fmtid="{D5CDD505-2E9C-101B-9397-08002B2CF9AE}" pid="3" name="MSIP_Label_116cf7cf-4bad-475a-a557-f71d08d59046_SetDate">
    <vt:lpwstr>2026-07-03T04:37:35Z</vt:lpwstr>
  </property>
  <property fmtid="{D5CDD505-2E9C-101B-9397-08002B2CF9AE}" pid="4" name="MSIP_Label_116cf7cf-4bad-475a-a557-f71d08d59046_Method">
    <vt:lpwstr>Standard</vt:lpwstr>
  </property>
  <property fmtid="{D5CDD505-2E9C-101B-9397-08002B2CF9AE}" pid="5" name="MSIP_Label_116cf7cf-4bad-475a-a557-f71d08d59046_Name">
    <vt:lpwstr>OFFICIAL [ Office ]</vt:lpwstr>
  </property>
  <property fmtid="{D5CDD505-2E9C-101B-9397-08002B2CF9AE}" pid="6" name="MSIP_Label_116cf7cf-4bad-475a-a557-f71d08d59046_SiteId">
    <vt:lpwstr>d48144b5-571f-4b68-9721-e41bc0071e17</vt:lpwstr>
  </property>
  <property fmtid="{D5CDD505-2E9C-101B-9397-08002B2CF9AE}" pid="7" name="MSIP_Label_116cf7cf-4bad-475a-a557-f71d08d59046_ActionId">
    <vt:lpwstr>361594d2-6876-4ccb-b45f-327b1a8d9c87</vt:lpwstr>
  </property>
  <property fmtid="{D5CDD505-2E9C-101B-9397-08002B2CF9AE}" pid="8" name="MSIP_Label_116cf7cf-4bad-475a-a557-f71d08d59046_ContentBits">
    <vt:lpwstr>0</vt:lpwstr>
  </property>
  <property fmtid="{D5CDD505-2E9C-101B-9397-08002B2CF9AE}" pid="9" name="ContentTypeId">
    <vt:lpwstr>0x010100665410EEE6E8CE4C9CEA427302D3C179</vt:lpwstr>
  </property>
  <property fmtid="{D5CDD505-2E9C-101B-9397-08002B2CF9AE}" pid="10" name="MediaServiceImageTags">
    <vt:lpwstr/>
  </property>
</Properties>
</file>